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</w:pPr>
      <w:r>
        <w:rPr>
          <w:rFonts w:ascii="Calibri" w:hAnsi="Calibri" w:eastAsia="Calibri"/>
          <w:b/>
          <w:sz w:val="32"/>
        </w:rPr>
        <w:t>AutoXchange (Exchanger Machine)</w:t>
        <w:br/>
        <w:t>Short Summary</w:t>
      </w:r>
    </w:p>
    <w:p>
      <w:pPr>
        <w:jc w:val="center"/>
      </w:pPr>
      <w:r>
        <w:rPr>
          <w:rFonts w:ascii="Calibri" w:hAnsi="Calibri" w:eastAsia="Calibri"/>
          <w:b w:val="0"/>
          <w:sz w:val="20"/>
        </w:rPr>
        <w:t>Based on the graduation project report (June 2025)</w:t>
      </w:r>
    </w:p>
    <w:p/>
    <w:p>
      <w:r>
        <w:rPr>
          <w:rFonts w:ascii="Calibri" w:hAnsi="Calibri" w:eastAsia="Calibri"/>
          <w:b w:val="0"/>
          <w:sz w:val="22"/>
        </w:rPr>
        <w:t>AutoXchange is an automated currency exchanger machine that performs real-time conversion between Jordanian Dinar (JOD) and Israeli Shekel (ILS). The system combines hardware, an AI banknote-recognition model, and a secure web application to deliver fast and safer self-service exchange transactions.</w:t>
      </w:r>
    </w:p>
    <w:p>
      <w:r>
        <w:rPr>
          <w:rFonts w:ascii="Calibri" w:hAnsi="Calibri" w:eastAsia="Calibri"/>
          <w:b/>
          <w:sz w:val="24"/>
        </w:rPr>
        <w:t>Key Features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Real-time conversion (JOD ↔ ILS) using live exchange-rate data.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User access via QR code (opens the web app) plus mandatory RFID ID-card verification before any transaction.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AI-based banknote verification using a camera and a custom-trained CNN under controlled lighting (&gt;95% accuracy in testing).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Cash handling with rollers and a conveyor belt that routes accepted notes to the correct storage bin; early-stage cancel returns notes (before first storage).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Dispensing via a vacuum pickup head on a Y-Z gantry for banknotes, plus a servo-driven 1 ILS coin dispenser to cover fractional payouts (1-19 ILS).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Web app (Next.js + Supabase) with authentication, current rate display, transaction execution, digital receipts, transaction history, and a digital wallet for fractional remainders.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Chatbot assistant (Chatbase) to guide users and reduce mistakes.</w:t>
      </w:r>
    </w:p>
    <w:p>
      <w:r>
        <w:rPr>
          <w:rFonts w:ascii="Calibri" w:hAnsi="Calibri" w:eastAsia="Calibri"/>
          <w:b/>
          <w:sz w:val="24"/>
        </w:rPr>
        <w:t>Testing Highlights and Limitations</w:t>
      </w:r>
    </w:p>
    <w:p>
      <w:r>
        <w:rPr>
          <w:rFonts w:ascii="Calibri" w:hAnsi="Calibri" w:eastAsia="Calibri"/>
          <w:b w:val="0"/>
          <w:sz w:val="22"/>
        </w:rPr>
        <w:t>Testing reported smooth end-to-end operation (from QR scan to dispensing) with a typical transaction time around 4 minutes, AI classification accuracy above 95% in the enclosed camera box, and overall conversion accuracy above 80%. Main constraints were budget and time: only one coin module (1 ILS) was used instead of multiple denominations, and advanced counterfeit detection (e.g., UV/magnetic sensors) was not implemented, relying on camera-based AI.</w:t>
      </w:r>
    </w:p>
    <w:p>
      <w:r>
        <w:rPr>
          <w:rFonts w:ascii="Calibri" w:hAnsi="Calibri" w:eastAsia="Calibri"/>
          <w:b/>
          <w:sz w:val="24"/>
        </w:rPr>
        <w:t>Recommended Future Improvements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Add more coin dispensers (e.g., 5 ILS, 10 ILS) to speed payouts and reduce mechanical wear.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Improve the vacuum pickup system (stronger motor, replaceable seals) to reduce occasional suction loss.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Add low-cost physical counterfeit sensors (UV or magnetic-ink) to strengthen fraud detection.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Cache exchange rates locally for short intervals to handle API/network outages.</w:t>
      </w:r>
    </w:p>
    <w:p>
      <w:pPr>
        <w:pStyle w:val="ListBullet"/>
      </w:pPr>
      <w:r>
        <w:rPr>
          <w:rFonts w:ascii="Calibri" w:hAnsi="Calibri" w:eastAsia="Calibri"/>
          <w:b w:val="0"/>
          <w:sz w:val="22"/>
        </w:rPr>
        <w:t>Extend toward ATM-like functionality (deposit/withdraw) and consider coin input support.</w:t>
      </w:r>
    </w:p>
    <w:sectPr w:rsidR="00FC693F" w:rsidRPr="0006063C" w:rsidSect="000346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