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576E" w:rsidRPr="00260AE2" w:rsidRDefault="00E7576E" w:rsidP="00E7576E">
      <w:pPr>
        <w:jc w:val="center"/>
        <w:rPr>
          <w:rFonts w:hint="cs"/>
          <w:sz w:val="52"/>
          <w:szCs w:val="52"/>
          <w:rtl/>
        </w:rPr>
      </w:pPr>
      <w:r w:rsidRPr="00260AE2">
        <w:rPr>
          <w:rFonts w:hint="cs"/>
          <w:sz w:val="52"/>
          <w:szCs w:val="52"/>
          <w:rtl/>
        </w:rPr>
        <w:t xml:space="preserve">جلمعة التجاح الوطنية </w:t>
      </w:r>
    </w:p>
    <w:p w:rsidR="00E7576E" w:rsidRPr="00260AE2" w:rsidRDefault="00E7576E" w:rsidP="00E7576E">
      <w:pPr>
        <w:jc w:val="center"/>
        <w:rPr>
          <w:rFonts w:hint="cs"/>
          <w:sz w:val="40"/>
          <w:szCs w:val="40"/>
          <w:rtl/>
        </w:rPr>
      </w:pPr>
      <w:r w:rsidRPr="00260AE2">
        <w:rPr>
          <w:rFonts w:hint="cs"/>
          <w:sz w:val="40"/>
          <w:szCs w:val="40"/>
          <w:rtl/>
        </w:rPr>
        <w:t xml:space="preserve">كلية الهندسة </w:t>
      </w:r>
    </w:p>
    <w:p w:rsidR="00E7576E" w:rsidRPr="00260AE2" w:rsidRDefault="00E7576E" w:rsidP="00E7576E">
      <w:pPr>
        <w:jc w:val="center"/>
        <w:rPr>
          <w:rFonts w:hint="cs"/>
          <w:sz w:val="40"/>
          <w:szCs w:val="40"/>
          <w:rtl/>
        </w:rPr>
      </w:pPr>
      <w:r w:rsidRPr="00260AE2">
        <w:rPr>
          <w:rFonts w:hint="cs"/>
          <w:sz w:val="40"/>
          <w:szCs w:val="40"/>
          <w:rtl/>
        </w:rPr>
        <w:t xml:space="preserve">قسم الهندسة المعمارية </w:t>
      </w:r>
    </w:p>
    <w:p w:rsidR="00E7576E" w:rsidRDefault="00E7576E" w:rsidP="00E7576E">
      <w:pPr>
        <w:jc w:val="center"/>
        <w:rPr>
          <w:rtl/>
        </w:rPr>
      </w:pPr>
    </w:p>
    <w:p w:rsidR="00E7576E" w:rsidRDefault="00E7576E" w:rsidP="00E7576E">
      <w:pPr>
        <w:jc w:val="center"/>
        <w:rPr>
          <w:rtl/>
        </w:rPr>
      </w:pPr>
    </w:p>
    <w:p w:rsidR="00E7576E" w:rsidRPr="00260AE2" w:rsidRDefault="00E7576E" w:rsidP="00E7576E">
      <w:pPr>
        <w:jc w:val="center"/>
        <w:rPr>
          <w:sz w:val="56"/>
          <w:szCs w:val="56"/>
          <w:lang w:val="en-GB"/>
        </w:rPr>
      </w:pPr>
      <w:r w:rsidRPr="00260AE2">
        <w:rPr>
          <w:sz w:val="56"/>
          <w:szCs w:val="56"/>
          <w:lang w:val="en-GB"/>
        </w:rPr>
        <w:t>MEDIA CENTER TOWER</w:t>
      </w:r>
    </w:p>
    <w:p w:rsidR="00E7576E" w:rsidRPr="00260AE2" w:rsidRDefault="00E7576E" w:rsidP="00E7576E">
      <w:pPr>
        <w:jc w:val="center"/>
        <w:rPr>
          <w:sz w:val="28"/>
          <w:szCs w:val="28"/>
          <w:lang w:val="en-GB"/>
        </w:rPr>
      </w:pPr>
    </w:p>
    <w:p w:rsidR="00E7576E" w:rsidRPr="00260AE2" w:rsidRDefault="00E7576E" w:rsidP="00E7576E">
      <w:pPr>
        <w:jc w:val="center"/>
        <w:rPr>
          <w:rFonts w:hint="cs"/>
          <w:sz w:val="28"/>
          <w:szCs w:val="28"/>
          <w:rtl/>
          <w:lang w:val="en-GB"/>
        </w:rPr>
      </w:pPr>
      <w:r w:rsidRPr="00260AE2">
        <w:rPr>
          <w:rFonts w:hint="cs"/>
          <w:sz w:val="28"/>
          <w:szCs w:val="28"/>
          <w:rtl/>
          <w:lang w:val="en-GB"/>
        </w:rPr>
        <w:t>الطالب :</w:t>
      </w:r>
    </w:p>
    <w:p w:rsidR="00E7576E" w:rsidRPr="00260AE2" w:rsidRDefault="00E7576E" w:rsidP="00E7576E">
      <w:pPr>
        <w:jc w:val="center"/>
        <w:rPr>
          <w:rFonts w:hint="cs"/>
          <w:sz w:val="40"/>
          <w:szCs w:val="40"/>
          <w:rtl/>
          <w:lang w:val="en-GB"/>
        </w:rPr>
      </w:pPr>
      <w:r w:rsidRPr="00260AE2">
        <w:rPr>
          <w:rFonts w:hint="cs"/>
          <w:sz w:val="40"/>
          <w:szCs w:val="40"/>
          <w:rtl/>
          <w:lang w:val="en-GB"/>
        </w:rPr>
        <w:t>حسين عبد الستار ابو عيسى</w:t>
      </w:r>
    </w:p>
    <w:p w:rsidR="00E7576E" w:rsidRPr="00260AE2" w:rsidRDefault="00E7576E" w:rsidP="00E7576E">
      <w:pPr>
        <w:jc w:val="center"/>
        <w:rPr>
          <w:sz w:val="28"/>
          <w:szCs w:val="28"/>
          <w:rtl/>
          <w:lang w:val="en-GB"/>
        </w:rPr>
      </w:pPr>
    </w:p>
    <w:p w:rsidR="00E7576E" w:rsidRPr="00260AE2" w:rsidRDefault="00E7576E" w:rsidP="00E7576E">
      <w:pPr>
        <w:jc w:val="center"/>
        <w:rPr>
          <w:rFonts w:hint="cs"/>
          <w:sz w:val="28"/>
          <w:szCs w:val="28"/>
          <w:rtl/>
          <w:lang w:val="en-GB"/>
        </w:rPr>
      </w:pPr>
      <w:r w:rsidRPr="00260AE2">
        <w:rPr>
          <w:rFonts w:hint="cs"/>
          <w:sz w:val="28"/>
          <w:szCs w:val="28"/>
          <w:rtl/>
          <w:lang w:val="en-GB"/>
        </w:rPr>
        <w:t>اشراف</w:t>
      </w:r>
    </w:p>
    <w:p w:rsidR="00E7576E" w:rsidRPr="00260AE2" w:rsidRDefault="00E7576E" w:rsidP="00E7576E">
      <w:pPr>
        <w:jc w:val="center"/>
        <w:rPr>
          <w:rFonts w:hint="cs"/>
          <w:sz w:val="28"/>
          <w:szCs w:val="28"/>
          <w:rtl/>
          <w:lang w:val="en-GB"/>
        </w:rPr>
      </w:pPr>
      <w:r w:rsidRPr="00260AE2">
        <w:rPr>
          <w:rFonts w:hint="cs"/>
          <w:sz w:val="28"/>
          <w:szCs w:val="28"/>
          <w:rtl/>
          <w:lang w:val="en-GB"/>
        </w:rPr>
        <w:t>د. حسن القاضي</w:t>
      </w:r>
    </w:p>
    <w:p w:rsidR="00E7576E" w:rsidRPr="00260AE2" w:rsidRDefault="00E7576E" w:rsidP="00E7576E">
      <w:pPr>
        <w:jc w:val="center"/>
        <w:rPr>
          <w:rFonts w:hint="cs"/>
          <w:sz w:val="28"/>
          <w:szCs w:val="28"/>
          <w:rtl/>
          <w:lang w:val="en-GB"/>
        </w:rPr>
      </w:pPr>
      <w:r w:rsidRPr="00260AE2">
        <w:rPr>
          <w:rFonts w:hint="cs"/>
          <w:sz w:val="28"/>
          <w:szCs w:val="28"/>
          <w:rtl/>
          <w:lang w:val="en-GB"/>
        </w:rPr>
        <w:t>د. خالد قمحية</w:t>
      </w:r>
    </w:p>
    <w:p w:rsidR="00E7576E" w:rsidRDefault="00E7576E" w:rsidP="00E7576E">
      <w:pPr>
        <w:jc w:val="center"/>
        <w:rPr>
          <w:rtl/>
          <w:lang w:val="en-GB"/>
        </w:rPr>
      </w:pPr>
    </w:p>
    <w:p w:rsidR="00E7576E" w:rsidRDefault="00E7576E" w:rsidP="00E7576E">
      <w:pPr>
        <w:jc w:val="center"/>
        <w:rPr>
          <w:rtl/>
          <w:lang w:val="en-GB"/>
        </w:rPr>
      </w:pPr>
    </w:p>
    <w:p w:rsidR="00EB4AF0" w:rsidRDefault="00EB4AF0"/>
    <w:p w:rsidR="00E7576E" w:rsidRDefault="00E7576E"/>
    <w:p w:rsidR="00E7576E" w:rsidRDefault="00E7576E"/>
    <w:p w:rsidR="00E7576E" w:rsidRDefault="00E7576E"/>
    <w:p w:rsidR="00E7576E" w:rsidRDefault="00E7576E"/>
    <w:p w:rsidR="00E7576E" w:rsidRDefault="00E7576E"/>
    <w:p w:rsidR="00E7576E" w:rsidRDefault="00E7576E"/>
    <w:p w:rsidR="00E7576E" w:rsidRDefault="00E7576E" w:rsidP="00E7576E">
      <w:pPr>
        <w:jc w:val="center"/>
        <w:rPr>
          <w:rtl/>
          <w:lang w:val="en-GB"/>
        </w:rPr>
      </w:pPr>
    </w:p>
    <w:p w:rsidR="00E7576E" w:rsidRDefault="00E7576E" w:rsidP="00E7576E">
      <w:pPr>
        <w:jc w:val="right"/>
        <w:rPr>
          <w:rtl/>
          <w:lang w:val="en-GB"/>
        </w:rPr>
      </w:pPr>
      <w:r>
        <w:rPr>
          <w:rFonts w:hint="cs"/>
          <w:rtl/>
          <w:lang w:val="en-GB"/>
        </w:rPr>
        <w:t xml:space="preserve">يقع المشروع غرب مدينة نابلس منطقة بيت وزن على طريق رئيسي يربط المدينة ببقية مدن الضفة الغربية بالاضافة لكونه قريب من المدينة و سهولة المواصلات اليه </w:t>
      </w:r>
    </w:p>
    <w:p w:rsidR="00E7576E" w:rsidRDefault="00E7576E" w:rsidP="00E7576E">
      <w:pPr>
        <w:jc w:val="right"/>
        <w:rPr>
          <w:rFonts w:hint="cs"/>
          <w:rtl/>
          <w:lang w:val="en-GB"/>
        </w:rPr>
      </w:pPr>
      <w:r>
        <w:rPr>
          <w:rFonts w:hint="cs"/>
          <w:rtl/>
          <w:lang w:val="en-GB"/>
        </w:rPr>
        <w:t xml:space="preserve">المشروع هو عبارة عن برج يضم اشكال مختلفة من الوسائل الاعلامية المرئية و المسموعة و يعتبر مركز اعلامي للمتدربين و العاملين في هذا المجال لاحتوائه على قناة فضائية و قناة اذاعة محلية و صحيفة </w:t>
      </w:r>
    </w:p>
    <w:p w:rsidR="00E7576E" w:rsidRDefault="00E7576E" w:rsidP="00E7576E">
      <w:pPr>
        <w:jc w:val="right"/>
        <w:rPr>
          <w:rFonts w:hint="cs"/>
          <w:rtl/>
          <w:lang w:val="en-GB"/>
        </w:rPr>
      </w:pPr>
      <w:r>
        <w:rPr>
          <w:rFonts w:hint="cs"/>
          <w:rtl/>
          <w:lang w:val="en-GB"/>
        </w:rPr>
        <w:t xml:space="preserve">الهدف من المشروع هو جمع كل هذه الوسائل الاعلامية في مكان واحد و ربطها ببعضها للبعض لخلق مكان متكامل قادر على اخراج مواد اعلامية عالية الجودة </w:t>
      </w:r>
    </w:p>
    <w:p w:rsidR="00E7576E" w:rsidRDefault="00E7576E" w:rsidP="00E7576E">
      <w:pPr>
        <w:jc w:val="right"/>
        <w:rPr>
          <w:rtl/>
          <w:lang w:val="en-GB"/>
        </w:rPr>
      </w:pPr>
      <w:r>
        <w:rPr>
          <w:rFonts w:hint="cs"/>
          <w:rtl/>
          <w:lang w:val="en-GB"/>
        </w:rPr>
        <w:t xml:space="preserve">يحتوي طابق التسوية على مسارح و استوديوهات تصوير بالاضافة الى غرف تجهييز قادرة على تغيير هذه المسارح و الاستديوهات لملاءمة البرامج او العروض التي سيتم تصويرها فيها </w:t>
      </w:r>
    </w:p>
    <w:p w:rsidR="00E7576E" w:rsidRDefault="00E7576E" w:rsidP="00E7576E">
      <w:pPr>
        <w:jc w:val="right"/>
        <w:rPr>
          <w:rFonts w:hint="cs"/>
          <w:rtl/>
          <w:lang w:val="en-GB"/>
        </w:rPr>
      </w:pPr>
      <w:r>
        <w:rPr>
          <w:rFonts w:hint="cs"/>
          <w:rtl/>
        </w:rPr>
        <w:t>ي</w:t>
      </w:r>
      <w:r>
        <w:rPr>
          <w:rFonts w:hint="cs"/>
          <w:rtl/>
          <w:lang w:val="en-GB"/>
        </w:rPr>
        <w:t>حتوي هذا المستوى من المبنى على مداخل و مخارج مخصصة للزوار او مشاهدين هذه العروض في المسارح و الاستديوهات بالاضافة الى مصفات للسيارات قادرة على استيعاب هذه الاعداد من الزوار و مساحات مفتوحة و مطلة سيكون لها دور كبير في تنظيم الحركة و تخفيف الازدحام عند الدخول و الخروج</w:t>
      </w:r>
    </w:p>
    <w:p w:rsidR="00E7576E" w:rsidRDefault="00E7576E" w:rsidP="00E7576E">
      <w:pPr>
        <w:jc w:val="right"/>
        <w:rPr>
          <w:rFonts w:hint="cs"/>
          <w:rtl/>
          <w:lang w:val="en-GB"/>
        </w:rPr>
      </w:pPr>
      <w:r>
        <w:rPr>
          <w:rFonts w:hint="cs"/>
          <w:rtl/>
          <w:lang w:val="en-GB"/>
        </w:rPr>
        <w:t xml:space="preserve">يحتوي الطابق الارضى على منطقة استقبال و كوفي شوب و مناطق جلوس و انتظار و تعتبر المكان الاساسي لتواجد غير العاملين او القادمين لقضاء اغراض مؤقتة او الاستفادة من الخدمات التي يقدمها المبنى بالاضافة الى عدد لا باس به من اماكن اصطفاف السيارات للعاملين و الزوار </w:t>
      </w:r>
    </w:p>
    <w:p w:rsidR="00E7576E" w:rsidRDefault="00E7576E" w:rsidP="00E7576E">
      <w:pPr>
        <w:jc w:val="right"/>
        <w:rPr>
          <w:rtl/>
          <w:lang w:val="en-GB"/>
        </w:rPr>
      </w:pPr>
      <w:r>
        <w:rPr>
          <w:rFonts w:hint="cs"/>
          <w:rtl/>
          <w:lang w:val="en-GB"/>
        </w:rPr>
        <w:t xml:space="preserve">يحتوي الطابق </w:t>
      </w:r>
      <w:r>
        <w:rPr>
          <w:rFonts w:hint="cs"/>
          <w:rtl/>
        </w:rPr>
        <w:t>الاول</w:t>
      </w:r>
      <w:r>
        <w:rPr>
          <w:rFonts w:hint="cs"/>
          <w:rtl/>
          <w:lang w:val="en-GB"/>
        </w:rPr>
        <w:t xml:space="preserve"> و الثاني على مكتبة عامة و ارشيف و مكاتب موظفين مع الربط بين الطابقين بصريا و فصلها عن الاستقبال و المدخل لتوفير الهدوء و الراحة في المكتبة  </w:t>
      </w:r>
    </w:p>
    <w:p w:rsidR="00E7576E" w:rsidRDefault="00E7576E" w:rsidP="00E7576E">
      <w:pPr>
        <w:jc w:val="right"/>
        <w:rPr>
          <w:rFonts w:hint="cs"/>
          <w:rtl/>
          <w:lang w:val="en-GB"/>
        </w:rPr>
      </w:pPr>
      <w:r>
        <w:rPr>
          <w:rFonts w:hint="cs"/>
          <w:rtl/>
          <w:lang w:val="en-GB"/>
        </w:rPr>
        <w:t>يحتوي كل من الطابق الثالث و الرابع على المكاتب الادارية و مكاتب الموظفين الاداريين في هذا المركز الاعلامي</w:t>
      </w:r>
    </w:p>
    <w:p w:rsidR="00E7576E" w:rsidRDefault="00E7576E" w:rsidP="00E7576E">
      <w:pPr>
        <w:bidi/>
      </w:pPr>
      <w:r>
        <w:rPr>
          <w:rFonts w:hint="cs"/>
          <w:rtl/>
          <w:lang w:val="en-GB"/>
        </w:rPr>
        <w:t>يتم توزيع بقية الطوابق لمكاتب الموظفين و الاذاعة المحلية بالاضافة لمكاتب العاملين في الصحيفة و ارشيف خاص بكل منهما و مراكز للمتدربين</w:t>
      </w:r>
      <w:bookmarkStart w:id="0" w:name="_GoBack"/>
      <w:bookmarkEnd w:id="0"/>
    </w:p>
    <w:sectPr w:rsidR="00E7576E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587F"/>
    <w:rsid w:val="00045669"/>
    <w:rsid w:val="00121501"/>
    <w:rsid w:val="005D1547"/>
    <w:rsid w:val="007168D2"/>
    <w:rsid w:val="00B06B02"/>
    <w:rsid w:val="00B5587F"/>
    <w:rsid w:val="00E7576E"/>
    <w:rsid w:val="00EB4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DA3404"/>
  <w15:chartTrackingRefBased/>
  <w15:docId w15:val="{60073459-E635-4B10-A019-9F06634C3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576E"/>
  </w:style>
  <w:style w:type="paragraph" w:styleId="Heading1">
    <w:name w:val="heading 1"/>
    <w:basedOn w:val="Normal"/>
    <w:next w:val="Normal"/>
    <w:link w:val="Heading1Char"/>
    <w:uiPriority w:val="9"/>
    <w:qFormat/>
    <w:rsid w:val="00B06B02"/>
    <w:pPr>
      <w:pBdr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pBdr>
      <w:shd w:val="clear" w:color="auto" w:fill="5B9BD5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06B02"/>
    <w:pPr>
      <w:pBdr>
        <w:top w:val="single" w:sz="24" w:space="0" w:color="DEEAF6" w:themeColor="accent1" w:themeTint="33"/>
        <w:left w:val="single" w:sz="24" w:space="0" w:color="DEEAF6" w:themeColor="accent1" w:themeTint="33"/>
        <w:bottom w:val="single" w:sz="24" w:space="0" w:color="DEEAF6" w:themeColor="accent1" w:themeTint="33"/>
        <w:right w:val="single" w:sz="24" w:space="0" w:color="DEEAF6" w:themeColor="accent1" w:themeTint="33"/>
      </w:pBdr>
      <w:shd w:val="clear" w:color="auto" w:fill="DEEAF6" w:themeFill="accent1" w:themeFillTint="33"/>
      <w:spacing w:after="0"/>
      <w:outlineLvl w:val="1"/>
    </w:pPr>
    <w:rPr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06B02"/>
    <w:pPr>
      <w:pBdr>
        <w:top w:val="single" w:sz="6" w:space="2" w:color="5B9BD5" w:themeColor="accent1"/>
      </w:pBdr>
      <w:spacing w:before="300" w:after="0"/>
      <w:outlineLvl w:val="2"/>
    </w:pPr>
    <w:rPr>
      <w:caps/>
      <w:color w:val="1F4D78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06B02"/>
    <w:pPr>
      <w:pBdr>
        <w:top w:val="dotted" w:sz="6" w:space="2" w:color="5B9BD5" w:themeColor="accent1"/>
      </w:pBdr>
      <w:spacing w:before="200" w:after="0"/>
      <w:outlineLvl w:val="3"/>
    </w:pPr>
    <w:rPr>
      <w:caps/>
      <w:color w:val="2E74B5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06B02"/>
    <w:pPr>
      <w:pBdr>
        <w:bottom w:val="single" w:sz="6" w:space="1" w:color="5B9BD5" w:themeColor="accent1"/>
      </w:pBdr>
      <w:spacing w:before="200" w:after="0"/>
      <w:outlineLvl w:val="4"/>
    </w:pPr>
    <w:rPr>
      <w:caps/>
      <w:color w:val="2E74B5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06B02"/>
    <w:pPr>
      <w:pBdr>
        <w:bottom w:val="dotted" w:sz="6" w:space="1" w:color="5B9BD5" w:themeColor="accent1"/>
      </w:pBdr>
      <w:spacing w:before="200" w:after="0"/>
      <w:outlineLvl w:val="5"/>
    </w:pPr>
    <w:rPr>
      <w:caps/>
      <w:color w:val="2E74B5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06B02"/>
    <w:pPr>
      <w:spacing w:before="200" w:after="0"/>
      <w:outlineLvl w:val="6"/>
    </w:pPr>
    <w:rPr>
      <w:caps/>
      <w:color w:val="2E74B5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06B02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06B02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06B02"/>
    <w:rPr>
      <w:caps/>
      <w:color w:val="FFFFFF" w:themeColor="background1"/>
      <w:spacing w:val="15"/>
      <w:sz w:val="22"/>
      <w:szCs w:val="22"/>
      <w:shd w:val="clear" w:color="auto" w:fill="5B9BD5" w:themeFill="accent1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06B02"/>
    <w:rPr>
      <w:caps/>
      <w:spacing w:val="15"/>
      <w:shd w:val="clear" w:color="auto" w:fill="DEEAF6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06B02"/>
    <w:rPr>
      <w:caps/>
      <w:color w:val="1F4D78" w:themeColor="accent1" w:themeShade="7F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06B02"/>
    <w:rPr>
      <w:caps/>
      <w:color w:val="2E74B5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06B02"/>
    <w:rPr>
      <w:caps/>
      <w:color w:val="2E74B5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06B02"/>
    <w:rPr>
      <w:caps/>
      <w:color w:val="2E74B5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06B02"/>
    <w:rPr>
      <w:caps/>
      <w:color w:val="2E74B5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06B0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06B02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B06B02"/>
    <w:rPr>
      <w:b/>
      <w:bCs/>
      <w:color w:val="2E74B5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B06B02"/>
    <w:pPr>
      <w:spacing w:before="0" w:after="0"/>
    </w:pPr>
    <w:rPr>
      <w:rFonts w:asciiTheme="majorHAnsi" w:eastAsiaTheme="majorEastAsia" w:hAnsiTheme="majorHAnsi" w:cstheme="majorBidi"/>
      <w:caps/>
      <w:color w:val="5B9BD5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B06B02"/>
    <w:rPr>
      <w:rFonts w:asciiTheme="majorHAnsi" w:eastAsiaTheme="majorEastAsia" w:hAnsiTheme="majorHAnsi" w:cstheme="majorBidi"/>
      <w:caps/>
      <w:color w:val="5B9BD5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B06B02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B06B02"/>
    <w:rPr>
      <w:caps/>
      <w:color w:val="595959" w:themeColor="text1" w:themeTint="A6"/>
      <w:spacing w:val="10"/>
      <w:sz w:val="21"/>
      <w:szCs w:val="21"/>
    </w:rPr>
  </w:style>
  <w:style w:type="character" w:styleId="Strong">
    <w:name w:val="Strong"/>
    <w:uiPriority w:val="22"/>
    <w:qFormat/>
    <w:rsid w:val="00B06B02"/>
    <w:rPr>
      <w:b/>
      <w:bCs/>
    </w:rPr>
  </w:style>
  <w:style w:type="character" w:styleId="Emphasis">
    <w:name w:val="Emphasis"/>
    <w:uiPriority w:val="20"/>
    <w:qFormat/>
    <w:rsid w:val="00B06B02"/>
    <w:rPr>
      <w:caps/>
      <w:color w:val="1F4D78" w:themeColor="accent1" w:themeShade="7F"/>
      <w:spacing w:val="5"/>
    </w:rPr>
  </w:style>
  <w:style w:type="paragraph" w:styleId="NoSpacing">
    <w:name w:val="No Spacing"/>
    <w:uiPriority w:val="1"/>
    <w:qFormat/>
    <w:rsid w:val="00B06B0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B06B02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B06B02"/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B06B02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06B02"/>
    <w:pPr>
      <w:spacing w:before="240" w:after="240" w:line="240" w:lineRule="auto"/>
      <w:ind w:left="1080" w:right="1080"/>
      <w:jc w:val="center"/>
    </w:pPr>
    <w:rPr>
      <w:color w:val="5B9BD5" w:themeColor="accent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06B02"/>
    <w:rPr>
      <w:color w:val="5B9BD5" w:themeColor="accent1"/>
      <w:sz w:val="24"/>
      <w:szCs w:val="24"/>
    </w:rPr>
  </w:style>
  <w:style w:type="character" w:styleId="SubtleEmphasis">
    <w:name w:val="Subtle Emphasis"/>
    <w:uiPriority w:val="19"/>
    <w:qFormat/>
    <w:rsid w:val="00B06B02"/>
    <w:rPr>
      <w:i/>
      <w:iCs/>
      <w:color w:val="1F4D78" w:themeColor="accent1" w:themeShade="7F"/>
    </w:rPr>
  </w:style>
  <w:style w:type="character" w:styleId="IntenseEmphasis">
    <w:name w:val="Intense Emphasis"/>
    <w:uiPriority w:val="21"/>
    <w:qFormat/>
    <w:rsid w:val="00B06B02"/>
    <w:rPr>
      <w:b/>
      <w:bCs/>
      <w:caps/>
      <w:color w:val="1F4D78" w:themeColor="accent1" w:themeShade="7F"/>
      <w:spacing w:val="10"/>
    </w:rPr>
  </w:style>
  <w:style w:type="character" w:styleId="SubtleReference">
    <w:name w:val="Subtle Reference"/>
    <w:uiPriority w:val="31"/>
    <w:qFormat/>
    <w:rsid w:val="00B06B02"/>
    <w:rPr>
      <w:b/>
      <w:bCs/>
      <w:color w:val="5B9BD5" w:themeColor="accent1"/>
    </w:rPr>
  </w:style>
  <w:style w:type="character" w:styleId="IntenseReference">
    <w:name w:val="Intense Reference"/>
    <w:uiPriority w:val="32"/>
    <w:qFormat/>
    <w:rsid w:val="00B06B02"/>
    <w:rPr>
      <w:b/>
      <w:bCs/>
      <w:i/>
      <w:iCs/>
      <w:caps/>
      <w:color w:val="5B9BD5" w:themeColor="accent1"/>
    </w:rPr>
  </w:style>
  <w:style w:type="character" w:styleId="BookTitle">
    <w:name w:val="Book Title"/>
    <w:uiPriority w:val="33"/>
    <w:qFormat/>
    <w:rsid w:val="00B06B02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06B02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258</Words>
  <Characters>1472</Characters>
  <Application>Microsoft Office Word</Application>
  <DocSecurity>0</DocSecurity>
  <Lines>12</Lines>
  <Paragraphs>3</Paragraphs>
  <ScaleCrop>false</ScaleCrop>
  <Company/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2019-09-04T07:03:00Z</dcterms:created>
  <dcterms:modified xsi:type="dcterms:W3CDTF">2019-09-04T07:03:00Z</dcterms:modified>
</cp:coreProperties>
</file>