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6057" w:rsidRPr="00ED3A7F" w:rsidRDefault="00766057" w:rsidP="00766057">
      <w:pPr>
        <w:rPr>
          <w:rFonts w:asciiTheme="majorBidi" w:eastAsia="Calibri" w:hAnsiTheme="majorBidi" w:cstheme="majorBidi"/>
          <w:b/>
          <w:bCs/>
          <w:color w:val="17365D" w:themeColor="text2" w:themeShade="BF"/>
          <w:sz w:val="24"/>
          <w:szCs w:val="24"/>
          <w:lang w:val="en-GB"/>
        </w:rPr>
      </w:pPr>
      <w:bookmarkStart w:id="0" w:name="_GoBack"/>
      <w:bookmarkEnd w:id="0"/>
    </w:p>
    <w:p w:rsidR="00E3378C" w:rsidRDefault="00766057" w:rsidP="00766057">
      <w:pPr>
        <w:jc w:val="right"/>
        <w:rPr>
          <w:rtl/>
          <w:lang w:bidi="ar-EG"/>
        </w:rPr>
      </w:pPr>
      <w:r>
        <w:rPr>
          <w:rFonts w:hint="cs"/>
          <w:rtl/>
          <w:lang w:bidi="ar-EG"/>
        </w:rPr>
        <w:t xml:space="preserve">في تقرير هذا المشروع, تحليل انشائي مفصل وتصميم لمركز المؤتمرات في الجامعة الاسلامية في المدنية المنورة, المبنى يتكون من قاعة مؤتمر رئيسية وقاعة اجتماعات وقاعة ندوات </w:t>
      </w:r>
      <w:r w:rsidR="00A60CA0">
        <w:rPr>
          <w:rFonts w:hint="cs"/>
          <w:rtl/>
          <w:lang w:bidi="ar-EG"/>
        </w:rPr>
        <w:t>وغرف صحافة ومطعم ومطبخ ومسجد ومصفات والخ من الخدمات الاخرى.</w:t>
      </w:r>
    </w:p>
    <w:p w:rsidR="00A60CA0" w:rsidRDefault="00A60CA0" w:rsidP="00766057">
      <w:pPr>
        <w:jc w:val="right"/>
        <w:rPr>
          <w:rtl/>
          <w:lang w:bidi="ar-EG"/>
        </w:rPr>
      </w:pPr>
      <w:r>
        <w:rPr>
          <w:rFonts w:hint="cs"/>
          <w:rtl/>
          <w:lang w:bidi="ar-EG"/>
        </w:rPr>
        <w:t>هذا المبنى عبارة عن منشا باطوني مسلح مقسم الى ستة اجزاء, يتكون من ثلاثة طوابق بالاضافة الى السقف اما الخرساني او السقف الحديدي, بمجموع مساحات 23460 متر مربع.</w:t>
      </w:r>
    </w:p>
    <w:p w:rsidR="00A60CA0" w:rsidRDefault="00A60CA0" w:rsidP="00A60CA0">
      <w:pPr>
        <w:jc w:val="right"/>
        <w:rPr>
          <w:rtl/>
          <w:lang w:bidi="ar-EG"/>
        </w:rPr>
      </w:pPr>
      <w:r>
        <w:rPr>
          <w:rFonts w:hint="cs"/>
          <w:rtl/>
          <w:lang w:bidi="ar-EG"/>
        </w:rPr>
        <w:t>في الجزء الاول من المشروع تم عمل تحليل وتصميم لاجزاء المبنى باعتبار الاحمار الراسية من الوزن الحي والوزن الميت, اما في الجزء الثاني تم تحليل وتصميم لاجزاء المبنى المختلفة بالعتبار الاحمال الراسية والاحمال الجانبية وهي احمال الزلازل.</w:t>
      </w:r>
    </w:p>
    <w:p w:rsidR="00A60CA0" w:rsidRDefault="00A60CA0" w:rsidP="00A60CA0">
      <w:pPr>
        <w:jc w:val="right"/>
        <w:rPr>
          <w:rtl/>
          <w:lang w:bidi="ar-EG"/>
        </w:rPr>
      </w:pPr>
      <w:r>
        <w:rPr>
          <w:rFonts w:hint="cs"/>
          <w:rtl/>
          <w:lang w:bidi="ar-EG"/>
        </w:rPr>
        <w:t xml:space="preserve">تم الاستعانة ببرنامجي ايتابس وساب لاتمام التحليل والتصميم للمنشا. </w:t>
      </w:r>
      <w:r>
        <w:rPr>
          <w:lang w:bidi="ar-EG"/>
        </w:rPr>
        <w:t xml:space="preserve"> </w:t>
      </w:r>
    </w:p>
    <w:sectPr w:rsidR="00A60CA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057"/>
    <w:rsid w:val="00766057"/>
    <w:rsid w:val="00A60CA0"/>
    <w:rsid w:val="00AE7AE1"/>
    <w:rsid w:val="00E3378C"/>
    <w:rsid w:val="00F24C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79AE0"/>
  <w15:chartTrackingRefBased/>
  <w15:docId w15:val="{DD602DF1-118D-4AF5-902D-C544974C7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605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102</Words>
  <Characters>583</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Obadah Abu Eideh</dc:creator>
  <cp:keywords/>
  <dc:description/>
  <cp:lastModifiedBy>mona</cp:lastModifiedBy>
  <cp:revision>3</cp:revision>
  <dcterms:created xsi:type="dcterms:W3CDTF">2019-01-10T07:00:00Z</dcterms:created>
  <dcterms:modified xsi:type="dcterms:W3CDTF">2019-02-24T07:04:00Z</dcterms:modified>
</cp:coreProperties>
</file>