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946AB2" w14:textId="22FE2A8C" w:rsidR="00AD6A50" w:rsidRPr="007E57EC" w:rsidRDefault="007E57EC" w:rsidP="007E57EC">
      <w:pPr>
        <w:bidi/>
        <w:spacing w:line="360" w:lineRule="auto"/>
        <w:rPr>
          <w:rFonts w:asciiTheme="majorBidi" w:hAnsiTheme="majorBidi" w:cstheme="majorBidi"/>
          <w:b/>
          <w:bCs/>
          <w:color w:val="0D0D0D" w:themeColor="text1" w:themeTint="F2"/>
          <w:sz w:val="28"/>
          <w:szCs w:val="28"/>
          <w:rtl/>
        </w:rPr>
      </w:pPr>
      <w:bookmarkStart w:id="0" w:name="_GoBack"/>
      <w:r w:rsidRPr="007E57EC">
        <w:rPr>
          <w:rFonts w:asciiTheme="majorBidi" w:hAnsiTheme="majorBidi" w:cstheme="majorBidi"/>
          <w:b/>
          <w:bCs/>
          <w:color w:val="0D0D0D" w:themeColor="text1" w:themeTint="F2"/>
          <w:sz w:val="28"/>
          <w:szCs w:val="28"/>
          <w:rtl/>
        </w:rPr>
        <w:t>الطاقة الشمسية الحرارية المركزة</w:t>
      </w:r>
    </w:p>
    <w:bookmarkEnd w:id="0"/>
    <w:p w14:paraId="0BB310A2" w14:textId="75C49A0E" w:rsidR="007E57EC" w:rsidRPr="007E57EC" w:rsidRDefault="007E57EC" w:rsidP="007E57EC">
      <w:pPr>
        <w:bidi/>
        <w:spacing w:line="360" w:lineRule="auto"/>
        <w:rPr>
          <w:rFonts w:asciiTheme="majorBidi" w:hAnsiTheme="majorBidi" w:cstheme="majorBidi"/>
          <w:color w:val="0D0D0D" w:themeColor="text1" w:themeTint="F2"/>
          <w:sz w:val="24"/>
          <w:szCs w:val="24"/>
          <w:rtl/>
        </w:rPr>
      </w:pPr>
      <w:r w:rsidRPr="007E57EC">
        <w:rPr>
          <w:rFonts w:asciiTheme="majorBidi" w:hAnsiTheme="majorBidi" w:cstheme="majorBidi"/>
          <w:color w:val="0D0D0D" w:themeColor="text1" w:themeTint="F2"/>
          <w:sz w:val="24"/>
          <w:szCs w:val="24"/>
          <w:rtl/>
        </w:rPr>
        <w:t xml:space="preserve">إن شح موارد الطاقة وعجز الدولة عن إنتاجها محليا، لا يخفى اليوم على أي مواطن، إذ تستورد </w:t>
      </w:r>
      <w:r w:rsidRPr="007E57EC">
        <w:rPr>
          <w:rFonts w:asciiTheme="majorBidi" w:hAnsiTheme="majorBidi" w:cstheme="majorBidi"/>
          <w:color w:val="0D0D0D" w:themeColor="text1" w:themeTint="F2"/>
          <w:sz w:val="24"/>
          <w:szCs w:val="24"/>
          <w:rtl/>
        </w:rPr>
        <w:t>فلسطين</w:t>
      </w:r>
      <w:r w:rsidRPr="007E57EC">
        <w:rPr>
          <w:rFonts w:asciiTheme="majorBidi" w:hAnsiTheme="majorBidi" w:cstheme="majorBidi"/>
          <w:color w:val="0D0D0D" w:themeColor="text1" w:themeTint="F2"/>
          <w:sz w:val="24"/>
          <w:szCs w:val="24"/>
          <w:rtl/>
        </w:rPr>
        <w:t> </w:t>
      </w:r>
      <w:hyperlink r:id="rId5" w:history="1">
        <w:r w:rsidRPr="007E57EC">
          <w:rPr>
            <w:rStyle w:val="Hyperlink"/>
            <w:rFonts w:asciiTheme="majorBidi" w:hAnsiTheme="majorBidi" w:cstheme="majorBidi"/>
            <w:color w:val="0D0D0D" w:themeColor="text1" w:themeTint="F2"/>
            <w:sz w:val="24"/>
            <w:szCs w:val="24"/>
            <w:u w:val="none"/>
          </w:rPr>
          <w:t xml:space="preserve">97% </w:t>
        </w:r>
        <w:r w:rsidRPr="007E57EC">
          <w:rPr>
            <w:rStyle w:val="Hyperlink"/>
            <w:rFonts w:asciiTheme="majorBidi" w:hAnsiTheme="majorBidi" w:cstheme="majorBidi"/>
            <w:color w:val="0D0D0D" w:themeColor="text1" w:themeTint="F2"/>
            <w:sz w:val="24"/>
            <w:szCs w:val="24"/>
            <w:u w:val="none"/>
            <w:rtl/>
          </w:rPr>
          <w:t>من حاجتها</w:t>
        </w:r>
      </w:hyperlink>
      <w:r w:rsidRPr="007E57EC">
        <w:rPr>
          <w:rFonts w:asciiTheme="majorBidi" w:hAnsiTheme="majorBidi" w:cstheme="majorBidi"/>
          <w:color w:val="0D0D0D" w:themeColor="text1" w:themeTint="F2"/>
          <w:sz w:val="24"/>
          <w:szCs w:val="24"/>
        </w:rPr>
        <w:t xml:space="preserve"> </w:t>
      </w:r>
      <w:r w:rsidRPr="007E57EC">
        <w:rPr>
          <w:rFonts w:asciiTheme="majorBidi" w:hAnsiTheme="majorBidi" w:cstheme="majorBidi"/>
          <w:color w:val="0D0D0D" w:themeColor="text1" w:themeTint="F2"/>
          <w:sz w:val="24"/>
          <w:szCs w:val="24"/>
          <w:rtl/>
        </w:rPr>
        <w:t xml:space="preserve">من موارد الطاقة. وقد أعلنت الحكومة في السنوات القليلة الماضية عن </w:t>
      </w:r>
      <w:hyperlink r:id="rId6" w:history="1">
        <w:r w:rsidRPr="007E57EC">
          <w:rPr>
            <w:rStyle w:val="Hyperlink"/>
            <w:rFonts w:asciiTheme="majorBidi" w:hAnsiTheme="majorBidi" w:cstheme="majorBidi"/>
            <w:color w:val="0D0D0D" w:themeColor="text1" w:themeTint="F2"/>
            <w:sz w:val="24"/>
            <w:szCs w:val="24"/>
            <w:u w:val="none"/>
            <w:rtl/>
          </w:rPr>
          <w:t>خطتها</w:t>
        </w:r>
      </w:hyperlink>
      <w:r w:rsidRPr="007E57EC">
        <w:rPr>
          <w:rFonts w:asciiTheme="majorBidi" w:hAnsiTheme="majorBidi" w:cstheme="majorBidi"/>
          <w:color w:val="0D0D0D" w:themeColor="text1" w:themeTint="F2"/>
          <w:sz w:val="24"/>
          <w:szCs w:val="24"/>
        </w:rPr>
        <w:t xml:space="preserve"> </w:t>
      </w:r>
      <w:r w:rsidRPr="007E57EC">
        <w:rPr>
          <w:rFonts w:asciiTheme="majorBidi" w:hAnsiTheme="majorBidi" w:cstheme="majorBidi"/>
          <w:color w:val="0D0D0D" w:themeColor="text1" w:themeTint="F2"/>
          <w:sz w:val="24"/>
          <w:szCs w:val="24"/>
          <w:rtl/>
        </w:rPr>
        <w:t>لتوليد كهرباء من مصادر الطاقة المتجددة محليًا. وقد نفذت بالفعل جزءًا من مخططها، وهي مستمرة بتنفيذ باقي المشاريع المنوي تنفيذها بكل سرعة وجدية</w:t>
      </w:r>
      <w:r w:rsidRPr="007E57EC">
        <w:rPr>
          <w:rFonts w:asciiTheme="majorBidi" w:hAnsiTheme="majorBidi" w:cstheme="majorBidi"/>
          <w:color w:val="0D0D0D" w:themeColor="text1" w:themeTint="F2"/>
          <w:sz w:val="24"/>
          <w:szCs w:val="24"/>
        </w:rPr>
        <w:t>.</w:t>
      </w:r>
    </w:p>
    <w:p w14:paraId="02B5E9B8" w14:textId="4DCBFBA6" w:rsidR="007E57EC" w:rsidRPr="007E57EC" w:rsidRDefault="007E57EC" w:rsidP="007E57EC">
      <w:pPr>
        <w:bidi/>
        <w:spacing w:line="360" w:lineRule="auto"/>
        <w:rPr>
          <w:rFonts w:asciiTheme="majorBidi" w:hAnsiTheme="majorBidi" w:cstheme="majorBidi"/>
          <w:color w:val="272727"/>
          <w:sz w:val="24"/>
          <w:szCs w:val="24"/>
          <w:rtl/>
        </w:rPr>
      </w:pPr>
      <w:r w:rsidRPr="007E57EC">
        <w:rPr>
          <w:rFonts w:asciiTheme="majorBidi" w:hAnsiTheme="majorBidi" w:cstheme="majorBidi"/>
          <w:color w:val="272727"/>
          <w:sz w:val="24"/>
          <w:szCs w:val="24"/>
          <w:rtl/>
        </w:rPr>
        <w:t>تُنْتَج الطاقة الشمسية الحرارية المركزة في حقول من المرايا المسطحة أو نصف الدائرية أو الصحنية العاكسة لأشعة الشمس المباشرة على بؤرة واحدة (إما أعلى برج، أو أنبوب، أو بؤرة مركزية..)، لإنتاج بخار يستخدم لتحريك توربينات وتوليد كهرباء. الجزء الأخير من العملية مماثل لما يحدث عند استخدام الغاز لإنتاج الكهرباء، إذ يتم حرق الغاز لإنتاج بخار يستخدم لتشغيل محطات توليد الكهرباء التقليدية</w:t>
      </w:r>
      <w:r w:rsidRPr="007E57EC">
        <w:rPr>
          <w:rFonts w:asciiTheme="majorBidi" w:hAnsiTheme="majorBidi" w:cstheme="majorBidi"/>
          <w:color w:val="272727"/>
          <w:sz w:val="24"/>
          <w:szCs w:val="24"/>
        </w:rPr>
        <w:t>.</w:t>
      </w:r>
    </w:p>
    <w:p w14:paraId="2581EE51" w14:textId="29A2F6A3" w:rsidR="007E57EC" w:rsidRPr="007E57EC" w:rsidRDefault="007E57EC" w:rsidP="007E57EC">
      <w:pPr>
        <w:bidi/>
        <w:spacing w:line="360" w:lineRule="auto"/>
        <w:rPr>
          <w:rFonts w:asciiTheme="majorBidi" w:hAnsiTheme="majorBidi" w:cstheme="majorBidi"/>
          <w:color w:val="272727"/>
          <w:sz w:val="24"/>
          <w:szCs w:val="24"/>
          <w:rtl/>
        </w:rPr>
      </w:pPr>
      <w:r w:rsidRPr="007E57EC">
        <w:rPr>
          <w:rFonts w:asciiTheme="majorBidi" w:hAnsiTheme="majorBidi" w:cstheme="majorBidi"/>
          <w:color w:val="272727"/>
          <w:sz w:val="24"/>
          <w:szCs w:val="24"/>
          <w:rtl/>
        </w:rPr>
        <w:t>ميزة هذه الأنظمة هي قدرتها على تخزين الحرارة لفترات متفاوتة تتراوح بالمجمل ما بين 3 و15 ساعة، حسب نوع التكنولوجيا ومصنّعها، وهو ما يحل مشكلتين أساسيتين في أنظمة الطاقة الشمسية الكهروضوئية: تذبذب البث والدفق الكهربائي، وإمكانية التحكم بتوقيت ضخ الكهرباء بناء على الطلب وفي ساعات خارج ساعات الذروة الشمسية، وبالتالي القدرة على تزويدنا بكهرباء قابلة للتوزيع بحيث تغطي الحمل الأساسي</w:t>
      </w:r>
      <w:r w:rsidRPr="007E57EC">
        <w:rPr>
          <w:rFonts w:asciiTheme="majorBidi" w:hAnsiTheme="majorBidi" w:cstheme="majorBidi"/>
          <w:color w:val="272727"/>
          <w:sz w:val="24"/>
          <w:szCs w:val="24"/>
        </w:rPr>
        <w:t xml:space="preserve"> (Dispatchable Energy).</w:t>
      </w:r>
    </w:p>
    <w:p w14:paraId="6BDC90BF" w14:textId="3F2B6B1D" w:rsidR="007E57EC" w:rsidRPr="007E57EC" w:rsidRDefault="007E57EC" w:rsidP="007E57EC">
      <w:pPr>
        <w:bidi/>
        <w:spacing w:line="360" w:lineRule="auto"/>
        <w:rPr>
          <w:rFonts w:asciiTheme="majorBidi" w:hAnsiTheme="majorBidi" w:cstheme="majorBidi"/>
          <w:color w:val="272727"/>
          <w:sz w:val="24"/>
          <w:szCs w:val="24"/>
          <w:rtl/>
        </w:rPr>
      </w:pPr>
      <w:r w:rsidRPr="007E57EC">
        <w:rPr>
          <w:rFonts w:asciiTheme="majorBidi" w:hAnsiTheme="majorBidi" w:cstheme="majorBidi"/>
          <w:color w:val="272727"/>
          <w:sz w:val="24"/>
          <w:szCs w:val="24"/>
          <w:rtl/>
        </w:rPr>
        <w:t>مشكلة هذه التكنولوجيا أنها حديثة نسبيًا، لذا فهي مكلفة وما زالت قيد التطوير، إذ أن هناك عددًا محدودًا من المحطات التي تعمل بها على مستوى العالم. والكلفة الرأسمالية لهذه المحطات مرتفعة نسبيًا، فكلفة الكيلو واط في الساعة من الكهرباء تزيد عن كلفته عبر الطاقة الكهروضوئية بحوالي ضغفين إلى ثلاثة أضعاف</w:t>
      </w:r>
      <w:r w:rsidRPr="007E57EC">
        <w:rPr>
          <w:rFonts w:asciiTheme="majorBidi" w:hAnsiTheme="majorBidi" w:cstheme="majorBidi"/>
          <w:color w:val="272727"/>
          <w:sz w:val="24"/>
          <w:szCs w:val="24"/>
        </w:rPr>
        <w:t>.</w:t>
      </w:r>
    </w:p>
    <w:p w14:paraId="7955479F" w14:textId="77777777" w:rsidR="007E57EC" w:rsidRPr="007E57EC" w:rsidRDefault="007E57EC" w:rsidP="007E57EC">
      <w:pPr>
        <w:bidi/>
        <w:spacing w:line="360" w:lineRule="auto"/>
        <w:rPr>
          <w:rFonts w:asciiTheme="majorBidi" w:hAnsiTheme="majorBidi" w:cstheme="majorBidi"/>
          <w:color w:val="0D0D0D" w:themeColor="text1" w:themeTint="F2"/>
          <w:sz w:val="24"/>
          <w:szCs w:val="24"/>
          <w:rtl/>
        </w:rPr>
      </w:pPr>
      <w:r w:rsidRPr="007E57EC">
        <w:rPr>
          <w:rFonts w:asciiTheme="majorBidi" w:hAnsiTheme="majorBidi" w:cstheme="majorBidi"/>
          <w:color w:val="0D0D0D" w:themeColor="text1" w:themeTint="F2"/>
          <w:sz w:val="24"/>
          <w:szCs w:val="24"/>
          <w:rtl/>
        </w:rPr>
        <w:t>ومن هنا جاءت فكرة المشروع.</w:t>
      </w:r>
    </w:p>
    <w:p w14:paraId="274B1EA4" w14:textId="40DB4CAA" w:rsidR="007E57EC" w:rsidRPr="007E57EC" w:rsidRDefault="007E57EC" w:rsidP="007E57EC">
      <w:pPr>
        <w:bidi/>
        <w:spacing w:line="360" w:lineRule="auto"/>
        <w:rPr>
          <w:rFonts w:asciiTheme="majorBidi" w:hAnsiTheme="majorBidi" w:cstheme="majorBidi"/>
          <w:color w:val="272727"/>
          <w:sz w:val="24"/>
          <w:szCs w:val="24"/>
        </w:rPr>
      </w:pPr>
      <w:r w:rsidRPr="007E57EC">
        <w:rPr>
          <w:rFonts w:asciiTheme="majorBidi" w:hAnsiTheme="majorBidi" w:cstheme="majorBidi"/>
          <w:color w:val="272727"/>
          <w:sz w:val="24"/>
          <w:szCs w:val="24"/>
          <w:rtl/>
        </w:rPr>
        <w:t xml:space="preserve">قمنا بتصميم محطة شمسية مركزة في مدينة نابلس بقدرة 2 ميغا واط وبعد دراسة الجدوى الاقتصادية وجميع العوامل المؤثرة من مساحة ارض وطبيعتها والاشعاع الشمسي باستخددام برامج عدة متل </w:t>
      </w:r>
      <w:r w:rsidRPr="007E57EC">
        <w:rPr>
          <w:rFonts w:asciiTheme="majorBidi" w:hAnsiTheme="majorBidi" w:cstheme="majorBidi"/>
          <w:color w:val="272727"/>
          <w:sz w:val="24"/>
          <w:szCs w:val="24"/>
        </w:rPr>
        <w:t>SAM ….</w:t>
      </w:r>
    </w:p>
    <w:p w14:paraId="3057749A" w14:textId="77777777" w:rsidR="007E57EC" w:rsidRPr="007E57EC" w:rsidRDefault="007E57EC" w:rsidP="007E57EC">
      <w:pPr>
        <w:bidi/>
        <w:spacing w:line="360" w:lineRule="auto"/>
        <w:rPr>
          <w:rFonts w:asciiTheme="majorBidi" w:hAnsiTheme="majorBidi" w:cstheme="majorBidi"/>
          <w:color w:val="0D0D0D" w:themeColor="text1" w:themeTint="F2"/>
          <w:sz w:val="24"/>
          <w:szCs w:val="24"/>
        </w:rPr>
      </w:pPr>
    </w:p>
    <w:sectPr w:rsidR="007E57EC" w:rsidRPr="007E57E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347F"/>
    <w:rsid w:val="007E57EC"/>
    <w:rsid w:val="00AD6A50"/>
    <w:rsid w:val="00CD347F"/>
    <w:rsid w:val="00D62EB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49D85C"/>
  <w15:chartTrackingRefBased/>
  <w15:docId w15:val="{8FBC1B3F-14E7-4DA8-8525-CE5C2B016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E57E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www.memr.gov.jo/Pages/viewpage.aspx?pageID=157" TargetMode="External"/><Relationship Id="rId5" Type="http://schemas.openxmlformats.org/officeDocument/2006/relationships/hyperlink" Target="http://data.worldbank.org/indicator/EG.IMP.CONS.ZS?locations=JO"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5682EE-DF3A-49ED-983A-C050979974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267</Words>
  <Characters>1527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2018-06-20T18:49:00Z</dcterms:created>
  <dcterms:modified xsi:type="dcterms:W3CDTF">2018-06-20T18:49:00Z</dcterms:modified>
</cp:coreProperties>
</file>