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B0FB26" w14:textId="77777777" w:rsidR="003632AE" w:rsidRDefault="003632AE" w:rsidP="003632AE">
      <w:pPr>
        <w:pStyle w:val="BodyText"/>
        <w:ind w:left="3376"/>
        <w:rPr>
          <w:sz w:val="20"/>
        </w:rPr>
      </w:pPr>
      <w:r>
        <w:rPr>
          <w:noProof/>
          <w:sz w:val="20"/>
        </w:rPr>
        <w:drawing>
          <wp:inline distT="0" distB="0" distL="0" distR="0" wp14:anchorId="3B3668F9" wp14:editId="655BA2F4">
            <wp:extent cx="1501330" cy="1487233"/>
            <wp:effectExtent l="0" t="0" r="0" b="0"/>
            <wp:docPr id="1998461584" name="Image 1" descr="A logo of an eagle and a book&#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98461584" name="Image 1" descr="A logo of an eagle and a book&#10;&#10;Description automatically generated"/>
                    <pic:cNvPicPr/>
                  </pic:nvPicPr>
                  <pic:blipFill>
                    <a:blip r:embed="rId8" cstate="print"/>
                    <a:stretch>
                      <a:fillRect/>
                    </a:stretch>
                  </pic:blipFill>
                  <pic:spPr>
                    <a:xfrm>
                      <a:off x="0" y="0"/>
                      <a:ext cx="1501330" cy="1487233"/>
                    </a:xfrm>
                    <a:prstGeom prst="rect">
                      <a:avLst/>
                    </a:prstGeom>
                  </pic:spPr>
                </pic:pic>
              </a:graphicData>
            </a:graphic>
          </wp:inline>
        </w:drawing>
      </w:r>
    </w:p>
    <w:p w14:paraId="7F9FE234" w14:textId="77777777" w:rsidR="003632AE" w:rsidRDefault="003632AE" w:rsidP="003632AE">
      <w:pPr>
        <w:pStyle w:val="BodyText"/>
        <w:spacing w:before="259"/>
        <w:rPr>
          <w:sz w:val="32"/>
        </w:rPr>
      </w:pPr>
    </w:p>
    <w:p w14:paraId="62622FA3" w14:textId="55B74DF1" w:rsidR="003632AE" w:rsidRPr="00EB1FAD" w:rsidRDefault="003632AE" w:rsidP="00EB1FAD">
      <w:pPr>
        <w:spacing w:line="364" w:lineRule="auto"/>
        <w:ind w:left="2006" w:right="1867"/>
        <w:jc w:val="center"/>
        <w:rPr>
          <w:b/>
          <w:sz w:val="32"/>
        </w:rPr>
      </w:pPr>
      <w:r>
        <w:rPr>
          <w:b/>
          <w:sz w:val="32"/>
        </w:rPr>
        <w:t>An-Najah</w:t>
      </w:r>
      <w:r>
        <w:rPr>
          <w:b/>
          <w:spacing w:val="-17"/>
          <w:sz w:val="32"/>
        </w:rPr>
        <w:t xml:space="preserve"> </w:t>
      </w:r>
      <w:r>
        <w:rPr>
          <w:b/>
          <w:sz w:val="32"/>
        </w:rPr>
        <w:t>National</w:t>
      </w:r>
      <w:r>
        <w:rPr>
          <w:b/>
          <w:spacing w:val="-19"/>
          <w:sz w:val="32"/>
        </w:rPr>
        <w:t xml:space="preserve"> </w:t>
      </w:r>
      <w:r>
        <w:rPr>
          <w:b/>
          <w:sz w:val="32"/>
        </w:rPr>
        <w:t>University Faculty of Graduate Studies</w:t>
      </w:r>
    </w:p>
    <w:p w14:paraId="6F4A1201" w14:textId="38A2B99B" w:rsidR="003632AE" w:rsidRDefault="00EB1FAD" w:rsidP="00EB1FAD">
      <w:pPr>
        <w:pStyle w:val="BodyText"/>
        <w:spacing w:before="122"/>
        <w:jc w:val="center"/>
        <w:rPr>
          <w:b/>
          <w:sz w:val="40"/>
        </w:rPr>
      </w:pPr>
      <w:r w:rsidRPr="00EB1FAD">
        <w:rPr>
          <w:b/>
          <w:sz w:val="40"/>
        </w:rPr>
        <w:t>ASSESSING THE TECHNICAL FEASIBILITY AND ECONOMIC BENEFITS OF INTEGRATING ENERGY STORAGE SYSTEM INTO GRID CONNECTED PV SYSTEM - CASE STUDY APPROACH</w:t>
      </w:r>
    </w:p>
    <w:p w14:paraId="07A19E10" w14:textId="77777777" w:rsidR="003632AE" w:rsidRDefault="003632AE" w:rsidP="003632AE">
      <w:pPr>
        <w:ind w:left="2009" w:right="1867"/>
        <w:jc w:val="center"/>
        <w:rPr>
          <w:b/>
          <w:sz w:val="28"/>
        </w:rPr>
      </w:pPr>
      <w:proofErr w:type="gramStart"/>
      <w:r>
        <w:rPr>
          <w:b/>
          <w:spacing w:val="-5"/>
          <w:sz w:val="28"/>
        </w:rPr>
        <w:t>By</w:t>
      </w:r>
      <w:proofErr w:type="gramEnd"/>
    </w:p>
    <w:p w14:paraId="5062B054" w14:textId="15A3D4E9" w:rsidR="003632AE" w:rsidRDefault="003632AE" w:rsidP="003632AE">
      <w:pPr>
        <w:spacing w:before="187"/>
        <w:ind w:left="142" w:right="1"/>
        <w:jc w:val="center"/>
        <w:rPr>
          <w:b/>
          <w:sz w:val="28"/>
        </w:rPr>
      </w:pPr>
      <w:r w:rsidRPr="003632AE">
        <w:rPr>
          <w:b/>
          <w:sz w:val="28"/>
        </w:rPr>
        <w:t>Rami Hossam Yaqoub</w:t>
      </w:r>
    </w:p>
    <w:p w14:paraId="75137029" w14:textId="492BA5CB" w:rsidR="003632AE" w:rsidRDefault="003632AE" w:rsidP="003632AE">
      <w:pPr>
        <w:ind w:left="2008" w:right="1867"/>
        <w:jc w:val="center"/>
        <w:rPr>
          <w:b/>
          <w:sz w:val="28"/>
        </w:rPr>
      </w:pPr>
      <w:r>
        <w:rPr>
          <w:b/>
          <w:spacing w:val="-2"/>
          <w:sz w:val="28"/>
        </w:rPr>
        <w:t>Supervisor</w:t>
      </w:r>
    </w:p>
    <w:p w14:paraId="05C2D972" w14:textId="0A0FA7C5" w:rsidR="003632AE" w:rsidRDefault="003632AE" w:rsidP="003632AE">
      <w:pPr>
        <w:spacing w:before="187" w:line="376" w:lineRule="auto"/>
        <w:ind w:left="2861" w:right="2713" w:hanging="1"/>
        <w:jc w:val="center"/>
        <w:rPr>
          <w:b/>
          <w:sz w:val="28"/>
        </w:rPr>
      </w:pPr>
      <w:r w:rsidRPr="003632AE">
        <w:rPr>
          <w:b/>
          <w:sz w:val="28"/>
        </w:rPr>
        <w:t>Dr. Aysar Mahmoud Yasin</w:t>
      </w:r>
      <w:r>
        <w:rPr>
          <w:b/>
          <w:sz w:val="28"/>
        </w:rPr>
        <w:t xml:space="preserve"> </w:t>
      </w:r>
    </w:p>
    <w:p w14:paraId="26A282BE" w14:textId="77777777" w:rsidR="003632AE" w:rsidRDefault="003632AE" w:rsidP="003632AE">
      <w:pPr>
        <w:pStyle w:val="BodyText"/>
        <w:spacing w:before="294"/>
        <w:rPr>
          <w:b/>
          <w:sz w:val="28"/>
        </w:rPr>
      </w:pPr>
    </w:p>
    <w:p w14:paraId="437E72B6" w14:textId="77777777" w:rsidR="003632AE" w:rsidRDefault="003632AE" w:rsidP="003632AE">
      <w:pPr>
        <w:spacing w:line="259" w:lineRule="auto"/>
        <w:ind w:left="429" w:right="284" w:hanging="6"/>
        <w:jc w:val="center"/>
        <w:rPr>
          <w:b/>
        </w:rPr>
      </w:pPr>
      <w:r>
        <w:rPr>
          <w:b/>
          <w:sz w:val="22"/>
        </w:rPr>
        <w:t>This Thesis\Dissertation</w:t>
      </w:r>
      <w:r>
        <w:rPr>
          <w:b/>
          <w:spacing w:val="-2"/>
          <w:sz w:val="22"/>
        </w:rPr>
        <w:t xml:space="preserve"> </w:t>
      </w:r>
      <w:r>
        <w:rPr>
          <w:b/>
          <w:sz w:val="22"/>
        </w:rPr>
        <w:t>is Submitted in</w:t>
      </w:r>
      <w:r>
        <w:rPr>
          <w:b/>
          <w:spacing w:val="-3"/>
          <w:sz w:val="22"/>
        </w:rPr>
        <w:t xml:space="preserve"> </w:t>
      </w:r>
      <w:r>
        <w:rPr>
          <w:b/>
          <w:sz w:val="22"/>
        </w:rPr>
        <w:t>Partial</w:t>
      </w:r>
      <w:r>
        <w:rPr>
          <w:b/>
          <w:spacing w:val="-2"/>
          <w:sz w:val="22"/>
        </w:rPr>
        <w:t xml:space="preserve"> </w:t>
      </w:r>
      <w:r>
        <w:rPr>
          <w:b/>
          <w:sz w:val="22"/>
        </w:rPr>
        <w:t>Fulfillment</w:t>
      </w:r>
      <w:r>
        <w:rPr>
          <w:b/>
          <w:spacing w:val="-2"/>
          <w:sz w:val="22"/>
        </w:rPr>
        <w:t xml:space="preserve"> </w:t>
      </w:r>
      <w:r>
        <w:rPr>
          <w:b/>
          <w:sz w:val="22"/>
        </w:rPr>
        <w:t>of the Requirements</w:t>
      </w:r>
      <w:r>
        <w:rPr>
          <w:b/>
          <w:spacing w:val="-2"/>
          <w:sz w:val="22"/>
        </w:rPr>
        <w:t xml:space="preserve"> </w:t>
      </w:r>
      <w:r>
        <w:rPr>
          <w:b/>
          <w:sz w:val="22"/>
        </w:rPr>
        <w:t>for the Degree</w:t>
      </w:r>
      <w:r>
        <w:rPr>
          <w:b/>
          <w:spacing w:val="-3"/>
          <w:sz w:val="22"/>
        </w:rPr>
        <w:t xml:space="preserve"> </w:t>
      </w:r>
      <w:r>
        <w:rPr>
          <w:b/>
          <w:sz w:val="22"/>
        </w:rPr>
        <w:t>of</w:t>
      </w:r>
      <w:r>
        <w:rPr>
          <w:b/>
          <w:spacing w:val="-3"/>
          <w:sz w:val="22"/>
        </w:rPr>
        <w:t xml:space="preserve"> </w:t>
      </w:r>
      <w:r>
        <w:rPr>
          <w:b/>
          <w:sz w:val="22"/>
        </w:rPr>
        <w:t>Master\PhD</w:t>
      </w:r>
      <w:r>
        <w:rPr>
          <w:b/>
          <w:spacing w:val="-5"/>
          <w:sz w:val="22"/>
        </w:rPr>
        <w:t xml:space="preserve"> </w:t>
      </w:r>
      <w:r>
        <w:rPr>
          <w:b/>
          <w:sz w:val="22"/>
        </w:rPr>
        <w:t>program</w:t>
      </w:r>
      <w:r>
        <w:rPr>
          <w:b/>
          <w:spacing w:val="-4"/>
          <w:sz w:val="22"/>
        </w:rPr>
        <w:t xml:space="preserve"> </w:t>
      </w:r>
      <w:r>
        <w:rPr>
          <w:b/>
          <w:sz w:val="22"/>
        </w:rPr>
        <w:t>name,</w:t>
      </w:r>
      <w:r>
        <w:rPr>
          <w:b/>
          <w:spacing w:val="-6"/>
          <w:sz w:val="22"/>
        </w:rPr>
        <w:t xml:space="preserve"> </w:t>
      </w:r>
      <w:r>
        <w:rPr>
          <w:b/>
          <w:sz w:val="22"/>
        </w:rPr>
        <w:t>Faculty</w:t>
      </w:r>
      <w:r>
        <w:rPr>
          <w:b/>
          <w:spacing w:val="-6"/>
          <w:sz w:val="22"/>
        </w:rPr>
        <w:t xml:space="preserve"> </w:t>
      </w:r>
      <w:r>
        <w:rPr>
          <w:b/>
          <w:sz w:val="22"/>
        </w:rPr>
        <w:t>of</w:t>
      </w:r>
      <w:r>
        <w:rPr>
          <w:b/>
          <w:spacing w:val="-3"/>
          <w:sz w:val="22"/>
        </w:rPr>
        <w:t xml:space="preserve"> </w:t>
      </w:r>
      <w:r>
        <w:rPr>
          <w:b/>
          <w:sz w:val="22"/>
        </w:rPr>
        <w:t>Graduate</w:t>
      </w:r>
      <w:r>
        <w:rPr>
          <w:b/>
          <w:spacing w:val="-3"/>
          <w:sz w:val="22"/>
        </w:rPr>
        <w:t xml:space="preserve"> </w:t>
      </w:r>
      <w:r>
        <w:rPr>
          <w:b/>
          <w:sz w:val="22"/>
        </w:rPr>
        <w:t>Studies,</w:t>
      </w:r>
      <w:r>
        <w:rPr>
          <w:b/>
          <w:spacing w:val="-3"/>
          <w:sz w:val="22"/>
        </w:rPr>
        <w:t xml:space="preserve"> </w:t>
      </w:r>
      <w:r>
        <w:rPr>
          <w:b/>
          <w:sz w:val="22"/>
        </w:rPr>
        <w:t>An-Najah</w:t>
      </w:r>
      <w:r>
        <w:rPr>
          <w:b/>
          <w:spacing w:val="-3"/>
          <w:sz w:val="22"/>
        </w:rPr>
        <w:t xml:space="preserve"> </w:t>
      </w:r>
      <w:r>
        <w:rPr>
          <w:b/>
          <w:sz w:val="22"/>
        </w:rPr>
        <w:t>National University, Nablus - Palestine.</w:t>
      </w:r>
    </w:p>
    <w:p w14:paraId="5614F38D" w14:textId="0953E697" w:rsidR="003632AE" w:rsidRPr="00D556CC" w:rsidRDefault="00D556CC" w:rsidP="003632AE">
      <w:pPr>
        <w:spacing w:before="239"/>
        <w:ind w:left="2010" w:right="1867"/>
        <w:jc w:val="center"/>
        <w:rPr>
          <w:b/>
          <w:sz w:val="28"/>
        </w:rPr>
        <w:sectPr w:rsidR="003632AE" w:rsidRPr="00D556CC" w:rsidSect="00EB1FAD">
          <w:pgSz w:w="11910" w:h="16840"/>
          <w:pgMar w:top="860" w:right="1275" w:bottom="280" w:left="1700" w:header="720" w:footer="720" w:gutter="0"/>
          <w:pgNumType w:fmt="upperRoman"/>
          <w:cols w:space="720"/>
        </w:sectPr>
      </w:pPr>
      <w:r>
        <w:rPr>
          <w:b/>
          <w:spacing w:val="-4"/>
          <w:sz w:val="28"/>
        </w:rPr>
        <w:t>2025</w:t>
      </w:r>
    </w:p>
    <w:p w14:paraId="45AFEF4E" w14:textId="772C6705" w:rsidR="003632AE" w:rsidRDefault="00EB1FAD" w:rsidP="00EB1FAD">
      <w:pPr>
        <w:pStyle w:val="BodyText"/>
        <w:spacing w:before="206"/>
        <w:jc w:val="center"/>
        <w:rPr>
          <w:b/>
          <w:sz w:val="40"/>
        </w:rPr>
      </w:pPr>
      <w:r w:rsidRPr="00EB1FAD">
        <w:rPr>
          <w:b/>
          <w:sz w:val="40"/>
        </w:rPr>
        <w:lastRenderedPageBreak/>
        <w:t>ASSESSING THE TECHNICAL FEASIBILITY AND ECONOMIC BENEFITS OF INTEGRATING ENERGY STORAGE SYSTEM INTO GRID CONNECTED PV SYSTEM - CASE STUDY APPROACH</w:t>
      </w:r>
    </w:p>
    <w:p w14:paraId="097C6FD6" w14:textId="77777777" w:rsidR="003632AE" w:rsidRDefault="003632AE" w:rsidP="003632AE">
      <w:pPr>
        <w:pStyle w:val="BodyText"/>
        <w:ind w:left="2012" w:right="1867"/>
        <w:jc w:val="center"/>
      </w:pPr>
      <w:proofErr w:type="gramStart"/>
      <w:r>
        <w:rPr>
          <w:spacing w:val="-5"/>
        </w:rPr>
        <w:t>By</w:t>
      </w:r>
      <w:proofErr w:type="gramEnd"/>
    </w:p>
    <w:p w14:paraId="05DB18D2" w14:textId="54A91391" w:rsidR="003632AE" w:rsidRDefault="003632AE" w:rsidP="003632AE">
      <w:pPr>
        <w:pStyle w:val="BodyText"/>
        <w:spacing w:before="262"/>
        <w:ind w:left="142" w:right="3"/>
        <w:jc w:val="center"/>
      </w:pPr>
      <w:r w:rsidRPr="003632AE">
        <w:t>Rami Hossam Yaqoub</w:t>
      </w:r>
    </w:p>
    <w:p w14:paraId="4153ECFB" w14:textId="77777777" w:rsidR="003632AE" w:rsidRDefault="003632AE" w:rsidP="003632AE">
      <w:pPr>
        <w:pStyle w:val="BodyText"/>
      </w:pPr>
    </w:p>
    <w:p w14:paraId="4BB737F8" w14:textId="77777777" w:rsidR="003632AE" w:rsidRDefault="003632AE" w:rsidP="003632AE">
      <w:pPr>
        <w:pStyle w:val="BodyText"/>
        <w:spacing w:before="30"/>
      </w:pPr>
    </w:p>
    <w:p w14:paraId="4EEAF651" w14:textId="2545CDDD" w:rsidR="003632AE" w:rsidRDefault="003632AE" w:rsidP="003632AE">
      <w:pPr>
        <w:pStyle w:val="BodyText"/>
        <w:spacing w:before="1" w:line="790" w:lineRule="atLeast"/>
        <w:ind w:left="393" w:firstLine="67"/>
      </w:pPr>
      <w:r>
        <w:t>This</w:t>
      </w:r>
      <w:r>
        <w:rPr>
          <w:spacing w:val="-4"/>
        </w:rPr>
        <w:t xml:space="preserve"> </w:t>
      </w:r>
      <w:r>
        <w:t>Thesis\Dissertation</w:t>
      </w:r>
      <w:r>
        <w:rPr>
          <w:spacing w:val="-1"/>
        </w:rPr>
        <w:t xml:space="preserve"> </w:t>
      </w:r>
      <w:r>
        <w:t>was</w:t>
      </w:r>
      <w:r>
        <w:rPr>
          <w:spacing w:val="-4"/>
        </w:rPr>
        <w:t xml:space="preserve"> </w:t>
      </w:r>
      <w:r>
        <w:t>Defended</w:t>
      </w:r>
      <w:r>
        <w:rPr>
          <w:spacing w:val="-4"/>
        </w:rPr>
        <w:t xml:space="preserve"> </w:t>
      </w:r>
      <w:r>
        <w:t>Successfully</w:t>
      </w:r>
      <w:r>
        <w:rPr>
          <w:spacing w:val="-8"/>
        </w:rPr>
        <w:t xml:space="preserve"> </w:t>
      </w:r>
      <w:r>
        <w:t>on</w:t>
      </w:r>
      <w:r>
        <w:rPr>
          <w:spacing w:val="-3"/>
        </w:rPr>
        <w:t xml:space="preserve"> </w:t>
      </w:r>
      <w:r>
        <w:t>00/00/0000</w:t>
      </w:r>
      <w:r>
        <w:rPr>
          <w:spacing w:val="-4"/>
        </w:rPr>
        <w:t xml:space="preserve"> </w:t>
      </w:r>
      <w:r>
        <w:t>and</w:t>
      </w:r>
      <w:r>
        <w:rPr>
          <w:spacing w:val="-4"/>
        </w:rPr>
        <w:t xml:space="preserve"> </w:t>
      </w:r>
      <w:r>
        <w:t>approved</w:t>
      </w:r>
      <w:r>
        <w:rPr>
          <w:spacing w:val="-4"/>
        </w:rPr>
        <w:t xml:space="preserve"> </w:t>
      </w:r>
      <w:r>
        <w:t xml:space="preserve">by </w:t>
      </w:r>
      <w:r w:rsidRPr="003632AE">
        <w:t>Dr. Aysar Mahmoud Yasin</w:t>
      </w:r>
    </w:p>
    <w:p w14:paraId="26F8575F" w14:textId="77777777" w:rsidR="003632AE" w:rsidRDefault="003632AE" w:rsidP="003632AE">
      <w:pPr>
        <w:tabs>
          <w:tab w:val="left" w:pos="5226"/>
        </w:tabs>
        <w:spacing w:line="20" w:lineRule="exact"/>
        <w:ind w:left="367"/>
        <w:rPr>
          <w:sz w:val="2"/>
        </w:rPr>
      </w:pPr>
      <w:r>
        <w:rPr>
          <w:noProof/>
          <w:sz w:val="2"/>
        </w:rPr>
        <mc:AlternateContent>
          <mc:Choice Requires="wpg">
            <w:drawing>
              <wp:inline distT="0" distB="0" distL="0" distR="0" wp14:anchorId="2C07ED89" wp14:editId="47306E2C">
                <wp:extent cx="2085975" cy="6350"/>
                <wp:effectExtent l="9525" t="0" r="0" b="3175"/>
                <wp:docPr id="1955911114" name="Group 1955911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85975" cy="6350"/>
                          <a:chOff x="0" y="0"/>
                          <a:chExt cx="2085975" cy="6350"/>
                        </a:xfrm>
                      </wpg:grpSpPr>
                      <wps:wsp>
                        <wps:cNvPr id="2108791882" name="Graphic 4"/>
                        <wps:cNvSpPr/>
                        <wps:spPr>
                          <a:xfrm>
                            <a:off x="0" y="3175"/>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9C3919D" id="Group 1955911114" o:spid="_x0000_s1026" style="width:164.25pt;height:.5pt;mso-position-horizontal-relative:char;mso-position-vertical-relative:line" coordsize="2085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">
                <v:shape id="Graphic 4" o:spid="_x0000_s1027" style="position:absolute;top:31;width:20859;height:13;visibility:visible;mso-wrap-style:square;v-text-anchor:top" coordsize="20859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" path="m,l2085975,e" filled="f" strokeweight=".5pt">
                  <v:path arrowok="t"/>
                </v:shape>
                <w10:anchorlock/>
              </v:group>
            </w:pict>
          </mc:Fallback>
        </mc:AlternateContent>
      </w:r>
      <w:r>
        <w:rPr>
          <w:sz w:val="2"/>
        </w:rPr>
        <w:tab/>
      </w:r>
      <w:r>
        <w:rPr>
          <w:noProof/>
          <w:sz w:val="2"/>
        </w:rPr>
        <mc:AlternateContent>
          <mc:Choice Requires="wpg">
            <w:drawing>
              <wp:inline distT="0" distB="0" distL="0" distR="0" wp14:anchorId="27FF59D0" wp14:editId="0A255383">
                <wp:extent cx="2085975" cy="6350"/>
                <wp:effectExtent l="9525" t="0" r="0" b="3175"/>
                <wp:docPr id="1542008414" name="Group 15420084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85975" cy="6350"/>
                          <a:chOff x="0" y="0"/>
                          <a:chExt cx="2085975" cy="6350"/>
                        </a:xfrm>
                      </wpg:grpSpPr>
                      <wps:wsp>
                        <wps:cNvPr id="2041718846" name="Graphic 6"/>
                        <wps:cNvSpPr/>
                        <wps:spPr>
                          <a:xfrm>
                            <a:off x="0" y="3175"/>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1CD6059" id="Group 1542008414" o:spid="_x0000_s1026" style="width:164.25pt;height:.5pt;mso-position-horizontal-relative:char;mso-position-vertical-relative:line" coordsize="2085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">
                <v:shape id="Graphic 6" o:spid="_x0000_s1027" style="position:absolute;top:31;width:20859;height:13;visibility:visible;mso-wrap-style:square;v-text-anchor:top" coordsize="20859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" path="m,l2085975,e" filled="f" strokeweight=".5pt">
                  <v:path arrowok="t"/>
                </v:shape>
                <w10:anchorlock/>
              </v:group>
            </w:pict>
          </mc:Fallback>
        </mc:AlternateContent>
      </w:r>
    </w:p>
    <w:p w14:paraId="203C981A" w14:textId="77777777" w:rsidR="003632AE" w:rsidRDefault="003632AE" w:rsidP="003632AE">
      <w:pPr>
        <w:pStyle w:val="BodyText"/>
        <w:tabs>
          <w:tab w:val="left" w:pos="6384"/>
        </w:tabs>
        <w:ind w:left="393"/>
      </w:pPr>
      <w:r>
        <w:rPr>
          <w:spacing w:val="-2"/>
        </w:rPr>
        <w:t>Supervisor</w:t>
      </w:r>
      <w:r>
        <w:tab/>
      </w:r>
      <w:r>
        <w:rPr>
          <w:spacing w:val="-2"/>
        </w:rPr>
        <w:t>Signature</w:t>
      </w:r>
    </w:p>
    <w:p w14:paraId="6BC0CBD2" w14:textId="77777777" w:rsidR="003632AE" w:rsidRDefault="003632AE" w:rsidP="003632AE">
      <w:pPr>
        <w:pStyle w:val="BodyText"/>
        <w:spacing w:before="19"/>
      </w:pPr>
    </w:p>
    <w:p w14:paraId="5E582A01" w14:textId="77777777" w:rsidR="003632AE" w:rsidRDefault="003632AE" w:rsidP="003632AE">
      <w:pPr>
        <w:pStyle w:val="BodyText"/>
        <w:ind w:left="393"/>
      </w:pPr>
      <w:r>
        <w:rPr>
          <w:noProof/>
        </w:rPr>
        <mc:AlternateContent>
          <mc:Choice Requires="wps">
            <w:drawing>
              <wp:anchor distT="0" distB="0" distL="0" distR="0" simplePos="0" relativeHeight="251660288" behindDoc="0" locked="0" layoutInCell="1" allowOverlap="1" wp14:anchorId="44963EF8" wp14:editId="52FA7E18">
                <wp:simplePos x="0" y="0"/>
                <wp:positionH relativeFrom="page">
                  <wp:posOffset>1312544</wp:posOffset>
                </wp:positionH>
                <wp:positionV relativeFrom="paragraph">
                  <wp:posOffset>164444</wp:posOffset>
                </wp:positionV>
                <wp:extent cx="2085975" cy="127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B3C9F13" id="Graphic 9" o:spid="_x0000_s1026" style="position:absolute;margin-left:103.35pt;margin-top:12.95pt;width:164.25pt;height:.1pt;z-index:251660288;visibility:visible;mso-wrap-style:square;mso-wrap-distance-left:0;mso-wrap-distance-top:0;mso-wrap-distance-right:0;mso-wrap-distance-bottom:0;mso-position-horizontal:absolute;mso-position-horizontal-relative:page;mso-position-vertical:absolute;mso-position-vertical-relative:text;v-text-anchor:top" coordsize="20859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" path="m,l2085975,e" filled="f" strokeweight=".5pt">
                <v:path arrowok="t"/>
                <w10:wrap anchorx="page"/>
              </v:shape>
            </w:pict>
          </mc:Fallback>
        </mc:AlternateContent>
      </w:r>
      <w:r>
        <w:rPr>
          <w:noProof/>
        </w:rPr>
        <mc:AlternateContent>
          <mc:Choice Requires="wps">
            <w:drawing>
              <wp:anchor distT="0" distB="0" distL="0" distR="0" simplePos="0" relativeHeight="251663360" behindDoc="0" locked="0" layoutInCell="1" allowOverlap="1" wp14:anchorId="6EC43BED" wp14:editId="793BF1CC">
                <wp:simplePos x="0" y="0"/>
                <wp:positionH relativeFrom="page">
                  <wp:posOffset>4398009</wp:posOffset>
                </wp:positionH>
                <wp:positionV relativeFrom="paragraph">
                  <wp:posOffset>164444</wp:posOffset>
                </wp:positionV>
                <wp:extent cx="2085975"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F6747C2" id="Graphic 10" o:spid="_x0000_s1026" style="position:absolute;margin-left:346.3pt;margin-top:12.95pt;width:164.25pt;height:.1pt;z-index:251663360;visibility:visible;mso-wrap-style:square;mso-wrap-distance-left:0;mso-wrap-distance-top:0;mso-wrap-distance-right:0;mso-wrap-distance-bottom:0;mso-position-horizontal:absolute;mso-position-horizontal-relative:page;mso-position-vertical:absolute;mso-position-vertical-relative:text;v-text-anchor:top" coordsize="20859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" path="m,l2085975,e" filled="f" strokeweight=".5pt">
                <v:path arrowok="t"/>
                <w10:wrap anchorx="page"/>
              </v:shape>
            </w:pict>
          </mc:Fallback>
        </mc:AlternateContent>
      </w:r>
      <w:r>
        <w:t>Insert</w:t>
      </w:r>
      <w:r>
        <w:rPr>
          <w:spacing w:val="-3"/>
        </w:rPr>
        <w:t xml:space="preserve"> </w:t>
      </w:r>
      <w:r>
        <w:rPr>
          <w:spacing w:val="-4"/>
        </w:rPr>
        <w:t>Name</w:t>
      </w:r>
    </w:p>
    <w:p w14:paraId="775045CC" w14:textId="77777777" w:rsidR="003632AE" w:rsidRDefault="003632AE" w:rsidP="003632AE">
      <w:pPr>
        <w:pStyle w:val="BodyText"/>
        <w:tabs>
          <w:tab w:val="left" w:pos="6384"/>
        </w:tabs>
        <w:ind w:left="393"/>
      </w:pPr>
      <w:r>
        <w:t>External</w:t>
      </w:r>
      <w:r>
        <w:rPr>
          <w:spacing w:val="-2"/>
        </w:rPr>
        <w:t xml:space="preserve"> Examiner</w:t>
      </w:r>
      <w:r>
        <w:tab/>
      </w:r>
      <w:r>
        <w:rPr>
          <w:spacing w:val="-2"/>
        </w:rPr>
        <w:t>Signature</w:t>
      </w:r>
    </w:p>
    <w:p w14:paraId="5D92905A" w14:textId="77777777" w:rsidR="003632AE" w:rsidRDefault="003632AE" w:rsidP="003632AE">
      <w:pPr>
        <w:pStyle w:val="BodyText"/>
        <w:spacing w:before="19"/>
      </w:pPr>
    </w:p>
    <w:p w14:paraId="5AB8C69A" w14:textId="77777777" w:rsidR="003632AE" w:rsidRDefault="003632AE" w:rsidP="003632AE">
      <w:pPr>
        <w:pStyle w:val="BodyText"/>
        <w:ind w:left="393"/>
      </w:pPr>
      <w:r>
        <w:rPr>
          <w:noProof/>
        </w:rPr>
        <mc:AlternateContent>
          <mc:Choice Requires="wps">
            <w:drawing>
              <wp:anchor distT="0" distB="0" distL="0" distR="0" simplePos="0" relativeHeight="251661312" behindDoc="0" locked="0" layoutInCell="1" allowOverlap="1" wp14:anchorId="0BB8254F" wp14:editId="327C0777">
                <wp:simplePos x="0" y="0"/>
                <wp:positionH relativeFrom="page">
                  <wp:posOffset>1312544</wp:posOffset>
                </wp:positionH>
                <wp:positionV relativeFrom="paragraph">
                  <wp:posOffset>164488</wp:posOffset>
                </wp:positionV>
                <wp:extent cx="2085975" cy="127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F4C6156" id="Graphic 11" o:spid="_x0000_s1026" style="position:absolute;margin-left:103.35pt;margin-top:12.95pt;width:164.25pt;height:.1pt;z-index:251661312;visibility:visible;mso-wrap-style:square;mso-wrap-distance-left:0;mso-wrap-distance-top:0;mso-wrap-distance-right:0;mso-wrap-distance-bottom:0;mso-position-horizontal:absolute;mso-position-horizontal-relative:page;mso-position-vertical:absolute;mso-position-vertical-relative:text;v-text-anchor:top" coordsize="20859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" path="m,l2085975,e" filled="f" strokeweight=".5pt">
                <v:path arrowok="t"/>
                <w10:wrap anchorx="page"/>
              </v:shape>
            </w:pict>
          </mc:Fallback>
        </mc:AlternateContent>
      </w:r>
      <w:r>
        <w:rPr>
          <w:noProof/>
        </w:rPr>
        <mc:AlternateContent>
          <mc:Choice Requires="wps">
            <w:drawing>
              <wp:anchor distT="0" distB="0" distL="0" distR="0" simplePos="0" relativeHeight="251664384" behindDoc="0" locked="0" layoutInCell="1" allowOverlap="1" wp14:anchorId="5B3729CF" wp14:editId="6E4BD246">
                <wp:simplePos x="0" y="0"/>
                <wp:positionH relativeFrom="page">
                  <wp:posOffset>4398009</wp:posOffset>
                </wp:positionH>
                <wp:positionV relativeFrom="paragraph">
                  <wp:posOffset>164488</wp:posOffset>
                </wp:positionV>
                <wp:extent cx="2085975"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5975" cy="1270"/>
                        </a:xfrm>
                        <a:custGeom>
                          <a:avLst/>
                          <a:gdLst/>
                          <a:ahLst/>
                          <a:cxnLst/>
                          <a:rect l="l" t="t" r="r" b="b"/>
                          <a:pathLst>
                            <a:path w="2085975">
                              <a:moveTo>
                                <a:pt x="0" y="0"/>
                              </a:moveTo>
                              <a:lnTo>
                                <a:pt x="2085975"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875C31B" id="Graphic 12" o:spid="_x0000_s1026" style="position:absolute;margin-left:346.3pt;margin-top:12.95pt;width:164.25pt;height:.1pt;z-index:251664384;visibility:visible;mso-wrap-style:square;mso-wrap-distance-left:0;mso-wrap-distance-top:0;mso-wrap-distance-right:0;mso-wrap-distance-bottom:0;mso-position-horizontal:absolute;mso-position-horizontal-relative:page;mso-position-vertical:absolute;mso-position-vertical-relative:text;v-text-anchor:top" coordsize="20859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" path="m,l2085975,e" filled="f" strokeweight=".5pt">
                <v:path arrowok="t"/>
                <w10:wrap anchorx="page"/>
              </v:shape>
            </w:pict>
          </mc:Fallback>
        </mc:AlternateContent>
      </w:r>
      <w:r>
        <w:t>Insert</w:t>
      </w:r>
      <w:r>
        <w:rPr>
          <w:spacing w:val="-3"/>
        </w:rPr>
        <w:t xml:space="preserve"> </w:t>
      </w:r>
      <w:r>
        <w:rPr>
          <w:spacing w:val="-4"/>
        </w:rPr>
        <w:t>Name</w:t>
      </w:r>
    </w:p>
    <w:p w14:paraId="7DA7F016" w14:textId="77777777" w:rsidR="003632AE" w:rsidRDefault="003632AE" w:rsidP="003632AE">
      <w:pPr>
        <w:pStyle w:val="BodyText"/>
        <w:tabs>
          <w:tab w:val="left" w:pos="6384"/>
        </w:tabs>
        <w:ind w:left="393"/>
      </w:pPr>
      <w:r>
        <w:t>Internal</w:t>
      </w:r>
      <w:r>
        <w:rPr>
          <w:spacing w:val="-5"/>
        </w:rPr>
        <w:t xml:space="preserve"> </w:t>
      </w:r>
      <w:r>
        <w:rPr>
          <w:spacing w:val="-2"/>
        </w:rPr>
        <w:t>Examiner</w:t>
      </w:r>
      <w:r>
        <w:tab/>
      </w:r>
      <w:r>
        <w:rPr>
          <w:spacing w:val="-2"/>
        </w:rPr>
        <w:t>Signature</w:t>
      </w:r>
    </w:p>
    <w:p w14:paraId="2EB27CA5" w14:textId="77777777" w:rsidR="003632AE" w:rsidRDefault="003632AE" w:rsidP="003632AE">
      <w:pPr>
        <w:pStyle w:val="BodyText"/>
        <w:sectPr w:rsidR="003632AE" w:rsidSect="00BE5A7D">
          <w:footerReference w:type="default" r:id="rId9"/>
          <w:pgSz w:w="11910" w:h="16840"/>
          <w:pgMar w:top="1920" w:right="1275" w:bottom="1340" w:left="1700" w:header="0" w:footer="1156" w:gutter="0"/>
          <w:pgNumType w:fmt="upperRoman" w:start="2"/>
          <w:cols w:space="720"/>
        </w:sectPr>
      </w:pPr>
    </w:p>
    <w:p w14:paraId="10649B23" w14:textId="63D95F10" w:rsidR="003632AE" w:rsidRPr="003632AE" w:rsidRDefault="003632AE" w:rsidP="003632AE">
      <w:pPr>
        <w:spacing w:before="9"/>
        <w:ind w:left="20"/>
        <w:jc w:val="center"/>
        <w:rPr>
          <w:b/>
          <w:sz w:val="28"/>
        </w:rPr>
      </w:pPr>
      <w:r>
        <w:rPr>
          <w:b/>
          <w:spacing w:val="-2"/>
          <w:w w:val="110"/>
          <w:sz w:val="28"/>
        </w:rPr>
        <w:lastRenderedPageBreak/>
        <w:t>Dedication</w:t>
      </w:r>
    </w:p>
    <w:p w14:paraId="7EA05558" w14:textId="77777777" w:rsidR="003632AE" w:rsidRDefault="003632AE" w:rsidP="003632AE">
      <w:pPr>
        <w:pStyle w:val="BodyText"/>
        <w:ind w:left="285"/>
      </w:pPr>
      <w:bookmarkStart w:id="0" w:name="_bookmark0"/>
      <w:bookmarkEnd w:id="0"/>
      <w:r>
        <w:rPr>
          <w:color w:val="1F2023"/>
        </w:rPr>
        <w:t>The</w:t>
      </w:r>
      <w:r>
        <w:rPr>
          <w:color w:val="1F2023"/>
          <w:spacing w:val="-4"/>
        </w:rPr>
        <w:t xml:space="preserve"> </w:t>
      </w:r>
      <w:r>
        <w:rPr>
          <w:color w:val="1F2023"/>
        </w:rPr>
        <w:t>researcher</w:t>
      </w:r>
      <w:r>
        <w:rPr>
          <w:color w:val="1F2023"/>
          <w:spacing w:val="-1"/>
        </w:rPr>
        <w:t xml:space="preserve"> </w:t>
      </w:r>
      <w:r>
        <w:rPr>
          <w:color w:val="1F2023"/>
        </w:rPr>
        <w:t>may</w:t>
      </w:r>
      <w:r>
        <w:rPr>
          <w:color w:val="1F2023"/>
          <w:spacing w:val="-5"/>
        </w:rPr>
        <w:t xml:space="preserve"> </w:t>
      </w:r>
      <w:r>
        <w:rPr>
          <w:color w:val="1F2023"/>
        </w:rPr>
        <w:t>dedicate his work to relatives, friends and family</w:t>
      </w:r>
      <w:r>
        <w:rPr>
          <w:color w:val="1F2023"/>
          <w:spacing w:val="-5"/>
        </w:rPr>
        <w:t xml:space="preserve"> </w:t>
      </w:r>
      <w:r>
        <w:rPr>
          <w:color w:val="1F2023"/>
          <w:spacing w:val="-2"/>
        </w:rPr>
        <w:t>members.</w:t>
      </w:r>
    </w:p>
    <w:p w14:paraId="67F703AF" w14:textId="77777777" w:rsidR="003632AE" w:rsidRDefault="003632AE" w:rsidP="003632AE">
      <w:pPr>
        <w:pStyle w:val="BodyText"/>
        <w:sectPr w:rsidR="003632AE" w:rsidSect="003632AE">
          <w:headerReference w:type="default" r:id="rId10"/>
          <w:footerReference w:type="default" r:id="rId11"/>
          <w:pgSz w:w="11910" w:h="16840"/>
          <w:pgMar w:top="1740" w:right="1275" w:bottom="1340" w:left="1700" w:header="1430" w:footer="1156" w:gutter="0"/>
          <w:cols w:space="720"/>
        </w:sectPr>
      </w:pPr>
    </w:p>
    <w:p w14:paraId="12147623" w14:textId="3604DF2D" w:rsidR="003632AE" w:rsidRPr="003632AE" w:rsidRDefault="003632AE" w:rsidP="003632AE">
      <w:pPr>
        <w:spacing w:before="9"/>
        <w:ind w:left="20"/>
        <w:jc w:val="center"/>
        <w:rPr>
          <w:b/>
          <w:spacing w:val="-2"/>
          <w:w w:val="110"/>
          <w:sz w:val="28"/>
        </w:rPr>
      </w:pPr>
      <w:r w:rsidRPr="003632AE">
        <w:rPr>
          <w:b/>
          <w:spacing w:val="-2"/>
          <w:w w:val="110"/>
          <w:sz w:val="28"/>
        </w:rPr>
        <w:lastRenderedPageBreak/>
        <w:t>Acknowledgements</w:t>
      </w:r>
    </w:p>
    <w:p w14:paraId="1EA6E968" w14:textId="1CC0233C" w:rsidR="003632AE" w:rsidRDefault="003632AE" w:rsidP="003632AE">
      <w:pPr>
        <w:pStyle w:val="BodyText"/>
        <w:ind w:left="285"/>
      </w:pPr>
      <w:r>
        <w:t>The</w:t>
      </w:r>
      <w:r>
        <w:rPr>
          <w:spacing w:val="-5"/>
        </w:rPr>
        <w:t xml:space="preserve"> </w:t>
      </w:r>
      <w:r>
        <w:t>Researcher</w:t>
      </w:r>
      <w:r>
        <w:rPr>
          <w:spacing w:val="-3"/>
        </w:rPr>
        <w:t xml:space="preserve"> </w:t>
      </w:r>
      <w:r>
        <w:t>may</w:t>
      </w:r>
      <w:r>
        <w:rPr>
          <w:spacing w:val="-8"/>
        </w:rPr>
        <w:t xml:space="preserve"> </w:t>
      </w:r>
      <w:r>
        <w:t>thank</w:t>
      </w:r>
      <w:r>
        <w:rPr>
          <w:spacing w:val="-3"/>
        </w:rPr>
        <w:t xml:space="preserve"> </w:t>
      </w:r>
      <w:r>
        <w:t>people,</w:t>
      </w:r>
      <w:r>
        <w:rPr>
          <w:spacing w:val="-3"/>
        </w:rPr>
        <w:t xml:space="preserve"> </w:t>
      </w:r>
      <w:r>
        <w:t>institutions</w:t>
      </w:r>
      <w:r>
        <w:rPr>
          <w:spacing w:val="-3"/>
        </w:rPr>
        <w:t xml:space="preserve"> </w:t>
      </w:r>
      <w:r>
        <w:t>and</w:t>
      </w:r>
      <w:r>
        <w:rPr>
          <w:spacing w:val="-3"/>
        </w:rPr>
        <w:t xml:space="preserve"> </w:t>
      </w:r>
      <w:r>
        <w:t>different</w:t>
      </w:r>
      <w:r>
        <w:rPr>
          <w:spacing w:val="-3"/>
        </w:rPr>
        <w:t xml:space="preserve"> </w:t>
      </w:r>
      <w:r>
        <w:t>parties</w:t>
      </w:r>
      <w:r>
        <w:rPr>
          <w:spacing w:val="-3"/>
        </w:rPr>
        <w:t xml:space="preserve"> </w:t>
      </w:r>
      <w:r>
        <w:t>who</w:t>
      </w:r>
      <w:r>
        <w:rPr>
          <w:spacing w:val="-3"/>
        </w:rPr>
        <w:t xml:space="preserve"> </w:t>
      </w:r>
      <w:r>
        <w:t>helped</w:t>
      </w:r>
      <w:r>
        <w:rPr>
          <w:spacing w:val="-3"/>
        </w:rPr>
        <w:t xml:space="preserve"> </w:t>
      </w:r>
      <w:r>
        <w:t>him</w:t>
      </w:r>
      <w:r>
        <w:rPr>
          <w:spacing w:val="-3"/>
        </w:rPr>
        <w:t xml:space="preserve"> </w:t>
      </w:r>
      <w:r>
        <w:t>in accomplishing his work.</w:t>
      </w:r>
    </w:p>
    <w:p w14:paraId="0455026B" w14:textId="77777777" w:rsidR="003632AE" w:rsidRDefault="003632AE" w:rsidP="003632AE">
      <w:pPr>
        <w:pStyle w:val="BodyText"/>
        <w:sectPr w:rsidR="003632AE" w:rsidSect="003632AE">
          <w:headerReference w:type="default" r:id="rId12"/>
          <w:footerReference w:type="default" r:id="rId13"/>
          <w:pgSz w:w="11910" w:h="16840"/>
          <w:pgMar w:top="1740" w:right="1275" w:bottom="1340" w:left="1700" w:header="1430" w:footer="1156" w:gutter="0"/>
          <w:cols w:space="720"/>
        </w:sectPr>
      </w:pPr>
    </w:p>
    <w:p w14:paraId="4C4A68DC" w14:textId="3E0A30A7" w:rsidR="003632AE" w:rsidRPr="003632AE" w:rsidRDefault="003632AE" w:rsidP="003632AE">
      <w:pPr>
        <w:pStyle w:val="BodyText"/>
        <w:jc w:val="center"/>
        <w:rPr>
          <w:sz w:val="28"/>
          <w:szCs w:val="28"/>
        </w:rPr>
      </w:pPr>
      <w:r w:rsidRPr="003632AE">
        <w:rPr>
          <w:b/>
          <w:bCs/>
          <w:sz w:val="28"/>
          <w:szCs w:val="28"/>
        </w:rPr>
        <w:lastRenderedPageBreak/>
        <w:t>Declaration</w:t>
      </w:r>
    </w:p>
    <w:p w14:paraId="358FB96F" w14:textId="77777777" w:rsidR="003632AE" w:rsidRDefault="003632AE" w:rsidP="003632AE">
      <w:pPr>
        <w:pStyle w:val="BodyText"/>
        <w:spacing w:before="29"/>
      </w:pPr>
    </w:p>
    <w:p w14:paraId="65C9AED7" w14:textId="77777777" w:rsidR="003632AE" w:rsidRDefault="003632AE" w:rsidP="003632AE">
      <w:pPr>
        <w:pStyle w:val="BodyText"/>
        <w:ind w:left="285"/>
        <w:jc w:val="both"/>
      </w:pPr>
      <w:bookmarkStart w:id="1" w:name="_bookmark2"/>
      <w:bookmarkEnd w:id="1"/>
      <w:r>
        <w:t>I,</w:t>
      </w:r>
      <w:r>
        <w:rPr>
          <w:spacing w:val="-1"/>
        </w:rPr>
        <w:t xml:space="preserve"> </w:t>
      </w:r>
      <w:r>
        <w:t>the undersigned,</w:t>
      </w:r>
      <w:r>
        <w:rPr>
          <w:spacing w:val="-1"/>
        </w:rPr>
        <w:t xml:space="preserve"> </w:t>
      </w:r>
      <w:proofErr w:type="gramStart"/>
      <w:r>
        <w:t>declare</w:t>
      </w:r>
      <w:proofErr w:type="gramEnd"/>
      <w:r>
        <w:rPr>
          <w:spacing w:val="-1"/>
        </w:rPr>
        <w:t xml:space="preserve"> </w:t>
      </w:r>
      <w:r>
        <w:t>that</w:t>
      </w:r>
      <w:r>
        <w:rPr>
          <w:spacing w:val="3"/>
        </w:rPr>
        <w:t xml:space="preserve"> </w:t>
      </w:r>
      <w:r>
        <w:t>I</w:t>
      </w:r>
      <w:r>
        <w:rPr>
          <w:spacing w:val="-4"/>
        </w:rPr>
        <w:t xml:space="preserve"> </w:t>
      </w:r>
      <w:r>
        <w:t>submitted</w:t>
      </w:r>
      <w:r>
        <w:rPr>
          <w:spacing w:val="-1"/>
        </w:rPr>
        <w:t xml:space="preserve"> </w:t>
      </w:r>
      <w:r>
        <w:t>the</w:t>
      </w:r>
      <w:r>
        <w:rPr>
          <w:spacing w:val="-1"/>
        </w:rPr>
        <w:t xml:space="preserve"> </w:t>
      </w:r>
      <w:r>
        <w:t xml:space="preserve">thesis </w:t>
      </w:r>
      <w:r>
        <w:rPr>
          <w:spacing w:val="-2"/>
        </w:rPr>
        <w:t>entitled:</w:t>
      </w:r>
    </w:p>
    <w:p w14:paraId="1FB1285F" w14:textId="77777777" w:rsidR="003632AE" w:rsidRDefault="003632AE" w:rsidP="003632AE">
      <w:pPr>
        <w:pStyle w:val="BodyText"/>
        <w:spacing w:before="147"/>
      </w:pPr>
    </w:p>
    <w:p w14:paraId="27AFCB7A" w14:textId="77777777" w:rsidR="003632AE" w:rsidRDefault="003632AE" w:rsidP="003632AE">
      <w:pPr>
        <w:pStyle w:val="BodyText"/>
        <w:spacing w:before="147"/>
      </w:pPr>
    </w:p>
    <w:p w14:paraId="3D0BC38C" w14:textId="77777777" w:rsidR="003632AE" w:rsidRDefault="003632AE" w:rsidP="003632AE">
      <w:pPr>
        <w:ind w:left="285"/>
        <w:jc w:val="both"/>
        <w:rPr>
          <w:b/>
        </w:rPr>
      </w:pPr>
      <w:r>
        <w:rPr>
          <w:b/>
        </w:rPr>
        <w:t>TITLE</w:t>
      </w:r>
      <w:r>
        <w:rPr>
          <w:b/>
          <w:spacing w:val="-3"/>
        </w:rPr>
        <w:t xml:space="preserve"> </w:t>
      </w:r>
      <w:r>
        <w:rPr>
          <w:b/>
        </w:rPr>
        <w:t>OF</w:t>
      </w:r>
      <w:r>
        <w:rPr>
          <w:b/>
          <w:spacing w:val="-4"/>
        </w:rPr>
        <w:t xml:space="preserve"> </w:t>
      </w:r>
      <w:r>
        <w:rPr>
          <w:b/>
        </w:rPr>
        <w:t>THESIS</w:t>
      </w:r>
      <w:r>
        <w:rPr>
          <w:b/>
          <w:spacing w:val="-1"/>
        </w:rPr>
        <w:t xml:space="preserve"> </w:t>
      </w:r>
      <w:r>
        <w:rPr>
          <w:b/>
        </w:rPr>
        <w:t>AS</w:t>
      </w:r>
      <w:r>
        <w:rPr>
          <w:b/>
          <w:spacing w:val="-3"/>
        </w:rPr>
        <w:t xml:space="preserve"> </w:t>
      </w:r>
      <w:r>
        <w:rPr>
          <w:b/>
        </w:rPr>
        <w:t>APPROVED</w:t>
      </w:r>
      <w:r>
        <w:rPr>
          <w:b/>
          <w:spacing w:val="-1"/>
        </w:rPr>
        <w:t xml:space="preserve"> </w:t>
      </w:r>
      <w:r>
        <w:rPr>
          <w:b/>
        </w:rPr>
        <w:t>BY FACULTY</w:t>
      </w:r>
      <w:r>
        <w:rPr>
          <w:b/>
          <w:spacing w:val="-1"/>
        </w:rPr>
        <w:t xml:space="preserve"> </w:t>
      </w:r>
      <w:r>
        <w:rPr>
          <w:b/>
        </w:rPr>
        <w:t>OF</w:t>
      </w:r>
      <w:r>
        <w:rPr>
          <w:b/>
          <w:spacing w:val="-2"/>
        </w:rPr>
        <w:t xml:space="preserve"> </w:t>
      </w:r>
      <w:r>
        <w:rPr>
          <w:b/>
        </w:rPr>
        <w:t xml:space="preserve">GRADUATE </w:t>
      </w:r>
      <w:r>
        <w:rPr>
          <w:b/>
          <w:spacing w:val="-2"/>
        </w:rPr>
        <w:t>STUDIES</w:t>
      </w:r>
    </w:p>
    <w:p w14:paraId="0759B6CB" w14:textId="77777777" w:rsidR="003632AE" w:rsidRDefault="003632AE" w:rsidP="003632AE">
      <w:pPr>
        <w:pStyle w:val="BodyText"/>
        <w:rPr>
          <w:b/>
        </w:rPr>
      </w:pPr>
    </w:p>
    <w:p w14:paraId="17C63090" w14:textId="77777777" w:rsidR="003632AE" w:rsidRDefault="003632AE" w:rsidP="003632AE">
      <w:pPr>
        <w:pStyle w:val="BodyText"/>
        <w:spacing w:before="87"/>
        <w:rPr>
          <w:b/>
        </w:rPr>
      </w:pPr>
    </w:p>
    <w:p w14:paraId="2941BB3D" w14:textId="77777777" w:rsidR="003632AE" w:rsidRDefault="003632AE" w:rsidP="003632AE">
      <w:pPr>
        <w:pStyle w:val="BodyText"/>
        <w:spacing w:line="360" w:lineRule="auto"/>
        <w:ind w:left="285" w:right="145"/>
        <w:jc w:val="both"/>
      </w:pPr>
      <w:r>
        <w:t xml:space="preserve">I declare that the work provided in this thesis, unless otherwise referenced, is the researcher’s own work, and has not been submitted elsewhere for any other degree or </w:t>
      </w:r>
      <w:r>
        <w:rPr>
          <w:spacing w:val="-2"/>
        </w:rPr>
        <w:t>qualification.</w:t>
      </w:r>
    </w:p>
    <w:p w14:paraId="59B8CC1B" w14:textId="77777777" w:rsidR="003632AE" w:rsidRDefault="003632AE" w:rsidP="003632AE">
      <w:pPr>
        <w:pStyle w:val="BodyText"/>
      </w:pPr>
    </w:p>
    <w:p w14:paraId="217B0373" w14:textId="77777777" w:rsidR="003632AE" w:rsidRDefault="003632AE" w:rsidP="003632AE">
      <w:pPr>
        <w:pStyle w:val="BodyText"/>
        <w:spacing w:before="145"/>
      </w:pPr>
    </w:p>
    <w:p w14:paraId="07400BE0" w14:textId="77777777" w:rsidR="003632AE" w:rsidRDefault="003632AE" w:rsidP="003632AE">
      <w:pPr>
        <w:tabs>
          <w:tab w:val="left" w:pos="2416"/>
          <w:tab w:val="left" w:pos="6911"/>
        </w:tabs>
        <w:ind w:left="285"/>
        <w:rPr>
          <w:b/>
        </w:rPr>
      </w:pPr>
      <w:r>
        <w:rPr>
          <w:b/>
        </w:rPr>
        <w:t>Student's</w:t>
      </w:r>
      <w:r>
        <w:rPr>
          <w:b/>
          <w:spacing w:val="-3"/>
        </w:rPr>
        <w:t xml:space="preserve"> </w:t>
      </w:r>
      <w:r>
        <w:rPr>
          <w:b/>
          <w:spacing w:val="-4"/>
        </w:rPr>
        <w:t>Name:</w:t>
      </w:r>
      <w:r>
        <w:rPr>
          <w:b/>
        </w:rPr>
        <w:tab/>
      </w:r>
      <w:r>
        <w:rPr>
          <w:b/>
          <w:u w:val="single"/>
        </w:rPr>
        <w:tab/>
      </w:r>
    </w:p>
    <w:p w14:paraId="3F145396" w14:textId="77777777" w:rsidR="003632AE" w:rsidRDefault="003632AE" w:rsidP="003632AE">
      <w:pPr>
        <w:pStyle w:val="BodyText"/>
        <w:rPr>
          <w:b/>
        </w:rPr>
      </w:pPr>
    </w:p>
    <w:p w14:paraId="09D778B6" w14:textId="77777777" w:rsidR="003632AE" w:rsidRDefault="003632AE" w:rsidP="003632AE">
      <w:pPr>
        <w:pStyle w:val="BodyText"/>
        <w:spacing w:before="142"/>
        <w:rPr>
          <w:b/>
        </w:rPr>
      </w:pPr>
    </w:p>
    <w:p w14:paraId="2A3EA214" w14:textId="77777777" w:rsidR="003632AE" w:rsidRDefault="003632AE" w:rsidP="003632AE">
      <w:pPr>
        <w:tabs>
          <w:tab w:val="left" w:pos="2416"/>
          <w:tab w:val="left" w:pos="6912"/>
        </w:tabs>
        <w:ind w:left="285"/>
        <w:rPr>
          <w:b/>
        </w:rPr>
      </w:pPr>
      <w:r>
        <w:rPr>
          <w:b/>
          <w:spacing w:val="-2"/>
        </w:rPr>
        <w:t>Signature:</w:t>
      </w:r>
      <w:r>
        <w:rPr>
          <w:b/>
        </w:rPr>
        <w:tab/>
      </w:r>
      <w:r>
        <w:rPr>
          <w:b/>
          <w:u w:val="single"/>
        </w:rPr>
        <w:tab/>
      </w:r>
    </w:p>
    <w:p w14:paraId="3FDCA970" w14:textId="77777777" w:rsidR="003632AE" w:rsidRDefault="003632AE" w:rsidP="003632AE">
      <w:pPr>
        <w:pStyle w:val="BodyText"/>
        <w:rPr>
          <w:b/>
        </w:rPr>
      </w:pPr>
    </w:p>
    <w:p w14:paraId="0F5D152B" w14:textId="77777777" w:rsidR="003632AE" w:rsidRDefault="003632AE" w:rsidP="003632AE">
      <w:pPr>
        <w:pStyle w:val="BodyText"/>
        <w:spacing w:before="142"/>
        <w:rPr>
          <w:b/>
        </w:rPr>
      </w:pPr>
    </w:p>
    <w:p w14:paraId="0101C02F" w14:textId="77777777" w:rsidR="003632AE" w:rsidRDefault="003632AE" w:rsidP="003632AE">
      <w:pPr>
        <w:tabs>
          <w:tab w:val="left" w:pos="2416"/>
          <w:tab w:val="left" w:pos="6911"/>
        </w:tabs>
        <w:ind w:left="285"/>
        <w:rPr>
          <w:b/>
        </w:rPr>
      </w:pPr>
      <w:r>
        <w:rPr>
          <w:b/>
          <w:spacing w:val="-2"/>
        </w:rPr>
        <w:t>Date:</w:t>
      </w:r>
      <w:r>
        <w:rPr>
          <w:b/>
        </w:rPr>
        <w:tab/>
      </w:r>
      <w:r>
        <w:rPr>
          <w:b/>
          <w:u w:val="single"/>
        </w:rPr>
        <w:tab/>
      </w:r>
    </w:p>
    <w:p w14:paraId="70379C5B" w14:textId="77777777" w:rsidR="003632AE" w:rsidRDefault="003632AE" w:rsidP="00277FEB">
      <w:pPr>
        <w:pStyle w:val="Title"/>
        <w:jc w:val="center"/>
      </w:pPr>
    </w:p>
    <w:p w14:paraId="72C651F3" w14:textId="77777777" w:rsidR="003632AE" w:rsidRDefault="003632AE" w:rsidP="00277FEB">
      <w:pPr>
        <w:pStyle w:val="Title"/>
        <w:jc w:val="center"/>
      </w:pPr>
    </w:p>
    <w:sdt>
      <w:sdtPr>
        <w:rPr>
          <w:rFonts w:asciiTheme="majorBidi" w:eastAsiaTheme="minorHAnsi" w:hAnsiTheme="majorBidi" w:cs="Times New Roman"/>
          <w:b/>
          <w:bCs/>
          <w:color w:val="auto"/>
          <w:sz w:val="28"/>
          <w:szCs w:val="28"/>
          <w:lang w:val="en-GB"/>
        </w:rPr>
        <w:id w:val="-1585991605"/>
        <w:docPartObj>
          <w:docPartGallery w:val="Table of Contents"/>
          <w:docPartUnique/>
        </w:docPartObj>
      </w:sdtPr>
      <w:sdtEndPr>
        <w:rPr>
          <w:rFonts w:ascii="Times New Roman" w:eastAsia="Times New Roman" w:hAnsi="Times New Roman"/>
          <w:noProof/>
          <w:sz w:val="24"/>
          <w:szCs w:val="24"/>
          <w:lang w:val="en-US"/>
        </w:rPr>
      </w:sdtEndPr>
      <w:sdtContent>
        <w:p w14:paraId="744815CC" w14:textId="14EDF638" w:rsidR="00C953A4" w:rsidRDefault="003632AE" w:rsidP="006352F0">
          <w:pPr>
            <w:pStyle w:val="TOCHeading"/>
            <w:spacing w:line="360" w:lineRule="auto"/>
            <w:rPr>
              <w:rFonts w:asciiTheme="majorBidi" w:eastAsia="Times New Roman" w:hAnsiTheme="majorBidi"/>
              <w:b/>
              <w:bCs/>
              <w:color w:val="auto"/>
              <w:sz w:val="28"/>
              <w:szCs w:val="28"/>
            </w:rPr>
          </w:pPr>
          <w:r w:rsidRPr="003632AE">
            <w:rPr>
              <w:rFonts w:asciiTheme="majorBidi" w:eastAsia="Times New Roman" w:hAnsiTheme="majorBidi"/>
              <w:b/>
              <w:bCs/>
              <w:color w:val="auto"/>
              <w:sz w:val="28"/>
              <w:szCs w:val="28"/>
            </w:rPr>
            <w:t>List</w:t>
          </w:r>
          <w:r w:rsidR="00C953A4" w:rsidRPr="003632AE">
            <w:rPr>
              <w:rFonts w:asciiTheme="majorBidi" w:eastAsia="Times New Roman" w:hAnsiTheme="majorBidi"/>
              <w:b/>
              <w:bCs/>
              <w:color w:val="auto"/>
              <w:sz w:val="28"/>
              <w:szCs w:val="28"/>
            </w:rPr>
            <w:t xml:space="preserve"> of Content</w:t>
          </w:r>
        </w:p>
        <w:p w14:paraId="49E86F9C" w14:textId="77777777" w:rsidR="00AF002E" w:rsidRPr="00AF002E" w:rsidRDefault="00AF002E" w:rsidP="00AF002E"/>
        <w:p w14:paraId="6CB88982" w14:textId="6D528282" w:rsidR="00303508" w:rsidRDefault="00C953A4">
          <w:pPr>
            <w:pStyle w:val="TOC2"/>
            <w:tabs>
              <w:tab w:val="left" w:pos="960"/>
              <w:tab w:val="right" w:leader="dot" w:pos="8496"/>
            </w:tabs>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05672527" w:history="1">
            <w:r w:rsidR="00303508" w:rsidRPr="005F3F41">
              <w:rPr>
                <w:rStyle w:val="Hyperlink"/>
                <w:noProof/>
              </w:rPr>
              <w:t>1.1</w:t>
            </w:r>
            <w:r w:rsidR="00303508">
              <w:rPr>
                <w:rFonts w:asciiTheme="minorHAnsi" w:eastAsiaTheme="minorEastAsia" w:hAnsiTheme="minorHAnsi" w:cstheme="minorBidi"/>
                <w:noProof/>
                <w:kern w:val="2"/>
                <w14:ligatures w14:val="standardContextual"/>
              </w:rPr>
              <w:tab/>
            </w:r>
            <w:r w:rsidR="00303508" w:rsidRPr="005F3F41">
              <w:rPr>
                <w:rStyle w:val="Hyperlink"/>
                <w:noProof/>
              </w:rPr>
              <w:t>Introduction</w:t>
            </w:r>
            <w:r w:rsidR="00303508">
              <w:rPr>
                <w:noProof/>
                <w:webHidden/>
              </w:rPr>
              <w:tab/>
            </w:r>
            <w:r w:rsidR="00303508">
              <w:rPr>
                <w:noProof/>
                <w:webHidden/>
              </w:rPr>
              <w:fldChar w:fldCharType="begin"/>
            </w:r>
            <w:r w:rsidR="00303508">
              <w:rPr>
                <w:noProof/>
                <w:webHidden/>
              </w:rPr>
              <w:instrText xml:space="preserve"> PAGEREF _Toc205672527 \h </w:instrText>
            </w:r>
            <w:r w:rsidR="00303508">
              <w:rPr>
                <w:noProof/>
                <w:webHidden/>
              </w:rPr>
            </w:r>
            <w:r w:rsidR="00303508">
              <w:rPr>
                <w:noProof/>
                <w:webHidden/>
              </w:rPr>
              <w:fldChar w:fldCharType="separate"/>
            </w:r>
            <w:r w:rsidR="008B0A0B">
              <w:rPr>
                <w:noProof/>
                <w:webHidden/>
              </w:rPr>
              <w:t>1</w:t>
            </w:r>
            <w:r w:rsidR="00303508">
              <w:rPr>
                <w:noProof/>
                <w:webHidden/>
              </w:rPr>
              <w:fldChar w:fldCharType="end"/>
            </w:r>
          </w:hyperlink>
        </w:p>
        <w:p w14:paraId="7E803EDA" w14:textId="0CCA2E39"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28" w:history="1">
            <w:r w:rsidRPr="005F3F41">
              <w:rPr>
                <w:rStyle w:val="Hyperlink"/>
                <w:noProof/>
                <w:lang w:eastAsia="ar-SA" w:bidi="ar-JO"/>
              </w:rPr>
              <w:t>1.2 Problem Statement.</w:t>
            </w:r>
            <w:r>
              <w:rPr>
                <w:noProof/>
                <w:webHidden/>
              </w:rPr>
              <w:tab/>
            </w:r>
            <w:r>
              <w:rPr>
                <w:noProof/>
                <w:webHidden/>
              </w:rPr>
              <w:fldChar w:fldCharType="begin"/>
            </w:r>
            <w:r>
              <w:rPr>
                <w:noProof/>
                <w:webHidden/>
              </w:rPr>
              <w:instrText xml:space="preserve"> PAGEREF _Toc205672528 \h </w:instrText>
            </w:r>
            <w:r>
              <w:rPr>
                <w:noProof/>
                <w:webHidden/>
              </w:rPr>
            </w:r>
            <w:r>
              <w:rPr>
                <w:noProof/>
                <w:webHidden/>
              </w:rPr>
              <w:fldChar w:fldCharType="separate"/>
            </w:r>
            <w:r w:rsidR="008B0A0B">
              <w:rPr>
                <w:noProof/>
                <w:webHidden/>
              </w:rPr>
              <w:t>3</w:t>
            </w:r>
            <w:r>
              <w:rPr>
                <w:noProof/>
                <w:webHidden/>
              </w:rPr>
              <w:fldChar w:fldCharType="end"/>
            </w:r>
          </w:hyperlink>
        </w:p>
        <w:p w14:paraId="18F83080" w14:textId="39F2BDE7"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29" w:history="1">
            <w:r w:rsidRPr="005F3F41">
              <w:rPr>
                <w:rStyle w:val="Hyperlink"/>
                <w:noProof/>
                <w:lang w:eastAsia="ar-SA" w:bidi="ar-JO"/>
              </w:rPr>
              <w:t>1.3 Study Hypothesis</w:t>
            </w:r>
            <w:r>
              <w:rPr>
                <w:noProof/>
                <w:webHidden/>
              </w:rPr>
              <w:tab/>
            </w:r>
            <w:r>
              <w:rPr>
                <w:noProof/>
                <w:webHidden/>
              </w:rPr>
              <w:fldChar w:fldCharType="begin"/>
            </w:r>
            <w:r>
              <w:rPr>
                <w:noProof/>
                <w:webHidden/>
              </w:rPr>
              <w:instrText xml:space="preserve"> PAGEREF _Toc205672529 \h </w:instrText>
            </w:r>
            <w:r>
              <w:rPr>
                <w:noProof/>
                <w:webHidden/>
              </w:rPr>
            </w:r>
            <w:r>
              <w:rPr>
                <w:noProof/>
                <w:webHidden/>
              </w:rPr>
              <w:fldChar w:fldCharType="separate"/>
            </w:r>
            <w:r w:rsidR="008B0A0B">
              <w:rPr>
                <w:noProof/>
                <w:webHidden/>
              </w:rPr>
              <w:t>3</w:t>
            </w:r>
            <w:r>
              <w:rPr>
                <w:noProof/>
                <w:webHidden/>
              </w:rPr>
              <w:fldChar w:fldCharType="end"/>
            </w:r>
          </w:hyperlink>
        </w:p>
        <w:p w14:paraId="0469695B" w14:textId="3D099CFB"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30" w:history="1">
            <w:r w:rsidRPr="005F3F41">
              <w:rPr>
                <w:rStyle w:val="Hyperlink"/>
                <w:noProof/>
                <w:lang w:eastAsia="ar-SA" w:bidi="ar-JO"/>
              </w:rPr>
              <w:t>1.4 Importance of the study.</w:t>
            </w:r>
            <w:r>
              <w:rPr>
                <w:noProof/>
                <w:webHidden/>
              </w:rPr>
              <w:tab/>
            </w:r>
            <w:r>
              <w:rPr>
                <w:noProof/>
                <w:webHidden/>
              </w:rPr>
              <w:fldChar w:fldCharType="begin"/>
            </w:r>
            <w:r>
              <w:rPr>
                <w:noProof/>
                <w:webHidden/>
              </w:rPr>
              <w:instrText xml:space="preserve"> PAGEREF _Toc205672530 \h </w:instrText>
            </w:r>
            <w:r>
              <w:rPr>
                <w:noProof/>
                <w:webHidden/>
              </w:rPr>
            </w:r>
            <w:r>
              <w:rPr>
                <w:noProof/>
                <w:webHidden/>
              </w:rPr>
              <w:fldChar w:fldCharType="separate"/>
            </w:r>
            <w:r w:rsidR="008B0A0B">
              <w:rPr>
                <w:noProof/>
                <w:webHidden/>
              </w:rPr>
              <w:t>4</w:t>
            </w:r>
            <w:r>
              <w:rPr>
                <w:noProof/>
                <w:webHidden/>
              </w:rPr>
              <w:fldChar w:fldCharType="end"/>
            </w:r>
          </w:hyperlink>
        </w:p>
        <w:p w14:paraId="5AFB8D24" w14:textId="608B4875"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31" w:history="1">
            <w:r w:rsidRPr="005F3F41">
              <w:rPr>
                <w:rStyle w:val="Hyperlink"/>
                <w:noProof/>
                <w:lang w:eastAsia="ar-SA" w:bidi="ar-JO"/>
              </w:rPr>
              <w:t>1.5 Research Objectives.</w:t>
            </w:r>
            <w:r>
              <w:rPr>
                <w:noProof/>
                <w:webHidden/>
              </w:rPr>
              <w:tab/>
            </w:r>
            <w:r>
              <w:rPr>
                <w:noProof/>
                <w:webHidden/>
              </w:rPr>
              <w:fldChar w:fldCharType="begin"/>
            </w:r>
            <w:r>
              <w:rPr>
                <w:noProof/>
                <w:webHidden/>
              </w:rPr>
              <w:instrText xml:space="preserve"> PAGEREF _Toc205672531 \h </w:instrText>
            </w:r>
            <w:r>
              <w:rPr>
                <w:noProof/>
                <w:webHidden/>
              </w:rPr>
            </w:r>
            <w:r>
              <w:rPr>
                <w:noProof/>
                <w:webHidden/>
              </w:rPr>
              <w:fldChar w:fldCharType="separate"/>
            </w:r>
            <w:r w:rsidR="008B0A0B">
              <w:rPr>
                <w:noProof/>
                <w:webHidden/>
              </w:rPr>
              <w:t>5</w:t>
            </w:r>
            <w:r>
              <w:rPr>
                <w:noProof/>
                <w:webHidden/>
              </w:rPr>
              <w:fldChar w:fldCharType="end"/>
            </w:r>
          </w:hyperlink>
        </w:p>
        <w:p w14:paraId="7F628A0C" w14:textId="52AE9292"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32" w:history="1">
            <w:r w:rsidRPr="005F3F41">
              <w:rPr>
                <w:rStyle w:val="Hyperlink"/>
                <w:noProof/>
                <w:lang w:eastAsia="ar-SA" w:bidi="ar-JO"/>
              </w:rPr>
              <w:t>1.6 Literature review</w:t>
            </w:r>
            <w:r>
              <w:rPr>
                <w:noProof/>
                <w:webHidden/>
              </w:rPr>
              <w:tab/>
            </w:r>
            <w:r>
              <w:rPr>
                <w:noProof/>
                <w:webHidden/>
              </w:rPr>
              <w:fldChar w:fldCharType="begin"/>
            </w:r>
            <w:r>
              <w:rPr>
                <w:noProof/>
                <w:webHidden/>
              </w:rPr>
              <w:instrText xml:space="preserve"> PAGEREF _Toc205672532 \h </w:instrText>
            </w:r>
            <w:r>
              <w:rPr>
                <w:noProof/>
                <w:webHidden/>
              </w:rPr>
            </w:r>
            <w:r>
              <w:rPr>
                <w:noProof/>
                <w:webHidden/>
              </w:rPr>
              <w:fldChar w:fldCharType="separate"/>
            </w:r>
            <w:r w:rsidR="008B0A0B">
              <w:rPr>
                <w:noProof/>
                <w:webHidden/>
              </w:rPr>
              <w:t>6</w:t>
            </w:r>
            <w:r>
              <w:rPr>
                <w:noProof/>
                <w:webHidden/>
              </w:rPr>
              <w:fldChar w:fldCharType="end"/>
            </w:r>
          </w:hyperlink>
        </w:p>
        <w:p w14:paraId="0256E4C0" w14:textId="58290A15" w:rsidR="00303508" w:rsidRDefault="00303508">
          <w:pPr>
            <w:pStyle w:val="TOC2"/>
            <w:tabs>
              <w:tab w:val="right" w:leader="dot" w:pos="8496"/>
            </w:tabs>
            <w:rPr>
              <w:rFonts w:asciiTheme="minorHAnsi" w:eastAsiaTheme="minorEastAsia" w:hAnsiTheme="minorHAnsi" w:cstheme="minorBidi"/>
              <w:noProof/>
              <w:kern w:val="2"/>
              <w14:ligatures w14:val="standardContextual"/>
            </w:rPr>
          </w:pPr>
          <w:hyperlink w:anchor="_Toc205672533" w:history="1">
            <w:r w:rsidRPr="005F3F41">
              <w:rPr>
                <w:rStyle w:val="Hyperlink"/>
                <w:noProof/>
                <w:lang w:eastAsia="ar-SA" w:bidi="ar-JO"/>
              </w:rPr>
              <w:t>1.7 Methodology</w:t>
            </w:r>
            <w:r>
              <w:rPr>
                <w:noProof/>
                <w:webHidden/>
              </w:rPr>
              <w:tab/>
            </w:r>
            <w:r>
              <w:rPr>
                <w:noProof/>
                <w:webHidden/>
              </w:rPr>
              <w:fldChar w:fldCharType="begin"/>
            </w:r>
            <w:r>
              <w:rPr>
                <w:noProof/>
                <w:webHidden/>
              </w:rPr>
              <w:instrText xml:space="preserve"> PAGEREF _Toc205672533 \h </w:instrText>
            </w:r>
            <w:r>
              <w:rPr>
                <w:noProof/>
                <w:webHidden/>
              </w:rPr>
            </w:r>
            <w:r>
              <w:rPr>
                <w:noProof/>
                <w:webHidden/>
              </w:rPr>
              <w:fldChar w:fldCharType="separate"/>
            </w:r>
            <w:r w:rsidR="008B0A0B">
              <w:rPr>
                <w:noProof/>
                <w:webHidden/>
              </w:rPr>
              <w:t>13</w:t>
            </w:r>
            <w:r>
              <w:rPr>
                <w:noProof/>
                <w:webHidden/>
              </w:rPr>
              <w:fldChar w:fldCharType="end"/>
            </w:r>
          </w:hyperlink>
        </w:p>
        <w:p w14:paraId="5A924CED" w14:textId="4D5A2820" w:rsidR="00303508" w:rsidRDefault="00303508">
          <w:pPr>
            <w:pStyle w:val="TOC1"/>
            <w:tabs>
              <w:tab w:val="right" w:leader="dot" w:pos="8496"/>
            </w:tabs>
            <w:rPr>
              <w:rFonts w:asciiTheme="minorHAnsi" w:eastAsiaTheme="minorEastAsia" w:hAnsiTheme="minorHAnsi" w:cstheme="minorBidi"/>
              <w:noProof/>
              <w:kern w:val="2"/>
              <w14:ligatures w14:val="standardContextual"/>
            </w:rPr>
          </w:pPr>
          <w:hyperlink w:anchor="_Toc205672534" w:history="1">
            <w:r w:rsidRPr="005F3F41">
              <w:rPr>
                <w:rStyle w:val="Hyperlink"/>
                <w:noProof/>
                <w:lang w:bidi="en-US"/>
              </w:rPr>
              <w:t>Chapter Two:  Energy Storage Systems</w:t>
            </w:r>
            <w:r>
              <w:rPr>
                <w:noProof/>
                <w:webHidden/>
              </w:rPr>
              <w:tab/>
            </w:r>
            <w:r>
              <w:rPr>
                <w:noProof/>
                <w:webHidden/>
              </w:rPr>
              <w:fldChar w:fldCharType="begin"/>
            </w:r>
            <w:r>
              <w:rPr>
                <w:noProof/>
                <w:webHidden/>
              </w:rPr>
              <w:instrText xml:space="preserve"> PAGEREF _Toc205672534 \h </w:instrText>
            </w:r>
            <w:r>
              <w:rPr>
                <w:noProof/>
                <w:webHidden/>
              </w:rPr>
            </w:r>
            <w:r>
              <w:rPr>
                <w:noProof/>
                <w:webHidden/>
              </w:rPr>
              <w:fldChar w:fldCharType="separate"/>
            </w:r>
            <w:r w:rsidR="008B0A0B">
              <w:rPr>
                <w:noProof/>
                <w:webHidden/>
              </w:rPr>
              <w:t>15</w:t>
            </w:r>
            <w:r>
              <w:rPr>
                <w:noProof/>
                <w:webHidden/>
              </w:rPr>
              <w:fldChar w:fldCharType="end"/>
            </w:r>
          </w:hyperlink>
        </w:p>
        <w:p w14:paraId="399DFC43" w14:textId="3034D87A"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35" w:history="1">
            <w:r w:rsidRPr="005F3F41">
              <w:rPr>
                <w:rStyle w:val="Hyperlink"/>
                <w:noProof/>
                <w:lang w:eastAsia="ar-SA" w:bidi="ar-JO"/>
              </w:rPr>
              <w:t>2.1</w:t>
            </w:r>
            <w:r>
              <w:rPr>
                <w:rFonts w:asciiTheme="minorHAnsi" w:eastAsiaTheme="minorEastAsia" w:hAnsiTheme="minorHAnsi" w:cstheme="minorBidi"/>
                <w:noProof/>
                <w:kern w:val="2"/>
                <w14:ligatures w14:val="standardContextual"/>
              </w:rPr>
              <w:tab/>
            </w:r>
            <w:r w:rsidRPr="005F3F41">
              <w:rPr>
                <w:rStyle w:val="Hyperlink"/>
                <w:noProof/>
                <w:lang w:eastAsia="ar-SA" w:bidi="ar-JO"/>
              </w:rPr>
              <w:t>Introduction</w:t>
            </w:r>
            <w:r>
              <w:rPr>
                <w:noProof/>
                <w:webHidden/>
              </w:rPr>
              <w:tab/>
            </w:r>
            <w:r>
              <w:rPr>
                <w:noProof/>
                <w:webHidden/>
              </w:rPr>
              <w:fldChar w:fldCharType="begin"/>
            </w:r>
            <w:r>
              <w:rPr>
                <w:noProof/>
                <w:webHidden/>
              </w:rPr>
              <w:instrText xml:space="preserve"> PAGEREF _Toc205672535 \h </w:instrText>
            </w:r>
            <w:r>
              <w:rPr>
                <w:noProof/>
                <w:webHidden/>
              </w:rPr>
            </w:r>
            <w:r>
              <w:rPr>
                <w:noProof/>
                <w:webHidden/>
              </w:rPr>
              <w:fldChar w:fldCharType="separate"/>
            </w:r>
            <w:r w:rsidR="008B0A0B">
              <w:rPr>
                <w:noProof/>
                <w:webHidden/>
              </w:rPr>
              <w:t>15</w:t>
            </w:r>
            <w:r>
              <w:rPr>
                <w:noProof/>
                <w:webHidden/>
              </w:rPr>
              <w:fldChar w:fldCharType="end"/>
            </w:r>
          </w:hyperlink>
        </w:p>
        <w:p w14:paraId="7CE370DA" w14:textId="15EE9067"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36" w:history="1">
            <w:r w:rsidRPr="005F3F41">
              <w:rPr>
                <w:rStyle w:val="Hyperlink"/>
                <w:noProof/>
                <w:lang w:eastAsia="ar-SA" w:bidi="ar-JO"/>
              </w:rPr>
              <w:t>2.2</w:t>
            </w:r>
            <w:r>
              <w:rPr>
                <w:rFonts w:asciiTheme="minorHAnsi" w:eastAsiaTheme="minorEastAsia" w:hAnsiTheme="minorHAnsi" w:cstheme="minorBidi"/>
                <w:noProof/>
                <w:kern w:val="2"/>
                <w14:ligatures w14:val="standardContextual"/>
              </w:rPr>
              <w:tab/>
            </w:r>
            <w:r w:rsidRPr="005F3F41">
              <w:rPr>
                <w:rStyle w:val="Hyperlink"/>
                <w:noProof/>
                <w:lang w:eastAsia="ar-SA" w:bidi="ar-JO"/>
              </w:rPr>
              <w:t>Flywheel system</w:t>
            </w:r>
            <w:r>
              <w:rPr>
                <w:noProof/>
                <w:webHidden/>
              </w:rPr>
              <w:tab/>
            </w:r>
            <w:r>
              <w:rPr>
                <w:noProof/>
                <w:webHidden/>
              </w:rPr>
              <w:fldChar w:fldCharType="begin"/>
            </w:r>
            <w:r>
              <w:rPr>
                <w:noProof/>
                <w:webHidden/>
              </w:rPr>
              <w:instrText xml:space="preserve"> PAGEREF _Toc205672536 \h </w:instrText>
            </w:r>
            <w:r>
              <w:rPr>
                <w:noProof/>
                <w:webHidden/>
              </w:rPr>
            </w:r>
            <w:r>
              <w:rPr>
                <w:noProof/>
                <w:webHidden/>
              </w:rPr>
              <w:fldChar w:fldCharType="separate"/>
            </w:r>
            <w:r w:rsidR="008B0A0B">
              <w:rPr>
                <w:noProof/>
                <w:webHidden/>
              </w:rPr>
              <w:t>15</w:t>
            </w:r>
            <w:r>
              <w:rPr>
                <w:noProof/>
                <w:webHidden/>
              </w:rPr>
              <w:fldChar w:fldCharType="end"/>
            </w:r>
          </w:hyperlink>
        </w:p>
        <w:p w14:paraId="3C6D4538" w14:textId="6A8587B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37" w:history="1">
            <w:r w:rsidRPr="005F3F41">
              <w:rPr>
                <w:rStyle w:val="Hyperlink"/>
                <w:noProof/>
              </w:rPr>
              <w:t>2.3</w:t>
            </w:r>
            <w:r>
              <w:rPr>
                <w:rFonts w:asciiTheme="minorHAnsi" w:eastAsiaTheme="minorEastAsia" w:hAnsiTheme="minorHAnsi" w:cstheme="minorBidi"/>
                <w:noProof/>
                <w:kern w:val="2"/>
                <w14:ligatures w14:val="standardContextual"/>
              </w:rPr>
              <w:tab/>
            </w:r>
            <w:r w:rsidRPr="005F3F41">
              <w:rPr>
                <w:rStyle w:val="Hyperlink"/>
                <w:noProof/>
                <w:lang w:bidi="ar-AE"/>
              </w:rPr>
              <w:t>Compressed air energy storage (CAES)</w:t>
            </w:r>
            <w:r>
              <w:rPr>
                <w:noProof/>
                <w:webHidden/>
              </w:rPr>
              <w:tab/>
            </w:r>
            <w:r>
              <w:rPr>
                <w:noProof/>
                <w:webHidden/>
              </w:rPr>
              <w:fldChar w:fldCharType="begin"/>
            </w:r>
            <w:r>
              <w:rPr>
                <w:noProof/>
                <w:webHidden/>
              </w:rPr>
              <w:instrText xml:space="preserve"> PAGEREF _Toc205672537 \h </w:instrText>
            </w:r>
            <w:r>
              <w:rPr>
                <w:noProof/>
                <w:webHidden/>
              </w:rPr>
            </w:r>
            <w:r>
              <w:rPr>
                <w:noProof/>
                <w:webHidden/>
              </w:rPr>
              <w:fldChar w:fldCharType="separate"/>
            </w:r>
            <w:r w:rsidR="008B0A0B">
              <w:rPr>
                <w:noProof/>
                <w:webHidden/>
              </w:rPr>
              <w:t>16</w:t>
            </w:r>
            <w:r>
              <w:rPr>
                <w:noProof/>
                <w:webHidden/>
              </w:rPr>
              <w:fldChar w:fldCharType="end"/>
            </w:r>
          </w:hyperlink>
        </w:p>
        <w:p w14:paraId="47055015" w14:textId="3F61A9ED"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38" w:history="1">
            <w:r w:rsidRPr="005F3F41">
              <w:rPr>
                <w:rStyle w:val="Hyperlink"/>
                <w:noProof/>
                <w:lang w:val="de-DE"/>
              </w:rPr>
              <w:t>2.4</w:t>
            </w:r>
            <w:r>
              <w:rPr>
                <w:rFonts w:asciiTheme="minorHAnsi" w:eastAsiaTheme="minorEastAsia" w:hAnsiTheme="minorHAnsi" w:cstheme="minorBidi"/>
                <w:noProof/>
                <w:kern w:val="2"/>
                <w14:ligatures w14:val="standardContextual"/>
              </w:rPr>
              <w:tab/>
            </w:r>
            <w:r w:rsidRPr="005F3F41">
              <w:rPr>
                <w:rStyle w:val="Hyperlink"/>
                <w:noProof/>
                <w:lang w:val="de-DE"/>
              </w:rPr>
              <w:t>Batteries</w:t>
            </w:r>
            <w:r>
              <w:rPr>
                <w:noProof/>
                <w:webHidden/>
              </w:rPr>
              <w:tab/>
            </w:r>
            <w:r>
              <w:rPr>
                <w:noProof/>
                <w:webHidden/>
              </w:rPr>
              <w:fldChar w:fldCharType="begin"/>
            </w:r>
            <w:r>
              <w:rPr>
                <w:noProof/>
                <w:webHidden/>
              </w:rPr>
              <w:instrText xml:space="preserve"> PAGEREF _Toc205672538 \h </w:instrText>
            </w:r>
            <w:r>
              <w:rPr>
                <w:noProof/>
                <w:webHidden/>
              </w:rPr>
            </w:r>
            <w:r>
              <w:rPr>
                <w:noProof/>
                <w:webHidden/>
              </w:rPr>
              <w:fldChar w:fldCharType="separate"/>
            </w:r>
            <w:r w:rsidR="008B0A0B">
              <w:rPr>
                <w:noProof/>
                <w:webHidden/>
              </w:rPr>
              <w:t>16</w:t>
            </w:r>
            <w:r>
              <w:rPr>
                <w:noProof/>
                <w:webHidden/>
              </w:rPr>
              <w:fldChar w:fldCharType="end"/>
            </w:r>
          </w:hyperlink>
        </w:p>
        <w:p w14:paraId="31DE0E32" w14:textId="1C8D93AD" w:rsidR="00303508" w:rsidRDefault="00303508">
          <w:pPr>
            <w:pStyle w:val="TOC1"/>
            <w:tabs>
              <w:tab w:val="right" w:leader="dot" w:pos="8496"/>
            </w:tabs>
            <w:rPr>
              <w:rFonts w:asciiTheme="minorHAnsi" w:eastAsiaTheme="minorEastAsia" w:hAnsiTheme="minorHAnsi" w:cstheme="minorBidi"/>
              <w:noProof/>
              <w:kern w:val="2"/>
              <w14:ligatures w14:val="standardContextual"/>
            </w:rPr>
          </w:pPr>
          <w:hyperlink w:anchor="_Toc205672539" w:history="1">
            <w:r w:rsidRPr="005F3F41">
              <w:rPr>
                <w:rStyle w:val="Hyperlink"/>
                <w:noProof/>
                <w:lang w:bidi="en-US"/>
              </w:rPr>
              <w:t>Chapter Three:  Current Network Analysis</w:t>
            </w:r>
            <w:r>
              <w:rPr>
                <w:noProof/>
                <w:webHidden/>
              </w:rPr>
              <w:tab/>
            </w:r>
            <w:r>
              <w:rPr>
                <w:noProof/>
                <w:webHidden/>
              </w:rPr>
              <w:fldChar w:fldCharType="begin"/>
            </w:r>
            <w:r>
              <w:rPr>
                <w:noProof/>
                <w:webHidden/>
              </w:rPr>
              <w:instrText xml:space="preserve"> PAGEREF _Toc205672539 \h </w:instrText>
            </w:r>
            <w:r>
              <w:rPr>
                <w:noProof/>
                <w:webHidden/>
              </w:rPr>
            </w:r>
            <w:r>
              <w:rPr>
                <w:noProof/>
                <w:webHidden/>
              </w:rPr>
              <w:fldChar w:fldCharType="separate"/>
            </w:r>
            <w:r w:rsidR="008B0A0B">
              <w:rPr>
                <w:noProof/>
                <w:webHidden/>
              </w:rPr>
              <w:t>25</w:t>
            </w:r>
            <w:r>
              <w:rPr>
                <w:noProof/>
                <w:webHidden/>
              </w:rPr>
              <w:fldChar w:fldCharType="end"/>
            </w:r>
          </w:hyperlink>
        </w:p>
        <w:p w14:paraId="2ED36277" w14:textId="514BCFED"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0" w:history="1">
            <w:r w:rsidRPr="005F3F41">
              <w:rPr>
                <w:rStyle w:val="Hyperlink"/>
                <w:noProof/>
                <w:lang w:eastAsia="ar-SA" w:bidi="ar-JO"/>
              </w:rPr>
              <w:t>3.1</w:t>
            </w:r>
            <w:r>
              <w:rPr>
                <w:rFonts w:asciiTheme="minorHAnsi" w:eastAsiaTheme="minorEastAsia" w:hAnsiTheme="minorHAnsi" w:cstheme="minorBidi"/>
                <w:noProof/>
                <w:kern w:val="2"/>
                <w14:ligatures w14:val="standardContextual"/>
              </w:rPr>
              <w:tab/>
            </w:r>
            <w:r w:rsidRPr="005F3F41">
              <w:rPr>
                <w:rStyle w:val="Hyperlink"/>
                <w:noProof/>
                <w:lang w:eastAsia="ar-SA" w:bidi="ar-JO"/>
              </w:rPr>
              <w:t>Introduction</w:t>
            </w:r>
            <w:r>
              <w:rPr>
                <w:noProof/>
                <w:webHidden/>
              </w:rPr>
              <w:tab/>
            </w:r>
            <w:r>
              <w:rPr>
                <w:noProof/>
                <w:webHidden/>
              </w:rPr>
              <w:fldChar w:fldCharType="begin"/>
            </w:r>
            <w:r>
              <w:rPr>
                <w:noProof/>
                <w:webHidden/>
              </w:rPr>
              <w:instrText xml:space="preserve"> PAGEREF _Toc205672540 \h </w:instrText>
            </w:r>
            <w:r>
              <w:rPr>
                <w:noProof/>
                <w:webHidden/>
              </w:rPr>
            </w:r>
            <w:r>
              <w:rPr>
                <w:noProof/>
                <w:webHidden/>
              </w:rPr>
              <w:fldChar w:fldCharType="separate"/>
            </w:r>
            <w:r w:rsidR="008B0A0B">
              <w:rPr>
                <w:noProof/>
                <w:webHidden/>
              </w:rPr>
              <w:t>25</w:t>
            </w:r>
            <w:r>
              <w:rPr>
                <w:noProof/>
                <w:webHidden/>
              </w:rPr>
              <w:fldChar w:fldCharType="end"/>
            </w:r>
          </w:hyperlink>
        </w:p>
        <w:p w14:paraId="7E7541F3" w14:textId="6A307318"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1" w:history="1">
            <w:r w:rsidRPr="005F3F41">
              <w:rPr>
                <w:rStyle w:val="Hyperlink"/>
                <w:noProof/>
                <w:lang w:eastAsia="ar-SA" w:bidi="ar-JO"/>
              </w:rPr>
              <w:t>3.2</w:t>
            </w:r>
            <w:r>
              <w:rPr>
                <w:rFonts w:asciiTheme="minorHAnsi" w:eastAsiaTheme="minorEastAsia" w:hAnsiTheme="minorHAnsi" w:cstheme="minorBidi"/>
                <w:noProof/>
                <w:kern w:val="2"/>
                <w14:ligatures w14:val="standardContextual"/>
              </w:rPr>
              <w:tab/>
            </w:r>
            <w:r w:rsidRPr="005F3F41">
              <w:rPr>
                <w:rStyle w:val="Hyperlink"/>
                <w:noProof/>
              </w:rPr>
              <w:t>Overview of the Current Network</w:t>
            </w:r>
            <w:r>
              <w:rPr>
                <w:noProof/>
                <w:webHidden/>
              </w:rPr>
              <w:tab/>
            </w:r>
            <w:r>
              <w:rPr>
                <w:noProof/>
                <w:webHidden/>
              </w:rPr>
              <w:fldChar w:fldCharType="begin"/>
            </w:r>
            <w:r>
              <w:rPr>
                <w:noProof/>
                <w:webHidden/>
              </w:rPr>
              <w:instrText xml:space="preserve"> PAGEREF _Toc205672541 \h </w:instrText>
            </w:r>
            <w:r>
              <w:rPr>
                <w:noProof/>
                <w:webHidden/>
              </w:rPr>
            </w:r>
            <w:r>
              <w:rPr>
                <w:noProof/>
                <w:webHidden/>
              </w:rPr>
              <w:fldChar w:fldCharType="separate"/>
            </w:r>
            <w:r w:rsidR="008B0A0B">
              <w:rPr>
                <w:noProof/>
                <w:webHidden/>
              </w:rPr>
              <w:t>26</w:t>
            </w:r>
            <w:r>
              <w:rPr>
                <w:noProof/>
                <w:webHidden/>
              </w:rPr>
              <w:fldChar w:fldCharType="end"/>
            </w:r>
          </w:hyperlink>
        </w:p>
        <w:p w14:paraId="736FF57E" w14:textId="568B0B7F"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2" w:history="1">
            <w:r w:rsidRPr="005F3F41">
              <w:rPr>
                <w:rStyle w:val="Hyperlink"/>
                <w:noProof/>
                <w:lang w:eastAsia="ar-SA" w:bidi="ar-JO"/>
              </w:rPr>
              <w:t>3.3</w:t>
            </w:r>
            <w:r>
              <w:rPr>
                <w:rFonts w:asciiTheme="minorHAnsi" w:eastAsiaTheme="minorEastAsia" w:hAnsiTheme="minorHAnsi" w:cstheme="minorBidi"/>
                <w:noProof/>
                <w:kern w:val="2"/>
                <w14:ligatures w14:val="standardContextual"/>
              </w:rPr>
              <w:tab/>
            </w:r>
            <w:r w:rsidRPr="005F3F41">
              <w:rPr>
                <w:rStyle w:val="Hyperlink"/>
                <w:noProof/>
              </w:rPr>
              <w:t>Challenges in the Current Network</w:t>
            </w:r>
            <w:r>
              <w:rPr>
                <w:noProof/>
                <w:webHidden/>
              </w:rPr>
              <w:tab/>
            </w:r>
            <w:r>
              <w:rPr>
                <w:noProof/>
                <w:webHidden/>
              </w:rPr>
              <w:fldChar w:fldCharType="begin"/>
            </w:r>
            <w:r>
              <w:rPr>
                <w:noProof/>
                <w:webHidden/>
              </w:rPr>
              <w:instrText xml:space="preserve"> PAGEREF _Toc205672542 \h </w:instrText>
            </w:r>
            <w:r>
              <w:rPr>
                <w:noProof/>
                <w:webHidden/>
              </w:rPr>
            </w:r>
            <w:r>
              <w:rPr>
                <w:noProof/>
                <w:webHidden/>
              </w:rPr>
              <w:fldChar w:fldCharType="separate"/>
            </w:r>
            <w:r w:rsidR="008B0A0B">
              <w:rPr>
                <w:noProof/>
                <w:webHidden/>
              </w:rPr>
              <w:t>27</w:t>
            </w:r>
            <w:r>
              <w:rPr>
                <w:noProof/>
                <w:webHidden/>
              </w:rPr>
              <w:fldChar w:fldCharType="end"/>
            </w:r>
          </w:hyperlink>
        </w:p>
        <w:p w14:paraId="2929EA78" w14:textId="7F7AB3DF"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3" w:history="1">
            <w:r w:rsidRPr="005F3F41">
              <w:rPr>
                <w:rStyle w:val="Hyperlink"/>
                <w:noProof/>
                <w:lang w:eastAsia="ar-SA" w:bidi="ar-JO"/>
              </w:rPr>
              <w:t>3.4</w:t>
            </w:r>
            <w:r>
              <w:rPr>
                <w:rFonts w:asciiTheme="minorHAnsi" w:eastAsiaTheme="minorEastAsia" w:hAnsiTheme="minorHAnsi" w:cstheme="minorBidi"/>
                <w:noProof/>
                <w:kern w:val="2"/>
                <w14:ligatures w14:val="standardContextual"/>
              </w:rPr>
              <w:tab/>
            </w:r>
            <w:r w:rsidRPr="005F3F41">
              <w:rPr>
                <w:rStyle w:val="Hyperlink"/>
                <w:noProof/>
              </w:rPr>
              <w:t>Scope of the Thesis</w:t>
            </w:r>
            <w:r>
              <w:rPr>
                <w:noProof/>
                <w:webHidden/>
              </w:rPr>
              <w:tab/>
            </w:r>
            <w:r>
              <w:rPr>
                <w:noProof/>
                <w:webHidden/>
              </w:rPr>
              <w:fldChar w:fldCharType="begin"/>
            </w:r>
            <w:r>
              <w:rPr>
                <w:noProof/>
                <w:webHidden/>
              </w:rPr>
              <w:instrText xml:space="preserve"> PAGEREF _Toc205672543 \h </w:instrText>
            </w:r>
            <w:r>
              <w:rPr>
                <w:noProof/>
                <w:webHidden/>
              </w:rPr>
            </w:r>
            <w:r>
              <w:rPr>
                <w:noProof/>
                <w:webHidden/>
              </w:rPr>
              <w:fldChar w:fldCharType="separate"/>
            </w:r>
            <w:r w:rsidR="008B0A0B">
              <w:rPr>
                <w:noProof/>
                <w:webHidden/>
              </w:rPr>
              <w:t>28</w:t>
            </w:r>
            <w:r>
              <w:rPr>
                <w:noProof/>
                <w:webHidden/>
              </w:rPr>
              <w:fldChar w:fldCharType="end"/>
            </w:r>
          </w:hyperlink>
        </w:p>
        <w:p w14:paraId="4814D5A2" w14:textId="161B5EB8"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4" w:history="1">
            <w:r w:rsidRPr="005F3F41">
              <w:rPr>
                <w:rStyle w:val="Hyperlink"/>
                <w:noProof/>
              </w:rPr>
              <w:t>3.5</w:t>
            </w:r>
            <w:r>
              <w:rPr>
                <w:rFonts w:asciiTheme="minorHAnsi" w:eastAsiaTheme="minorEastAsia" w:hAnsiTheme="minorHAnsi" w:cstheme="minorBidi"/>
                <w:noProof/>
                <w:kern w:val="2"/>
                <w14:ligatures w14:val="standardContextual"/>
              </w:rPr>
              <w:tab/>
            </w:r>
            <w:r w:rsidRPr="005F3F41">
              <w:rPr>
                <w:rStyle w:val="Hyperlink"/>
                <w:noProof/>
              </w:rPr>
              <w:t>Single line diagram of the network</w:t>
            </w:r>
            <w:r>
              <w:rPr>
                <w:noProof/>
                <w:webHidden/>
              </w:rPr>
              <w:tab/>
            </w:r>
            <w:r>
              <w:rPr>
                <w:noProof/>
                <w:webHidden/>
              </w:rPr>
              <w:fldChar w:fldCharType="begin"/>
            </w:r>
            <w:r>
              <w:rPr>
                <w:noProof/>
                <w:webHidden/>
              </w:rPr>
              <w:instrText xml:space="preserve"> PAGEREF _Toc205672544 \h </w:instrText>
            </w:r>
            <w:r>
              <w:rPr>
                <w:noProof/>
                <w:webHidden/>
              </w:rPr>
            </w:r>
            <w:r>
              <w:rPr>
                <w:noProof/>
                <w:webHidden/>
              </w:rPr>
              <w:fldChar w:fldCharType="separate"/>
            </w:r>
            <w:r w:rsidR="008B0A0B">
              <w:rPr>
                <w:noProof/>
                <w:webHidden/>
              </w:rPr>
              <w:t>29</w:t>
            </w:r>
            <w:r>
              <w:rPr>
                <w:noProof/>
                <w:webHidden/>
              </w:rPr>
              <w:fldChar w:fldCharType="end"/>
            </w:r>
          </w:hyperlink>
        </w:p>
        <w:p w14:paraId="62549219" w14:textId="24633E93" w:rsidR="00303508" w:rsidRDefault="00303508">
          <w:pPr>
            <w:pStyle w:val="TOC1"/>
            <w:tabs>
              <w:tab w:val="right" w:leader="dot" w:pos="8496"/>
            </w:tabs>
            <w:rPr>
              <w:rFonts w:asciiTheme="minorHAnsi" w:eastAsiaTheme="minorEastAsia" w:hAnsiTheme="minorHAnsi" w:cstheme="minorBidi"/>
              <w:noProof/>
              <w:kern w:val="2"/>
              <w14:ligatures w14:val="standardContextual"/>
            </w:rPr>
          </w:pPr>
          <w:hyperlink w:anchor="_Toc205672545" w:history="1">
            <w:r w:rsidRPr="005F3F41">
              <w:rPr>
                <w:rStyle w:val="Hyperlink"/>
                <w:noProof/>
                <w:lang w:bidi="en-US"/>
              </w:rPr>
              <w:t>Chapter Four:  Results and Discussion</w:t>
            </w:r>
            <w:r>
              <w:rPr>
                <w:noProof/>
                <w:webHidden/>
              </w:rPr>
              <w:tab/>
            </w:r>
            <w:r>
              <w:rPr>
                <w:noProof/>
                <w:webHidden/>
              </w:rPr>
              <w:fldChar w:fldCharType="begin"/>
            </w:r>
            <w:r>
              <w:rPr>
                <w:noProof/>
                <w:webHidden/>
              </w:rPr>
              <w:instrText xml:space="preserve"> PAGEREF _Toc205672545 \h </w:instrText>
            </w:r>
            <w:r>
              <w:rPr>
                <w:noProof/>
                <w:webHidden/>
              </w:rPr>
            </w:r>
            <w:r>
              <w:rPr>
                <w:noProof/>
                <w:webHidden/>
              </w:rPr>
              <w:fldChar w:fldCharType="separate"/>
            </w:r>
            <w:r w:rsidR="008B0A0B">
              <w:rPr>
                <w:noProof/>
                <w:webHidden/>
              </w:rPr>
              <w:t>33</w:t>
            </w:r>
            <w:r>
              <w:rPr>
                <w:noProof/>
                <w:webHidden/>
              </w:rPr>
              <w:fldChar w:fldCharType="end"/>
            </w:r>
          </w:hyperlink>
        </w:p>
        <w:p w14:paraId="6175B8A6" w14:textId="3C412E0D"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6" w:history="1">
            <w:r w:rsidRPr="005F3F41">
              <w:rPr>
                <w:rStyle w:val="Hyperlink"/>
                <w:noProof/>
                <w:rtl/>
              </w:rPr>
              <w:t>4.1</w:t>
            </w:r>
            <w:r>
              <w:rPr>
                <w:rFonts w:asciiTheme="minorHAnsi" w:eastAsiaTheme="minorEastAsia" w:hAnsiTheme="minorHAnsi" w:cstheme="minorBidi"/>
                <w:noProof/>
                <w:kern w:val="2"/>
                <w14:ligatures w14:val="standardContextual"/>
              </w:rPr>
              <w:tab/>
            </w:r>
            <w:r w:rsidRPr="005F3F41">
              <w:rPr>
                <w:rStyle w:val="Hyperlink"/>
                <w:noProof/>
                <w:lang w:val="tr-TR"/>
              </w:rPr>
              <w:t>Introduction</w:t>
            </w:r>
            <w:r>
              <w:rPr>
                <w:noProof/>
                <w:webHidden/>
              </w:rPr>
              <w:tab/>
            </w:r>
            <w:r>
              <w:rPr>
                <w:noProof/>
                <w:webHidden/>
              </w:rPr>
              <w:fldChar w:fldCharType="begin"/>
            </w:r>
            <w:r>
              <w:rPr>
                <w:noProof/>
                <w:webHidden/>
              </w:rPr>
              <w:instrText xml:space="preserve"> PAGEREF _Toc205672546 \h </w:instrText>
            </w:r>
            <w:r>
              <w:rPr>
                <w:noProof/>
                <w:webHidden/>
              </w:rPr>
            </w:r>
            <w:r>
              <w:rPr>
                <w:noProof/>
                <w:webHidden/>
              </w:rPr>
              <w:fldChar w:fldCharType="separate"/>
            </w:r>
            <w:r w:rsidR="008B0A0B">
              <w:rPr>
                <w:noProof/>
                <w:webHidden/>
              </w:rPr>
              <w:t>33</w:t>
            </w:r>
            <w:r>
              <w:rPr>
                <w:noProof/>
                <w:webHidden/>
              </w:rPr>
              <w:fldChar w:fldCharType="end"/>
            </w:r>
          </w:hyperlink>
        </w:p>
        <w:p w14:paraId="7C39A3E6" w14:textId="6019151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7" w:history="1">
            <w:r w:rsidRPr="005F3F41">
              <w:rPr>
                <w:rStyle w:val="Hyperlink"/>
                <w:noProof/>
              </w:rPr>
              <w:t>4.2</w:t>
            </w:r>
            <w:r>
              <w:rPr>
                <w:rFonts w:asciiTheme="minorHAnsi" w:eastAsiaTheme="minorEastAsia" w:hAnsiTheme="minorHAnsi" w:cstheme="minorBidi"/>
                <w:noProof/>
                <w:kern w:val="2"/>
                <w14:ligatures w14:val="standardContextual"/>
              </w:rPr>
              <w:tab/>
            </w:r>
            <w:r w:rsidRPr="005F3F41">
              <w:rPr>
                <w:rStyle w:val="Hyperlink"/>
                <w:noProof/>
              </w:rPr>
              <w:t>Load flow analysis</w:t>
            </w:r>
            <w:r>
              <w:rPr>
                <w:noProof/>
                <w:webHidden/>
              </w:rPr>
              <w:tab/>
            </w:r>
            <w:r>
              <w:rPr>
                <w:noProof/>
                <w:webHidden/>
              </w:rPr>
              <w:fldChar w:fldCharType="begin"/>
            </w:r>
            <w:r>
              <w:rPr>
                <w:noProof/>
                <w:webHidden/>
              </w:rPr>
              <w:instrText xml:space="preserve"> PAGEREF _Toc205672547 \h </w:instrText>
            </w:r>
            <w:r>
              <w:rPr>
                <w:noProof/>
                <w:webHidden/>
              </w:rPr>
            </w:r>
            <w:r>
              <w:rPr>
                <w:noProof/>
                <w:webHidden/>
              </w:rPr>
              <w:fldChar w:fldCharType="separate"/>
            </w:r>
            <w:r w:rsidR="008B0A0B">
              <w:rPr>
                <w:noProof/>
                <w:webHidden/>
              </w:rPr>
              <w:t>33</w:t>
            </w:r>
            <w:r>
              <w:rPr>
                <w:noProof/>
                <w:webHidden/>
              </w:rPr>
              <w:fldChar w:fldCharType="end"/>
            </w:r>
          </w:hyperlink>
        </w:p>
        <w:p w14:paraId="4A51A876" w14:textId="5919375C"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8" w:history="1">
            <w:r w:rsidRPr="005F3F41">
              <w:rPr>
                <w:rStyle w:val="Hyperlink"/>
                <w:noProof/>
              </w:rPr>
              <w:t>4.3</w:t>
            </w:r>
            <w:r>
              <w:rPr>
                <w:rFonts w:asciiTheme="minorHAnsi" w:eastAsiaTheme="minorEastAsia" w:hAnsiTheme="minorHAnsi" w:cstheme="minorBidi"/>
                <w:noProof/>
                <w:kern w:val="2"/>
                <w14:ligatures w14:val="standardContextual"/>
              </w:rPr>
              <w:tab/>
            </w:r>
            <w:r w:rsidRPr="005F3F41">
              <w:rPr>
                <w:rStyle w:val="Hyperlink"/>
                <w:noProof/>
                <w:lang w:val="tr-TR"/>
              </w:rPr>
              <w:t>Harmonic Distortion:</w:t>
            </w:r>
            <w:r>
              <w:rPr>
                <w:noProof/>
                <w:webHidden/>
              </w:rPr>
              <w:tab/>
            </w:r>
            <w:r>
              <w:rPr>
                <w:noProof/>
                <w:webHidden/>
              </w:rPr>
              <w:fldChar w:fldCharType="begin"/>
            </w:r>
            <w:r>
              <w:rPr>
                <w:noProof/>
                <w:webHidden/>
              </w:rPr>
              <w:instrText xml:space="preserve"> PAGEREF _Toc205672548 \h </w:instrText>
            </w:r>
            <w:r>
              <w:rPr>
                <w:noProof/>
                <w:webHidden/>
              </w:rPr>
            </w:r>
            <w:r>
              <w:rPr>
                <w:noProof/>
                <w:webHidden/>
              </w:rPr>
              <w:fldChar w:fldCharType="separate"/>
            </w:r>
            <w:r w:rsidR="008B0A0B">
              <w:rPr>
                <w:noProof/>
                <w:webHidden/>
              </w:rPr>
              <w:t>38</w:t>
            </w:r>
            <w:r>
              <w:rPr>
                <w:noProof/>
                <w:webHidden/>
              </w:rPr>
              <w:fldChar w:fldCharType="end"/>
            </w:r>
          </w:hyperlink>
        </w:p>
        <w:p w14:paraId="39B8A516" w14:textId="06C9FA92"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49" w:history="1">
            <w:r w:rsidRPr="005F3F41">
              <w:rPr>
                <w:rStyle w:val="Hyperlink"/>
                <w:noProof/>
              </w:rPr>
              <w:t>4.4</w:t>
            </w:r>
            <w:r>
              <w:rPr>
                <w:rFonts w:asciiTheme="minorHAnsi" w:eastAsiaTheme="minorEastAsia" w:hAnsiTheme="minorHAnsi" w:cstheme="minorBidi"/>
                <w:noProof/>
                <w:kern w:val="2"/>
                <w14:ligatures w14:val="standardContextual"/>
              </w:rPr>
              <w:tab/>
            </w:r>
            <w:r w:rsidRPr="005F3F41">
              <w:rPr>
                <w:rStyle w:val="Hyperlink"/>
                <w:noProof/>
                <w:lang w:val="tr-TR"/>
              </w:rPr>
              <w:t>Short Circuit Analysis:</w:t>
            </w:r>
            <w:r>
              <w:rPr>
                <w:noProof/>
                <w:webHidden/>
              </w:rPr>
              <w:tab/>
            </w:r>
            <w:r>
              <w:rPr>
                <w:noProof/>
                <w:webHidden/>
              </w:rPr>
              <w:fldChar w:fldCharType="begin"/>
            </w:r>
            <w:r>
              <w:rPr>
                <w:noProof/>
                <w:webHidden/>
              </w:rPr>
              <w:instrText xml:space="preserve"> PAGEREF _Toc205672549 \h </w:instrText>
            </w:r>
            <w:r>
              <w:rPr>
                <w:noProof/>
                <w:webHidden/>
              </w:rPr>
            </w:r>
            <w:r>
              <w:rPr>
                <w:noProof/>
                <w:webHidden/>
              </w:rPr>
              <w:fldChar w:fldCharType="separate"/>
            </w:r>
            <w:r w:rsidR="008B0A0B">
              <w:rPr>
                <w:noProof/>
                <w:webHidden/>
              </w:rPr>
              <w:t>42</w:t>
            </w:r>
            <w:r>
              <w:rPr>
                <w:noProof/>
                <w:webHidden/>
              </w:rPr>
              <w:fldChar w:fldCharType="end"/>
            </w:r>
          </w:hyperlink>
        </w:p>
        <w:p w14:paraId="7BA21E3F" w14:textId="121A38C1"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0" w:history="1">
            <w:r w:rsidRPr="005F3F41">
              <w:rPr>
                <w:rStyle w:val="Hyperlink"/>
                <w:noProof/>
                <w:lang w:val="tr-TR"/>
              </w:rPr>
              <w:t>4.5</w:t>
            </w:r>
            <w:r>
              <w:rPr>
                <w:rFonts w:asciiTheme="minorHAnsi" w:eastAsiaTheme="minorEastAsia" w:hAnsiTheme="minorHAnsi" w:cstheme="minorBidi"/>
                <w:noProof/>
                <w:kern w:val="2"/>
                <w14:ligatures w14:val="standardContextual"/>
              </w:rPr>
              <w:tab/>
            </w:r>
            <w:r w:rsidRPr="005F3F41">
              <w:rPr>
                <w:rStyle w:val="Hyperlink"/>
                <w:noProof/>
                <w:lang w:val="tr-TR"/>
              </w:rPr>
              <w:t>Battery Sizing</w:t>
            </w:r>
            <w:r>
              <w:rPr>
                <w:noProof/>
                <w:webHidden/>
              </w:rPr>
              <w:tab/>
            </w:r>
            <w:r>
              <w:rPr>
                <w:noProof/>
                <w:webHidden/>
              </w:rPr>
              <w:fldChar w:fldCharType="begin"/>
            </w:r>
            <w:r>
              <w:rPr>
                <w:noProof/>
                <w:webHidden/>
              </w:rPr>
              <w:instrText xml:space="preserve"> PAGEREF _Toc205672550 \h </w:instrText>
            </w:r>
            <w:r>
              <w:rPr>
                <w:noProof/>
                <w:webHidden/>
              </w:rPr>
            </w:r>
            <w:r>
              <w:rPr>
                <w:noProof/>
                <w:webHidden/>
              </w:rPr>
              <w:fldChar w:fldCharType="separate"/>
            </w:r>
            <w:r w:rsidR="008B0A0B">
              <w:rPr>
                <w:noProof/>
                <w:webHidden/>
              </w:rPr>
              <w:t>45</w:t>
            </w:r>
            <w:r>
              <w:rPr>
                <w:noProof/>
                <w:webHidden/>
              </w:rPr>
              <w:fldChar w:fldCharType="end"/>
            </w:r>
          </w:hyperlink>
        </w:p>
        <w:p w14:paraId="156F4E40" w14:textId="0470638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1" w:history="1">
            <w:r w:rsidRPr="005F3F41">
              <w:rPr>
                <w:rStyle w:val="Hyperlink"/>
                <w:noProof/>
              </w:rPr>
              <w:t>4.6</w:t>
            </w:r>
            <w:r>
              <w:rPr>
                <w:rFonts w:asciiTheme="minorHAnsi" w:eastAsiaTheme="minorEastAsia" w:hAnsiTheme="minorHAnsi" w:cstheme="minorBidi"/>
                <w:noProof/>
                <w:kern w:val="2"/>
                <w14:ligatures w14:val="standardContextual"/>
              </w:rPr>
              <w:tab/>
            </w:r>
            <w:r w:rsidRPr="005F3F41">
              <w:rPr>
                <w:rStyle w:val="Hyperlink"/>
                <w:noProof/>
                <w:lang w:val="tr-TR"/>
              </w:rPr>
              <w:t>Voltage Profiles</w:t>
            </w:r>
            <w:r>
              <w:rPr>
                <w:noProof/>
                <w:webHidden/>
              </w:rPr>
              <w:tab/>
            </w:r>
            <w:r>
              <w:rPr>
                <w:noProof/>
                <w:webHidden/>
              </w:rPr>
              <w:fldChar w:fldCharType="begin"/>
            </w:r>
            <w:r>
              <w:rPr>
                <w:noProof/>
                <w:webHidden/>
              </w:rPr>
              <w:instrText xml:space="preserve"> PAGEREF _Toc205672551 \h </w:instrText>
            </w:r>
            <w:r>
              <w:rPr>
                <w:noProof/>
                <w:webHidden/>
              </w:rPr>
            </w:r>
            <w:r>
              <w:rPr>
                <w:noProof/>
                <w:webHidden/>
              </w:rPr>
              <w:fldChar w:fldCharType="separate"/>
            </w:r>
            <w:r w:rsidR="008B0A0B">
              <w:rPr>
                <w:noProof/>
                <w:webHidden/>
              </w:rPr>
              <w:t>47</w:t>
            </w:r>
            <w:r>
              <w:rPr>
                <w:noProof/>
                <w:webHidden/>
              </w:rPr>
              <w:fldChar w:fldCharType="end"/>
            </w:r>
          </w:hyperlink>
        </w:p>
        <w:p w14:paraId="6A19AE5C" w14:textId="03F1DB74"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2" w:history="1">
            <w:r w:rsidRPr="005F3F41">
              <w:rPr>
                <w:rStyle w:val="Hyperlink"/>
                <w:noProof/>
              </w:rPr>
              <w:t>4.7</w:t>
            </w:r>
            <w:r>
              <w:rPr>
                <w:rFonts w:asciiTheme="minorHAnsi" w:eastAsiaTheme="minorEastAsia" w:hAnsiTheme="minorHAnsi" w:cstheme="minorBidi"/>
                <w:noProof/>
                <w:kern w:val="2"/>
                <w14:ligatures w14:val="standardContextual"/>
              </w:rPr>
              <w:tab/>
            </w:r>
            <w:r w:rsidRPr="005F3F41">
              <w:rPr>
                <w:rStyle w:val="Hyperlink"/>
                <w:noProof/>
                <w:lang w:eastAsia="ar-SA"/>
              </w:rPr>
              <w:t>Peak-Shaving Effect</w:t>
            </w:r>
            <w:r>
              <w:rPr>
                <w:noProof/>
                <w:webHidden/>
              </w:rPr>
              <w:tab/>
            </w:r>
            <w:r>
              <w:rPr>
                <w:noProof/>
                <w:webHidden/>
              </w:rPr>
              <w:fldChar w:fldCharType="begin"/>
            </w:r>
            <w:r>
              <w:rPr>
                <w:noProof/>
                <w:webHidden/>
              </w:rPr>
              <w:instrText xml:space="preserve"> PAGEREF _Toc205672552 \h </w:instrText>
            </w:r>
            <w:r>
              <w:rPr>
                <w:noProof/>
                <w:webHidden/>
              </w:rPr>
            </w:r>
            <w:r>
              <w:rPr>
                <w:noProof/>
                <w:webHidden/>
              </w:rPr>
              <w:fldChar w:fldCharType="separate"/>
            </w:r>
            <w:r w:rsidR="008B0A0B">
              <w:rPr>
                <w:noProof/>
                <w:webHidden/>
              </w:rPr>
              <w:t>49</w:t>
            </w:r>
            <w:r>
              <w:rPr>
                <w:noProof/>
                <w:webHidden/>
              </w:rPr>
              <w:fldChar w:fldCharType="end"/>
            </w:r>
          </w:hyperlink>
        </w:p>
        <w:p w14:paraId="7642F9B4" w14:textId="779C0063"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3" w:history="1">
            <w:r w:rsidRPr="005F3F41">
              <w:rPr>
                <w:rStyle w:val="Hyperlink"/>
                <w:noProof/>
              </w:rPr>
              <w:t>4.8</w:t>
            </w:r>
            <w:r>
              <w:rPr>
                <w:rFonts w:asciiTheme="minorHAnsi" w:eastAsiaTheme="minorEastAsia" w:hAnsiTheme="minorHAnsi" w:cstheme="minorBidi"/>
                <w:noProof/>
                <w:kern w:val="2"/>
                <w14:ligatures w14:val="standardContextual"/>
              </w:rPr>
              <w:tab/>
            </w:r>
            <w:r w:rsidRPr="005F3F41">
              <w:rPr>
                <w:rStyle w:val="Hyperlink"/>
                <w:noProof/>
                <w:lang w:eastAsia="ar-SA"/>
              </w:rPr>
              <w:t>Loss Analysis</w:t>
            </w:r>
            <w:r>
              <w:rPr>
                <w:noProof/>
                <w:webHidden/>
              </w:rPr>
              <w:tab/>
            </w:r>
            <w:r>
              <w:rPr>
                <w:noProof/>
                <w:webHidden/>
              </w:rPr>
              <w:fldChar w:fldCharType="begin"/>
            </w:r>
            <w:r>
              <w:rPr>
                <w:noProof/>
                <w:webHidden/>
              </w:rPr>
              <w:instrText xml:space="preserve"> PAGEREF _Toc205672553 \h </w:instrText>
            </w:r>
            <w:r>
              <w:rPr>
                <w:noProof/>
                <w:webHidden/>
              </w:rPr>
            </w:r>
            <w:r>
              <w:rPr>
                <w:noProof/>
                <w:webHidden/>
              </w:rPr>
              <w:fldChar w:fldCharType="separate"/>
            </w:r>
            <w:r w:rsidR="008B0A0B">
              <w:rPr>
                <w:noProof/>
                <w:webHidden/>
              </w:rPr>
              <w:t>53</w:t>
            </w:r>
            <w:r>
              <w:rPr>
                <w:noProof/>
                <w:webHidden/>
              </w:rPr>
              <w:fldChar w:fldCharType="end"/>
            </w:r>
          </w:hyperlink>
        </w:p>
        <w:p w14:paraId="02725905" w14:textId="2BC07DC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4" w:history="1">
            <w:r w:rsidRPr="005F3F41">
              <w:rPr>
                <w:rStyle w:val="Hyperlink"/>
                <w:noProof/>
              </w:rPr>
              <w:t>4.9</w:t>
            </w:r>
            <w:r>
              <w:rPr>
                <w:rFonts w:asciiTheme="minorHAnsi" w:eastAsiaTheme="minorEastAsia" w:hAnsiTheme="minorHAnsi" w:cstheme="minorBidi"/>
                <w:noProof/>
                <w:kern w:val="2"/>
                <w14:ligatures w14:val="standardContextual"/>
              </w:rPr>
              <w:tab/>
            </w:r>
            <w:r w:rsidRPr="005F3F41">
              <w:rPr>
                <w:rStyle w:val="Hyperlink"/>
                <w:noProof/>
                <w:lang w:val="tr-TR" w:eastAsia="ar-SA"/>
              </w:rPr>
              <w:t>Economic</w:t>
            </w:r>
            <w:r w:rsidRPr="005F3F41">
              <w:rPr>
                <w:rStyle w:val="Hyperlink"/>
                <w:noProof/>
                <w:lang w:eastAsia="ar-SA"/>
              </w:rPr>
              <w:t xml:space="preserve"> Analysis</w:t>
            </w:r>
            <w:r>
              <w:rPr>
                <w:noProof/>
                <w:webHidden/>
              </w:rPr>
              <w:tab/>
            </w:r>
            <w:r>
              <w:rPr>
                <w:noProof/>
                <w:webHidden/>
              </w:rPr>
              <w:fldChar w:fldCharType="begin"/>
            </w:r>
            <w:r>
              <w:rPr>
                <w:noProof/>
                <w:webHidden/>
              </w:rPr>
              <w:instrText xml:space="preserve"> PAGEREF _Toc205672554 \h </w:instrText>
            </w:r>
            <w:r>
              <w:rPr>
                <w:noProof/>
                <w:webHidden/>
              </w:rPr>
            </w:r>
            <w:r>
              <w:rPr>
                <w:noProof/>
                <w:webHidden/>
              </w:rPr>
              <w:fldChar w:fldCharType="separate"/>
            </w:r>
            <w:r w:rsidR="008B0A0B">
              <w:rPr>
                <w:noProof/>
                <w:webHidden/>
              </w:rPr>
              <w:t>55</w:t>
            </w:r>
            <w:r>
              <w:rPr>
                <w:noProof/>
                <w:webHidden/>
              </w:rPr>
              <w:fldChar w:fldCharType="end"/>
            </w:r>
          </w:hyperlink>
        </w:p>
        <w:p w14:paraId="77CDB435" w14:textId="5B763202"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5" w:history="1">
            <w:r w:rsidRPr="005F3F41">
              <w:rPr>
                <w:rStyle w:val="Hyperlink"/>
                <w:noProof/>
              </w:rPr>
              <w:t>4.9.1</w:t>
            </w:r>
            <w:r>
              <w:rPr>
                <w:rFonts w:asciiTheme="minorHAnsi" w:eastAsiaTheme="minorEastAsia" w:hAnsiTheme="minorHAnsi" w:cstheme="minorBidi"/>
                <w:noProof/>
                <w:kern w:val="2"/>
                <w14:ligatures w14:val="standardContextual"/>
              </w:rPr>
              <w:tab/>
            </w:r>
            <w:r w:rsidRPr="005F3F41">
              <w:rPr>
                <w:rStyle w:val="Hyperlink"/>
                <w:noProof/>
                <w:lang w:val="tr-TR" w:eastAsia="ar-SA"/>
              </w:rPr>
              <w:t>Inputs for SAM</w:t>
            </w:r>
            <w:r>
              <w:rPr>
                <w:noProof/>
                <w:webHidden/>
              </w:rPr>
              <w:tab/>
            </w:r>
            <w:r>
              <w:rPr>
                <w:noProof/>
                <w:webHidden/>
              </w:rPr>
              <w:fldChar w:fldCharType="begin"/>
            </w:r>
            <w:r>
              <w:rPr>
                <w:noProof/>
                <w:webHidden/>
              </w:rPr>
              <w:instrText xml:space="preserve"> PAGEREF _Toc205672555 \h </w:instrText>
            </w:r>
            <w:r>
              <w:rPr>
                <w:noProof/>
                <w:webHidden/>
              </w:rPr>
            </w:r>
            <w:r>
              <w:rPr>
                <w:noProof/>
                <w:webHidden/>
              </w:rPr>
              <w:fldChar w:fldCharType="separate"/>
            </w:r>
            <w:r w:rsidR="008B0A0B">
              <w:rPr>
                <w:noProof/>
                <w:webHidden/>
              </w:rPr>
              <w:t>55</w:t>
            </w:r>
            <w:r>
              <w:rPr>
                <w:noProof/>
                <w:webHidden/>
              </w:rPr>
              <w:fldChar w:fldCharType="end"/>
            </w:r>
          </w:hyperlink>
        </w:p>
        <w:p w14:paraId="29875995" w14:textId="43AEF79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6" w:history="1">
            <w:r w:rsidRPr="005F3F41">
              <w:rPr>
                <w:rStyle w:val="Hyperlink"/>
                <w:noProof/>
              </w:rPr>
              <w:t>4.9.2</w:t>
            </w:r>
            <w:r>
              <w:rPr>
                <w:rFonts w:asciiTheme="minorHAnsi" w:eastAsiaTheme="minorEastAsia" w:hAnsiTheme="minorHAnsi" w:cstheme="minorBidi"/>
                <w:noProof/>
                <w:kern w:val="2"/>
                <w14:ligatures w14:val="standardContextual"/>
              </w:rPr>
              <w:tab/>
            </w:r>
            <w:r w:rsidRPr="005F3F41">
              <w:rPr>
                <w:rStyle w:val="Hyperlink"/>
                <w:noProof/>
                <w:lang w:val="tr-TR" w:eastAsia="ar-SA"/>
              </w:rPr>
              <w:t>Financial Metrics and Calculation Methods</w:t>
            </w:r>
            <w:r>
              <w:rPr>
                <w:noProof/>
                <w:webHidden/>
              </w:rPr>
              <w:tab/>
            </w:r>
            <w:r>
              <w:rPr>
                <w:noProof/>
                <w:webHidden/>
              </w:rPr>
              <w:fldChar w:fldCharType="begin"/>
            </w:r>
            <w:r>
              <w:rPr>
                <w:noProof/>
                <w:webHidden/>
              </w:rPr>
              <w:instrText xml:space="preserve"> PAGEREF _Toc205672556 \h </w:instrText>
            </w:r>
            <w:r>
              <w:rPr>
                <w:noProof/>
                <w:webHidden/>
              </w:rPr>
            </w:r>
            <w:r>
              <w:rPr>
                <w:noProof/>
                <w:webHidden/>
              </w:rPr>
              <w:fldChar w:fldCharType="separate"/>
            </w:r>
            <w:r w:rsidR="008B0A0B">
              <w:rPr>
                <w:noProof/>
                <w:webHidden/>
              </w:rPr>
              <w:t>56</w:t>
            </w:r>
            <w:r>
              <w:rPr>
                <w:noProof/>
                <w:webHidden/>
              </w:rPr>
              <w:fldChar w:fldCharType="end"/>
            </w:r>
          </w:hyperlink>
        </w:p>
        <w:p w14:paraId="48846B24" w14:textId="2CB7ADF0" w:rsidR="00303508" w:rsidRDefault="00303508">
          <w:pPr>
            <w:pStyle w:val="TOC2"/>
            <w:tabs>
              <w:tab w:val="left" w:pos="960"/>
              <w:tab w:val="right" w:leader="dot" w:pos="8496"/>
            </w:tabs>
            <w:rPr>
              <w:rFonts w:asciiTheme="minorHAnsi" w:eastAsiaTheme="minorEastAsia" w:hAnsiTheme="minorHAnsi" w:cstheme="minorBidi"/>
              <w:noProof/>
              <w:kern w:val="2"/>
              <w14:ligatures w14:val="standardContextual"/>
            </w:rPr>
          </w:pPr>
          <w:hyperlink w:anchor="_Toc205672557" w:history="1">
            <w:r w:rsidRPr="005F3F41">
              <w:rPr>
                <w:rStyle w:val="Hyperlink"/>
                <w:noProof/>
              </w:rPr>
              <w:t>4.9.3</w:t>
            </w:r>
            <w:r>
              <w:rPr>
                <w:rFonts w:asciiTheme="minorHAnsi" w:eastAsiaTheme="minorEastAsia" w:hAnsiTheme="minorHAnsi" w:cstheme="minorBidi"/>
                <w:noProof/>
                <w:kern w:val="2"/>
                <w14:ligatures w14:val="standardContextual"/>
              </w:rPr>
              <w:tab/>
            </w:r>
            <w:r w:rsidRPr="005F3F41">
              <w:rPr>
                <w:rStyle w:val="Hyperlink"/>
                <w:noProof/>
                <w:lang w:val="tr-TR" w:eastAsia="ar-SA"/>
              </w:rPr>
              <w:t>Results and Observaions:</w:t>
            </w:r>
            <w:r>
              <w:rPr>
                <w:noProof/>
                <w:webHidden/>
              </w:rPr>
              <w:tab/>
            </w:r>
            <w:r>
              <w:rPr>
                <w:noProof/>
                <w:webHidden/>
              </w:rPr>
              <w:fldChar w:fldCharType="begin"/>
            </w:r>
            <w:r>
              <w:rPr>
                <w:noProof/>
                <w:webHidden/>
              </w:rPr>
              <w:instrText xml:space="preserve"> PAGEREF _Toc205672557 \h </w:instrText>
            </w:r>
            <w:r>
              <w:rPr>
                <w:noProof/>
                <w:webHidden/>
              </w:rPr>
            </w:r>
            <w:r>
              <w:rPr>
                <w:noProof/>
                <w:webHidden/>
              </w:rPr>
              <w:fldChar w:fldCharType="separate"/>
            </w:r>
            <w:r w:rsidR="008B0A0B">
              <w:rPr>
                <w:noProof/>
                <w:webHidden/>
              </w:rPr>
              <w:t>58</w:t>
            </w:r>
            <w:r>
              <w:rPr>
                <w:noProof/>
                <w:webHidden/>
              </w:rPr>
              <w:fldChar w:fldCharType="end"/>
            </w:r>
          </w:hyperlink>
        </w:p>
        <w:p w14:paraId="1B0F1EE5" w14:textId="005BB2C9" w:rsidR="00303508" w:rsidRDefault="00303508">
          <w:pPr>
            <w:pStyle w:val="TOC1"/>
            <w:tabs>
              <w:tab w:val="right" w:leader="dot" w:pos="8496"/>
            </w:tabs>
            <w:rPr>
              <w:rFonts w:asciiTheme="minorHAnsi" w:eastAsiaTheme="minorEastAsia" w:hAnsiTheme="minorHAnsi" w:cstheme="minorBidi"/>
              <w:noProof/>
              <w:kern w:val="2"/>
              <w14:ligatures w14:val="standardContextual"/>
            </w:rPr>
          </w:pPr>
          <w:hyperlink w:anchor="_Toc205672558" w:history="1">
            <w:r w:rsidRPr="005F3F41">
              <w:rPr>
                <w:rStyle w:val="Hyperlink"/>
                <w:noProof/>
                <w:lang w:bidi="en-US"/>
              </w:rPr>
              <w:t>Chapter Five:  Conclusions and Recommendations</w:t>
            </w:r>
            <w:r>
              <w:rPr>
                <w:noProof/>
                <w:webHidden/>
              </w:rPr>
              <w:tab/>
            </w:r>
            <w:r>
              <w:rPr>
                <w:noProof/>
                <w:webHidden/>
              </w:rPr>
              <w:fldChar w:fldCharType="begin"/>
            </w:r>
            <w:r>
              <w:rPr>
                <w:noProof/>
                <w:webHidden/>
              </w:rPr>
              <w:instrText xml:space="preserve"> PAGEREF _Toc205672558 \h </w:instrText>
            </w:r>
            <w:r>
              <w:rPr>
                <w:noProof/>
                <w:webHidden/>
              </w:rPr>
            </w:r>
            <w:r>
              <w:rPr>
                <w:noProof/>
                <w:webHidden/>
              </w:rPr>
              <w:fldChar w:fldCharType="separate"/>
            </w:r>
            <w:r w:rsidR="008B0A0B">
              <w:rPr>
                <w:noProof/>
                <w:webHidden/>
              </w:rPr>
              <w:t>61</w:t>
            </w:r>
            <w:r>
              <w:rPr>
                <w:noProof/>
                <w:webHidden/>
              </w:rPr>
              <w:fldChar w:fldCharType="end"/>
            </w:r>
          </w:hyperlink>
        </w:p>
        <w:p w14:paraId="613CAF4C" w14:textId="2E20F05D" w:rsidR="00C953A4" w:rsidRDefault="00C953A4" w:rsidP="006352F0">
          <w:pPr>
            <w:spacing w:line="360" w:lineRule="auto"/>
          </w:pPr>
          <w:r>
            <w:fldChar w:fldCharType="end"/>
          </w:r>
        </w:p>
      </w:sdtContent>
    </w:sdt>
    <w:p w14:paraId="2142BD8A" w14:textId="77777777" w:rsidR="008C64AD" w:rsidRDefault="008C64AD" w:rsidP="006352F0">
      <w:pPr>
        <w:spacing w:line="360" w:lineRule="auto"/>
        <w:rPr>
          <w:lang w:eastAsia="ar-SA" w:bidi="ar-JO"/>
        </w:rPr>
      </w:pPr>
    </w:p>
    <w:p w14:paraId="3D5B2A5B" w14:textId="6D74B168" w:rsidR="008C64AD" w:rsidRPr="008C64AD" w:rsidRDefault="008C64AD" w:rsidP="006352F0">
      <w:pPr>
        <w:spacing w:line="360" w:lineRule="auto"/>
        <w:rPr>
          <w:lang w:eastAsia="ar-SA" w:bidi="ar-JO"/>
        </w:rPr>
      </w:pPr>
    </w:p>
    <w:p w14:paraId="30C6E682" w14:textId="3BB23622" w:rsidR="008C64AD" w:rsidRDefault="008C64AD" w:rsidP="006352F0">
      <w:pPr>
        <w:spacing w:line="360" w:lineRule="auto"/>
        <w:rPr>
          <w:lang w:eastAsia="ar-SA" w:bidi="ar-JO"/>
        </w:rPr>
      </w:pPr>
    </w:p>
    <w:p w14:paraId="283D644B" w14:textId="0C17D5CD" w:rsidR="00C953A4" w:rsidRDefault="00C953A4" w:rsidP="006352F0">
      <w:pPr>
        <w:spacing w:line="360" w:lineRule="auto"/>
        <w:rPr>
          <w:lang w:eastAsia="ar-SA" w:bidi="ar-JO"/>
        </w:rPr>
      </w:pPr>
    </w:p>
    <w:p w14:paraId="04684248" w14:textId="77777777" w:rsidR="00EB1FAD" w:rsidRDefault="00EB1FAD">
      <w:pPr>
        <w:spacing w:after="160" w:line="259" w:lineRule="auto"/>
        <w:rPr>
          <w:rFonts w:asciiTheme="majorBidi" w:eastAsia="Calibri" w:hAnsiTheme="majorBidi" w:cstheme="majorBidi"/>
          <w:b/>
          <w:bCs/>
          <w:spacing w:val="-10"/>
          <w:kern w:val="28"/>
          <w:sz w:val="28"/>
          <w:szCs w:val="28"/>
          <w:lang w:eastAsia="ar-SA" w:bidi="ar-JO"/>
        </w:rPr>
      </w:pPr>
      <w:r>
        <w:rPr>
          <w:lang w:eastAsia="ar-SA" w:bidi="ar-JO"/>
        </w:rPr>
        <w:br w:type="page"/>
      </w:r>
    </w:p>
    <w:p w14:paraId="08393201" w14:textId="782A28B3" w:rsidR="00D305BD" w:rsidRDefault="00D556CC" w:rsidP="00D305BD">
      <w:pPr>
        <w:pStyle w:val="Title"/>
        <w:jc w:val="center"/>
        <w:rPr>
          <w:lang w:eastAsia="ar-SA" w:bidi="ar-JO"/>
        </w:rPr>
      </w:pPr>
      <w:r>
        <w:rPr>
          <w:lang w:eastAsia="ar-SA" w:bidi="ar-JO"/>
        </w:rPr>
        <w:lastRenderedPageBreak/>
        <w:t>List</w:t>
      </w:r>
      <w:r w:rsidR="00C953A4" w:rsidRPr="00C953A4">
        <w:rPr>
          <w:lang w:eastAsia="ar-SA" w:bidi="ar-JO"/>
        </w:rPr>
        <w:t xml:space="preserve"> of Figures</w:t>
      </w:r>
    </w:p>
    <w:p w14:paraId="33ADC99A" w14:textId="6F985EAD" w:rsidR="0077156A" w:rsidRDefault="00AF47BF" w:rsidP="00704B8C">
      <w:pPr>
        <w:pStyle w:val="TableofFigures"/>
        <w:tabs>
          <w:tab w:val="right" w:leader="dot" w:pos="8496"/>
        </w:tabs>
        <w:jc w:val="right"/>
        <w:rPr>
          <w:rFonts w:asciiTheme="minorHAnsi" w:eastAsiaTheme="minorEastAsia" w:hAnsiTheme="minorHAnsi" w:cstheme="minorBidi"/>
          <w:noProof/>
          <w:kern w:val="2"/>
          <w14:ligatures w14:val="standardContextual"/>
        </w:rPr>
      </w:pPr>
      <w:r>
        <w:rPr>
          <w:lang w:eastAsia="ar-SA" w:bidi="ar-JO"/>
        </w:rPr>
        <w:fldChar w:fldCharType="begin"/>
      </w:r>
      <w:r>
        <w:rPr>
          <w:lang w:eastAsia="ar-SA" w:bidi="ar-JO"/>
        </w:rPr>
        <w:instrText xml:space="preserve"> TOC \h \z \c "Figure" </w:instrText>
      </w:r>
      <w:r>
        <w:rPr>
          <w:lang w:eastAsia="ar-SA" w:bidi="ar-JO"/>
        </w:rPr>
        <w:fldChar w:fldCharType="separate"/>
      </w:r>
      <w:hyperlink w:anchor="_Toc201839277" w:history="1">
        <w:r w:rsidR="0077156A" w:rsidRPr="00D52BC2">
          <w:rPr>
            <w:rStyle w:val="Hyperlink"/>
            <w:b/>
            <w:bCs/>
            <w:noProof/>
          </w:rPr>
          <w:t>Figure 1</w:t>
        </w:r>
        <w:r w:rsidR="0077156A" w:rsidRPr="00D52BC2">
          <w:rPr>
            <w:rStyle w:val="Hyperlink"/>
            <w:noProof/>
          </w:rPr>
          <w:t xml:space="preserve"> The Monthly Average Solar Radiation in Jordan Valley.</w:t>
        </w:r>
        <w:r w:rsidR="0077156A">
          <w:rPr>
            <w:noProof/>
            <w:webHidden/>
          </w:rPr>
          <w:tab/>
        </w:r>
        <w:r w:rsidR="0077156A">
          <w:rPr>
            <w:noProof/>
            <w:webHidden/>
          </w:rPr>
          <w:fldChar w:fldCharType="begin"/>
        </w:r>
        <w:r w:rsidR="0077156A">
          <w:rPr>
            <w:noProof/>
            <w:webHidden/>
          </w:rPr>
          <w:instrText xml:space="preserve"> PAGEREF _Toc201839277 \h </w:instrText>
        </w:r>
        <w:r w:rsidR="0077156A">
          <w:rPr>
            <w:noProof/>
            <w:webHidden/>
          </w:rPr>
        </w:r>
        <w:r w:rsidR="0077156A">
          <w:rPr>
            <w:noProof/>
            <w:webHidden/>
          </w:rPr>
          <w:fldChar w:fldCharType="separate"/>
        </w:r>
        <w:r w:rsidR="008B0A0B">
          <w:rPr>
            <w:noProof/>
            <w:webHidden/>
          </w:rPr>
          <w:t>1</w:t>
        </w:r>
        <w:r w:rsidR="0077156A">
          <w:rPr>
            <w:noProof/>
            <w:webHidden/>
          </w:rPr>
          <w:fldChar w:fldCharType="end"/>
        </w:r>
      </w:hyperlink>
    </w:p>
    <w:p w14:paraId="3F4B43CA" w14:textId="7BA27FE6"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80" w:history="1">
        <w:r w:rsidRPr="00D52BC2">
          <w:rPr>
            <w:rStyle w:val="Hyperlink"/>
            <w:b/>
            <w:bCs/>
            <w:noProof/>
          </w:rPr>
          <w:t xml:space="preserve">Figure </w:t>
        </w:r>
        <w:r w:rsidR="00DE72A2">
          <w:rPr>
            <w:rStyle w:val="Hyperlink"/>
            <w:b/>
            <w:bCs/>
            <w:noProof/>
          </w:rPr>
          <w:t>2</w:t>
        </w:r>
        <w:r w:rsidRPr="00D52BC2">
          <w:rPr>
            <w:rStyle w:val="Hyperlink"/>
            <w:noProof/>
          </w:rPr>
          <w:t xml:space="preserve"> PV Generation Output</w:t>
        </w:r>
        <w:r>
          <w:rPr>
            <w:noProof/>
            <w:webHidden/>
          </w:rPr>
          <w:tab/>
        </w:r>
        <w:r>
          <w:rPr>
            <w:noProof/>
            <w:webHidden/>
          </w:rPr>
          <w:fldChar w:fldCharType="begin"/>
        </w:r>
        <w:r>
          <w:rPr>
            <w:noProof/>
            <w:webHidden/>
          </w:rPr>
          <w:instrText xml:space="preserve"> PAGEREF _Toc201839280 \h </w:instrText>
        </w:r>
        <w:r>
          <w:rPr>
            <w:noProof/>
            <w:webHidden/>
          </w:rPr>
        </w:r>
        <w:r>
          <w:rPr>
            <w:noProof/>
            <w:webHidden/>
          </w:rPr>
          <w:fldChar w:fldCharType="separate"/>
        </w:r>
        <w:r w:rsidR="008B0A0B">
          <w:rPr>
            <w:noProof/>
            <w:webHidden/>
          </w:rPr>
          <w:t>28</w:t>
        </w:r>
        <w:r>
          <w:rPr>
            <w:noProof/>
            <w:webHidden/>
          </w:rPr>
          <w:fldChar w:fldCharType="end"/>
        </w:r>
      </w:hyperlink>
    </w:p>
    <w:p w14:paraId="20FC2DF7" w14:textId="533CACB5"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82" w:history="1">
        <w:r w:rsidRPr="00D52BC2">
          <w:rPr>
            <w:rStyle w:val="Hyperlink"/>
            <w:b/>
            <w:bCs/>
            <w:noProof/>
          </w:rPr>
          <w:t xml:space="preserve">Figure </w:t>
        </w:r>
        <w:r w:rsidR="00DE72A2">
          <w:rPr>
            <w:rStyle w:val="Hyperlink"/>
            <w:b/>
            <w:bCs/>
            <w:noProof/>
          </w:rPr>
          <w:t>3</w:t>
        </w:r>
        <w:r w:rsidRPr="00D52BC2">
          <w:rPr>
            <w:rStyle w:val="Hyperlink"/>
            <w:noProof/>
          </w:rPr>
          <w:t xml:space="preserve"> Energy Loss Profile in the Network</w:t>
        </w:r>
        <w:r>
          <w:rPr>
            <w:noProof/>
            <w:webHidden/>
          </w:rPr>
          <w:tab/>
        </w:r>
        <w:r>
          <w:rPr>
            <w:noProof/>
            <w:webHidden/>
          </w:rPr>
          <w:fldChar w:fldCharType="begin"/>
        </w:r>
        <w:r>
          <w:rPr>
            <w:noProof/>
            <w:webHidden/>
          </w:rPr>
          <w:instrText xml:space="preserve"> PAGEREF _Toc201839282 \h </w:instrText>
        </w:r>
        <w:r>
          <w:rPr>
            <w:noProof/>
            <w:webHidden/>
          </w:rPr>
        </w:r>
        <w:r>
          <w:rPr>
            <w:noProof/>
            <w:webHidden/>
          </w:rPr>
          <w:fldChar w:fldCharType="separate"/>
        </w:r>
        <w:r w:rsidR="008B0A0B">
          <w:rPr>
            <w:noProof/>
            <w:webHidden/>
          </w:rPr>
          <w:t>30</w:t>
        </w:r>
        <w:r>
          <w:rPr>
            <w:noProof/>
            <w:webHidden/>
          </w:rPr>
          <w:fldChar w:fldCharType="end"/>
        </w:r>
      </w:hyperlink>
    </w:p>
    <w:p w14:paraId="057C2A23" w14:textId="6215B030"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83" w:history="1">
        <w:r w:rsidRPr="00D52BC2">
          <w:rPr>
            <w:rStyle w:val="Hyperlink"/>
            <w:b/>
            <w:bCs/>
            <w:noProof/>
          </w:rPr>
          <w:t xml:space="preserve">Figure </w:t>
        </w:r>
        <w:r w:rsidR="00DE72A2">
          <w:rPr>
            <w:rStyle w:val="Hyperlink"/>
            <w:b/>
            <w:bCs/>
            <w:noProof/>
          </w:rPr>
          <w:t>4</w:t>
        </w:r>
        <w:r w:rsidRPr="00D52BC2">
          <w:rPr>
            <w:rStyle w:val="Hyperlink"/>
            <w:noProof/>
          </w:rPr>
          <w:t xml:space="preserve"> Voltage Profile Comparison Across Network Buses</w:t>
        </w:r>
        <w:r>
          <w:rPr>
            <w:noProof/>
            <w:webHidden/>
          </w:rPr>
          <w:tab/>
        </w:r>
        <w:r>
          <w:rPr>
            <w:noProof/>
            <w:webHidden/>
          </w:rPr>
          <w:fldChar w:fldCharType="begin"/>
        </w:r>
        <w:r>
          <w:rPr>
            <w:noProof/>
            <w:webHidden/>
          </w:rPr>
          <w:instrText xml:space="preserve"> PAGEREF _Toc201839283 \h </w:instrText>
        </w:r>
        <w:r>
          <w:rPr>
            <w:noProof/>
            <w:webHidden/>
          </w:rPr>
        </w:r>
        <w:r>
          <w:rPr>
            <w:noProof/>
            <w:webHidden/>
          </w:rPr>
          <w:fldChar w:fldCharType="separate"/>
        </w:r>
        <w:r w:rsidR="008B0A0B">
          <w:rPr>
            <w:noProof/>
            <w:webHidden/>
          </w:rPr>
          <w:t>31</w:t>
        </w:r>
        <w:r>
          <w:rPr>
            <w:noProof/>
            <w:webHidden/>
          </w:rPr>
          <w:fldChar w:fldCharType="end"/>
        </w:r>
      </w:hyperlink>
    </w:p>
    <w:p w14:paraId="13A5F2A5" w14:textId="4653C6C7" w:rsidR="0077156A" w:rsidRDefault="0077156A" w:rsidP="00DE72A2">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84" w:history="1">
        <w:r w:rsidRPr="00D52BC2">
          <w:rPr>
            <w:rStyle w:val="Hyperlink"/>
            <w:b/>
            <w:bCs/>
            <w:noProof/>
          </w:rPr>
          <w:t xml:space="preserve">Figure </w:t>
        </w:r>
        <w:r w:rsidR="00DE72A2">
          <w:rPr>
            <w:rStyle w:val="Hyperlink"/>
            <w:b/>
            <w:bCs/>
            <w:noProof/>
          </w:rPr>
          <w:t>5</w:t>
        </w:r>
        <w:r w:rsidRPr="00D52BC2">
          <w:rPr>
            <w:rStyle w:val="Hyperlink"/>
            <w:noProof/>
          </w:rPr>
          <w:t xml:space="preserve"> Active Power Distribution Across Solar, Grid, and P-net Sources Over a 24-Hour Period</w:t>
        </w:r>
        <w:r>
          <w:rPr>
            <w:noProof/>
            <w:webHidden/>
          </w:rPr>
          <w:tab/>
        </w:r>
        <w:r>
          <w:rPr>
            <w:noProof/>
            <w:webHidden/>
          </w:rPr>
          <w:fldChar w:fldCharType="begin"/>
        </w:r>
        <w:r>
          <w:rPr>
            <w:noProof/>
            <w:webHidden/>
          </w:rPr>
          <w:instrText xml:space="preserve"> PAGEREF _Toc201839284 \h </w:instrText>
        </w:r>
        <w:r>
          <w:rPr>
            <w:noProof/>
            <w:webHidden/>
          </w:rPr>
        </w:r>
        <w:r>
          <w:rPr>
            <w:noProof/>
            <w:webHidden/>
          </w:rPr>
          <w:fldChar w:fldCharType="separate"/>
        </w:r>
        <w:r w:rsidR="008B0A0B">
          <w:rPr>
            <w:noProof/>
            <w:webHidden/>
          </w:rPr>
          <w:t>32</w:t>
        </w:r>
        <w:r>
          <w:rPr>
            <w:noProof/>
            <w:webHidden/>
          </w:rPr>
          <w:fldChar w:fldCharType="end"/>
        </w:r>
      </w:hyperlink>
    </w:p>
    <w:p w14:paraId="03B062DE" w14:textId="189EEC94"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89" w:history="1">
        <w:r w:rsidRPr="00D52BC2">
          <w:rPr>
            <w:rStyle w:val="Hyperlink"/>
            <w:b/>
            <w:bCs/>
            <w:noProof/>
          </w:rPr>
          <w:t xml:space="preserve">Figure </w:t>
        </w:r>
        <w:r w:rsidR="00DE72A2">
          <w:rPr>
            <w:rStyle w:val="Hyperlink"/>
            <w:b/>
            <w:bCs/>
            <w:noProof/>
          </w:rPr>
          <w:t>6</w:t>
        </w:r>
        <w:r w:rsidRPr="00D52BC2">
          <w:rPr>
            <w:rStyle w:val="Hyperlink"/>
            <w:noProof/>
          </w:rPr>
          <w:t xml:space="preserve"> Voltage Profile for Different Cases</w:t>
        </w:r>
        <w:r>
          <w:rPr>
            <w:noProof/>
            <w:webHidden/>
          </w:rPr>
          <w:tab/>
        </w:r>
        <w:r>
          <w:rPr>
            <w:noProof/>
            <w:webHidden/>
          </w:rPr>
          <w:fldChar w:fldCharType="begin"/>
        </w:r>
        <w:r>
          <w:rPr>
            <w:noProof/>
            <w:webHidden/>
          </w:rPr>
          <w:instrText xml:space="preserve"> PAGEREF _Toc201839289 \h </w:instrText>
        </w:r>
        <w:r>
          <w:rPr>
            <w:noProof/>
            <w:webHidden/>
          </w:rPr>
        </w:r>
        <w:r>
          <w:rPr>
            <w:noProof/>
            <w:webHidden/>
          </w:rPr>
          <w:fldChar w:fldCharType="separate"/>
        </w:r>
        <w:r w:rsidR="008B0A0B">
          <w:rPr>
            <w:noProof/>
            <w:webHidden/>
          </w:rPr>
          <w:t>47</w:t>
        </w:r>
        <w:r>
          <w:rPr>
            <w:noProof/>
            <w:webHidden/>
          </w:rPr>
          <w:fldChar w:fldCharType="end"/>
        </w:r>
      </w:hyperlink>
    </w:p>
    <w:p w14:paraId="20CD9426" w14:textId="6569B44F"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90" w:history="1">
        <w:r w:rsidRPr="00D52BC2">
          <w:rPr>
            <w:rStyle w:val="Hyperlink"/>
            <w:b/>
            <w:bCs/>
            <w:noProof/>
          </w:rPr>
          <w:t xml:space="preserve">Figure </w:t>
        </w:r>
        <w:r w:rsidR="00DE72A2">
          <w:rPr>
            <w:rStyle w:val="Hyperlink"/>
            <w:b/>
            <w:bCs/>
            <w:noProof/>
          </w:rPr>
          <w:t>7</w:t>
        </w:r>
        <w:r w:rsidRPr="00D52BC2">
          <w:rPr>
            <w:rStyle w:val="Hyperlink"/>
            <w:noProof/>
          </w:rPr>
          <w:t xml:space="preserve"> </w:t>
        </w:r>
        <w:r w:rsidRPr="00D52BC2">
          <w:rPr>
            <w:rStyle w:val="Hyperlink"/>
            <w:noProof/>
            <w:lang w:eastAsia="ar-SA"/>
          </w:rPr>
          <w:t>Dynamic Load Profile for Case 1 at 1 MW PV with 17% Penetration and ESS</w:t>
        </w:r>
        <w:r>
          <w:rPr>
            <w:noProof/>
            <w:webHidden/>
          </w:rPr>
          <w:tab/>
        </w:r>
        <w:r>
          <w:rPr>
            <w:noProof/>
            <w:webHidden/>
          </w:rPr>
          <w:fldChar w:fldCharType="begin"/>
        </w:r>
        <w:r>
          <w:rPr>
            <w:noProof/>
            <w:webHidden/>
          </w:rPr>
          <w:instrText xml:space="preserve"> PAGEREF _Toc201839290 \h </w:instrText>
        </w:r>
        <w:r>
          <w:rPr>
            <w:noProof/>
            <w:webHidden/>
          </w:rPr>
        </w:r>
        <w:r>
          <w:rPr>
            <w:noProof/>
            <w:webHidden/>
          </w:rPr>
          <w:fldChar w:fldCharType="separate"/>
        </w:r>
        <w:r w:rsidR="008B0A0B">
          <w:rPr>
            <w:noProof/>
            <w:webHidden/>
          </w:rPr>
          <w:t>50</w:t>
        </w:r>
        <w:r>
          <w:rPr>
            <w:noProof/>
            <w:webHidden/>
          </w:rPr>
          <w:fldChar w:fldCharType="end"/>
        </w:r>
      </w:hyperlink>
    </w:p>
    <w:p w14:paraId="09B943CF" w14:textId="154F2A76"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91" w:history="1">
        <w:r w:rsidRPr="00D52BC2">
          <w:rPr>
            <w:rStyle w:val="Hyperlink"/>
            <w:b/>
            <w:bCs/>
            <w:noProof/>
          </w:rPr>
          <w:t xml:space="preserve">Figure </w:t>
        </w:r>
        <w:r w:rsidR="00DE72A2">
          <w:rPr>
            <w:rStyle w:val="Hyperlink"/>
            <w:b/>
            <w:bCs/>
            <w:noProof/>
          </w:rPr>
          <w:t>8</w:t>
        </w:r>
        <w:r w:rsidRPr="00D52BC2">
          <w:rPr>
            <w:rStyle w:val="Hyperlink"/>
            <w:b/>
            <w:bCs/>
            <w:noProof/>
          </w:rPr>
          <w:t xml:space="preserve"> </w:t>
        </w:r>
        <w:r w:rsidRPr="00D52BC2">
          <w:rPr>
            <w:rStyle w:val="Hyperlink"/>
            <w:noProof/>
          </w:rPr>
          <w:t xml:space="preserve"> Dynamic Load Profile for Case 2 – 3 MW PV with 50% Penetration and ESS</w:t>
        </w:r>
        <w:r>
          <w:rPr>
            <w:noProof/>
            <w:webHidden/>
          </w:rPr>
          <w:tab/>
        </w:r>
        <w:r>
          <w:rPr>
            <w:noProof/>
            <w:webHidden/>
          </w:rPr>
          <w:fldChar w:fldCharType="begin"/>
        </w:r>
        <w:r>
          <w:rPr>
            <w:noProof/>
            <w:webHidden/>
          </w:rPr>
          <w:instrText xml:space="preserve"> PAGEREF _Toc201839291 \h </w:instrText>
        </w:r>
        <w:r>
          <w:rPr>
            <w:noProof/>
            <w:webHidden/>
          </w:rPr>
        </w:r>
        <w:r>
          <w:rPr>
            <w:noProof/>
            <w:webHidden/>
          </w:rPr>
          <w:fldChar w:fldCharType="separate"/>
        </w:r>
        <w:r w:rsidR="008B0A0B">
          <w:rPr>
            <w:noProof/>
            <w:webHidden/>
          </w:rPr>
          <w:t>51</w:t>
        </w:r>
        <w:r>
          <w:rPr>
            <w:noProof/>
            <w:webHidden/>
          </w:rPr>
          <w:fldChar w:fldCharType="end"/>
        </w:r>
      </w:hyperlink>
    </w:p>
    <w:p w14:paraId="236B130C" w14:textId="7A77DA09"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92" w:history="1">
        <w:r w:rsidRPr="00D52BC2">
          <w:rPr>
            <w:rStyle w:val="Hyperlink"/>
            <w:b/>
            <w:bCs/>
            <w:noProof/>
          </w:rPr>
          <w:t xml:space="preserve">Figure </w:t>
        </w:r>
        <w:r w:rsidR="00DE72A2">
          <w:rPr>
            <w:rStyle w:val="Hyperlink"/>
            <w:b/>
            <w:bCs/>
            <w:noProof/>
          </w:rPr>
          <w:t>9</w:t>
        </w:r>
        <w:r w:rsidRPr="00D52BC2">
          <w:rPr>
            <w:rStyle w:val="Hyperlink"/>
            <w:noProof/>
          </w:rPr>
          <w:t xml:space="preserve">  Dynamic Load Profile for Case 3 – 6 MW PV with 100% Penetration and ESS</w:t>
        </w:r>
        <w:r>
          <w:rPr>
            <w:noProof/>
            <w:webHidden/>
          </w:rPr>
          <w:tab/>
        </w:r>
        <w:r>
          <w:rPr>
            <w:noProof/>
            <w:webHidden/>
          </w:rPr>
          <w:fldChar w:fldCharType="begin"/>
        </w:r>
        <w:r>
          <w:rPr>
            <w:noProof/>
            <w:webHidden/>
          </w:rPr>
          <w:instrText xml:space="preserve"> PAGEREF _Toc201839292 \h </w:instrText>
        </w:r>
        <w:r>
          <w:rPr>
            <w:noProof/>
            <w:webHidden/>
          </w:rPr>
        </w:r>
        <w:r>
          <w:rPr>
            <w:noProof/>
            <w:webHidden/>
          </w:rPr>
          <w:fldChar w:fldCharType="separate"/>
        </w:r>
        <w:r w:rsidR="008B0A0B">
          <w:rPr>
            <w:noProof/>
            <w:webHidden/>
          </w:rPr>
          <w:t>52</w:t>
        </w:r>
        <w:r>
          <w:rPr>
            <w:noProof/>
            <w:webHidden/>
          </w:rPr>
          <w:fldChar w:fldCharType="end"/>
        </w:r>
      </w:hyperlink>
    </w:p>
    <w:p w14:paraId="5DC68BB3" w14:textId="58868A80" w:rsidR="0077156A" w:rsidRDefault="0077156A">
      <w:pPr>
        <w:pStyle w:val="TableofFigures"/>
        <w:tabs>
          <w:tab w:val="right" w:leader="dot" w:pos="8496"/>
        </w:tabs>
        <w:rPr>
          <w:rFonts w:asciiTheme="minorHAnsi" w:eastAsiaTheme="minorEastAsia" w:hAnsiTheme="minorHAnsi" w:cstheme="minorBidi"/>
          <w:noProof/>
          <w:kern w:val="2"/>
          <w14:ligatures w14:val="standardContextual"/>
        </w:rPr>
      </w:pPr>
      <w:hyperlink w:anchor="_Toc201839293" w:history="1">
        <w:r w:rsidRPr="00D52BC2">
          <w:rPr>
            <w:rStyle w:val="Hyperlink"/>
            <w:b/>
            <w:bCs/>
            <w:noProof/>
          </w:rPr>
          <w:t xml:space="preserve">Figure </w:t>
        </w:r>
        <w:r w:rsidR="00DE72A2">
          <w:rPr>
            <w:rStyle w:val="Hyperlink"/>
            <w:b/>
            <w:bCs/>
            <w:noProof/>
          </w:rPr>
          <w:t>10</w:t>
        </w:r>
        <w:r w:rsidRPr="00D52BC2">
          <w:rPr>
            <w:rStyle w:val="Hyperlink"/>
            <w:noProof/>
          </w:rPr>
          <w:t xml:space="preserve"> Comparison of AC and DC Power Losses Across Different Cases</w:t>
        </w:r>
        <w:r>
          <w:rPr>
            <w:noProof/>
            <w:webHidden/>
          </w:rPr>
          <w:tab/>
        </w:r>
        <w:r>
          <w:rPr>
            <w:noProof/>
            <w:webHidden/>
          </w:rPr>
          <w:fldChar w:fldCharType="begin"/>
        </w:r>
        <w:r>
          <w:rPr>
            <w:noProof/>
            <w:webHidden/>
          </w:rPr>
          <w:instrText xml:space="preserve"> PAGEREF _Toc201839293 \h </w:instrText>
        </w:r>
        <w:r>
          <w:rPr>
            <w:noProof/>
            <w:webHidden/>
          </w:rPr>
        </w:r>
        <w:r>
          <w:rPr>
            <w:noProof/>
            <w:webHidden/>
          </w:rPr>
          <w:fldChar w:fldCharType="separate"/>
        </w:r>
        <w:r w:rsidR="008B0A0B">
          <w:rPr>
            <w:noProof/>
            <w:webHidden/>
          </w:rPr>
          <w:t>55</w:t>
        </w:r>
        <w:r>
          <w:rPr>
            <w:noProof/>
            <w:webHidden/>
          </w:rPr>
          <w:fldChar w:fldCharType="end"/>
        </w:r>
      </w:hyperlink>
    </w:p>
    <w:p w14:paraId="3BB330C7" w14:textId="24EA31CA" w:rsidR="00C953A4" w:rsidRPr="00FD07AA" w:rsidRDefault="00AF47BF" w:rsidP="00FD07AA">
      <w:pPr>
        <w:pStyle w:val="Title"/>
        <w:jc w:val="center"/>
        <w:rPr>
          <w:lang w:eastAsia="ar-SA" w:bidi="ar-JO"/>
        </w:rPr>
      </w:pPr>
      <w:r>
        <w:rPr>
          <w:rFonts w:ascii="Times New Roman" w:eastAsia="Times New Roman" w:hAnsi="Times New Roman" w:cs="Times New Roman"/>
          <w:spacing w:val="0"/>
          <w:kern w:val="0"/>
          <w:sz w:val="24"/>
          <w:szCs w:val="24"/>
          <w:lang w:eastAsia="ar-SA" w:bidi="ar-JO"/>
        </w:rPr>
        <w:fldChar w:fldCharType="end"/>
      </w:r>
      <w:r w:rsidR="00D305BD">
        <w:rPr>
          <w:b w:val="0"/>
          <w:bCs w:val="0"/>
          <w:lang w:eastAsia="ar-SA" w:bidi="ar-JO"/>
        </w:rPr>
        <w:fldChar w:fldCharType="begin"/>
      </w:r>
      <w:r w:rsidR="00D305BD">
        <w:rPr>
          <w:b w:val="0"/>
          <w:bCs w:val="0"/>
          <w:lang w:eastAsia="ar-SA" w:bidi="ar-JO"/>
        </w:rPr>
        <w:instrText xml:space="preserve"> TOC \h \z \c "Figure" </w:instrText>
      </w:r>
      <w:r w:rsidR="00D305BD">
        <w:rPr>
          <w:b w:val="0"/>
          <w:bCs w:val="0"/>
          <w:lang w:eastAsia="ar-SA" w:bidi="ar-JO"/>
        </w:rPr>
        <w:fldChar w:fldCharType="separate"/>
      </w:r>
      <w:r w:rsidR="00D305BD">
        <w:rPr>
          <w:b w:val="0"/>
          <w:bCs w:val="0"/>
          <w:lang w:eastAsia="ar-SA" w:bidi="ar-JO"/>
        </w:rPr>
        <w:fldChar w:fldCharType="end"/>
      </w:r>
      <w:r w:rsidR="00C953A4" w:rsidRPr="00FD07AA">
        <w:rPr>
          <w:lang w:eastAsia="ar-SA" w:bidi="ar-JO"/>
        </w:rPr>
        <w:br w:type="page"/>
      </w:r>
      <w:bookmarkStart w:id="2" w:name="_Hlk188960683"/>
      <w:r w:rsidR="00D556CC" w:rsidRPr="00FD07AA">
        <w:rPr>
          <w:lang w:eastAsia="ar-SA" w:bidi="ar-JO"/>
        </w:rPr>
        <w:lastRenderedPageBreak/>
        <w:t>List</w:t>
      </w:r>
      <w:r w:rsidR="00C953A4" w:rsidRPr="00FD07AA">
        <w:rPr>
          <w:lang w:eastAsia="ar-SA" w:bidi="ar-JO"/>
        </w:rPr>
        <w:t xml:space="preserve"> of Tables</w:t>
      </w:r>
    </w:p>
    <w:p w14:paraId="6BCD8721" w14:textId="02A298F8" w:rsidR="00704B8C" w:rsidRPr="00704B8C" w:rsidRDefault="002F460E" w:rsidP="00704B8C">
      <w:pPr>
        <w:pStyle w:val="TableofFigures"/>
        <w:tabs>
          <w:tab w:val="right" w:leader="dot" w:pos="8496"/>
        </w:tabs>
      </w:pPr>
      <w:r>
        <w:rPr>
          <w:lang w:eastAsia="ar-SA" w:bidi="ar-JO"/>
        </w:rPr>
        <w:fldChar w:fldCharType="begin"/>
      </w:r>
      <w:r>
        <w:rPr>
          <w:lang w:eastAsia="ar-SA" w:bidi="ar-JO"/>
        </w:rPr>
        <w:instrText xml:space="preserve"> TOC \h \z \c "Table" </w:instrText>
      </w:r>
      <w:r>
        <w:rPr>
          <w:lang w:eastAsia="ar-SA" w:bidi="ar-JO"/>
        </w:rPr>
        <w:fldChar w:fldCharType="separate"/>
      </w:r>
      <w:hyperlink w:anchor="_Toc188962802" w:history="1">
        <w:r w:rsidR="00EB1FAD" w:rsidRPr="00FD33B1">
          <w:rPr>
            <w:rStyle w:val="Hyperlink"/>
            <w:b/>
            <w:bCs/>
            <w:noProof/>
          </w:rPr>
          <w:t>Table 1</w:t>
        </w:r>
        <w:r w:rsidR="00EB1FAD" w:rsidRPr="00FD33B1">
          <w:rPr>
            <w:rStyle w:val="Hyperlink"/>
            <w:noProof/>
          </w:rPr>
          <w:t xml:space="preserve"> </w:t>
        </w:r>
        <w:r w:rsidR="00276EF6" w:rsidRPr="00276EF6">
          <w:rPr>
            <w:rStyle w:val="Hyperlink"/>
            <w:noProof/>
          </w:rPr>
          <w:t>Load flow results for Case 0</w:t>
        </w:r>
        <w:r w:rsidR="00EB1FAD">
          <w:rPr>
            <w:noProof/>
            <w:webHidden/>
          </w:rPr>
          <w:tab/>
        </w:r>
      </w:hyperlink>
      <w:r w:rsidR="00704B8C">
        <w:t>34</w:t>
      </w:r>
    </w:p>
    <w:p w14:paraId="29C7DAA6" w14:textId="07BF1D68" w:rsidR="00EB1FAD" w:rsidRDefault="00EB1FAD">
      <w:pPr>
        <w:pStyle w:val="TableofFigures"/>
        <w:tabs>
          <w:tab w:val="right" w:leader="dot" w:pos="8496"/>
        </w:tabs>
        <w:rPr>
          <w:rFonts w:asciiTheme="minorHAnsi" w:eastAsiaTheme="minorEastAsia" w:hAnsiTheme="minorHAnsi" w:cstheme="minorBidi"/>
          <w:noProof/>
          <w:kern w:val="2"/>
          <w14:ligatures w14:val="standardContextual"/>
        </w:rPr>
      </w:pPr>
      <w:hyperlink w:anchor="_Toc188962803" w:history="1">
        <w:r w:rsidRPr="00FD33B1">
          <w:rPr>
            <w:rStyle w:val="Hyperlink"/>
            <w:b/>
            <w:bCs/>
            <w:noProof/>
          </w:rPr>
          <w:t>Table 2</w:t>
        </w:r>
        <w:r w:rsidRPr="00FD33B1">
          <w:rPr>
            <w:rStyle w:val="Hyperlink"/>
            <w:noProof/>
          </w:rPr>
          <w:t xml:space="preserve"> </w:t>
        </w:r>
        <w:r w:rsidR="00276EF6" w:rsidRPr="00276EF6">
          <w:rPr>
            <w:rStyle w:val="Hyperlink"/>
            <w:noProof/>
          </w:rPr>
          <w:t>Load flow results for Case 1</w:t>
        </w:r>
        <w:r>
          <w:rPr>
            <w:noProof/>
            <w:webHidden/>
          </w:rPr>
          <w:tab/>
        </w:r>
        <w:r w:rsidR="00E85334">
          <w:rPr>
            <w:noProof/>
            <w:webHidden/>
          </w:rPr>
          <w:t>35</w:t>
        </w:r>
      </w:hyperlink>
    </w:p>
    <w:p w14:paraId="731BEBD7" w14:textId="3590D271" w:rsidR="00EB1FAD" w:rsidRDefault="00EB1FAD">
      <w:pPr>
        <w:pStyle w:val="TableofFigures"/>
        <w:tabs>
          <w:tab w:val="right" w:leader="dot" w:pos="8496"/>
        </w:tabs>
      </w:pPr>
      <w:hyperlink w:anchor="_Toc188962804" w:history="1">
        <w:r w:rsidRPr="00FD33B1">
          <w:rPr>
            <w:rStyle w:val="Hyperlink"/>
            <w:b/>
            <w:bCs/>
            <w:noProof/>
          </w:rPr>
          <w:t>Table 3</w:t>
        </w:r>
        <w:r w:rsidRPr="00FD33B1">
          <w:rPr>
            <w:rStyle w:val="Hyperlink"/>
            <w:noProof/>
          </w:rPr>
          <w:t xml:space="preserve"> </w:t>
        </w:r>
        <w:r w:rsidR="005E7E44" w:rsidRPr="005E7E44">
          <w:rPr>
            <w:rStyle w:val="Hyperlink"/>
            <w:noProof/>
          </w:rPr>
          <w:t>Load flow results for Case 2</w:t>
        </w:r>
        <w:r>
          <w:rPr>
            <w:noProof/>
            <w:webHidden/>
          </w:rPr>
          <w:tab/>
        </w:r>
        <w:r w:rsidR="00E85334">
          <w:rPr>
            <w:noProof/>
            <w:webHidden/>
          </w:rPr>
          <w:t>36</w:t>
        </w:r>
      </w:hyperlink>
    </w:p>
    <w:p w14:paraId="113399A2" w14:textId="30245EAE" w:rsidR="00EB1FAD" w:rsidRDefault="00EB1FAD">
      <w:pPr>
        <w:pStyle w:val="TableofFigures"/>
        <w:tabs>
          <w:tab w:val="right" w:leader="dot" w:pos="8496"/>
        </w:tabs>
        <w:rPr>
          <w:rFonts w:asciiTheme="minorHAnsi" w:eastAsiaTheme="minorEastAsia" w:hAnsiTheme="minorHAnsi" w:cstheme="minorBidi"/>
          <w:noProof/>
          <w:kern w:val="2"/>
          <w14:ligatures w14:val="standardContextual"/>
        </w:rPr>
      </w:pPr>
      <w:hyperlink w:anchor="_Toc188962805" w:history="1">
        <w:r w:rsidRPr="00FD33B1">
          <w:rPr>
            <w:rStyle w:val="Hyperlink"/>
            <w:b/>
            <w:bCs/>
            <w:noProof/>
          </w:rPr>
          <w:t xml:space="preserve">Table </w:t>
        </w:r>
        <w:r w:rsidR="00A75523">
          <w:rPr>
            <w:rStyle w:val="Hyperlink"/>
            <w:b/>
            <w:bCs/>
            <w:noProof/>
          </w:rPr>
          <w:t>4</w:t>
        </w:r>
        <w:r w:rsidRPr="00FD33B1">
          <w:rPr>
            <w:rStyle w:val="Hyperlink"/>
            <w:noProof/>
          </w:rPr>
          <w:t xml:space="preserve"> </w:t>
        </w:r>
        <w:r w:rsidR="005E7E44" w:rsidRPr="005E7E44">
          <w:rPr>
            <w:rStyle w:val="Hyperlink"/>
            <w:noProof/>
          </w:rPr>
          <w:t xml:space="preserve">Load flow results for Case </w:t>
        </w:r>
        <w:r w:rsidR="005E7E44">
          <w:rPr>
            <w:rStyle w:val="Hyperlink"/>
            <w:noProof/>
          </w:rPr>
          <w:t>3</w:t>
        </w:r>
        <w:r>
          <w:rPr>
            <w:noProof/>
            <w:webHidden/>
          </w:rPr>
          <w:tab/>
        </w:r>
        <w:r w:rsidR="00E85334">
          <w:rPr>
            <w:noProof/>
            <w:webHidden/>
          </w:rPr>
          <w:t>37</w:t>
        </w:r>
      </w:hyperlink>
    </w:p>
    <w:p w14:paraId="03999F84" w14:textId="7C54DA27" w:rsidR="00EB1FAD" w:rsidRDefault="00EB1FAD">
      <w:pPr>
        <w:pStyle w:val="TableofFigures"/>
        <w:tabs>
          <w:tab w:val="right" w:leader="dot" w:pos="8496"/>
        </w:tabs>
        <w:rPr>
          <w:rFonts w:asciiTheme="minorHAnsi" w:eastAsiaTheme="minorEastAsia" w:hAnsiTheme="minorHAnsi" w:cstheme="minorBidi"/>
          <w:noProof/>
          <w:kern w:val="2"/>
          <w14:ligatures w14:val="standardContextual"/>
        </w:rPr>
      </w:pPr>
      <w:hyperlink w:anchor="_Toc188962806" w:history="1">
        <w:r w:rsidRPr="00FD33B1">
          <w:rPr>
            <w:rStyle w:val="Hyperlink"/>
            <w:b/>
            <w:bCs/>
            <w:noProof/>
          </w:rPr>
          <w:t xml:space="preserve">Table </w:t>
        </w:r>
        <w:r w:rsidR="00A75523">
          <w:rPr>
            <w:rStyle w:val="Hyperlink"/>
            <w:b/>
            <w:bCs/>
            <w:noProof/>
          </w:rPr>
          <w:t>5</w:t>
        </w:r>
        <w:r w:rsidRPr="00FD33B1">
          <w:rPr>
            <w:rStyle w:val="Hyperlink"/>
            <w:noProof/>
          </w:rPr>
          <w:t xml:space="preserve"> </w:t>
        </w:r>
        <w:r w:rsidR="005E7E44" w:rsidRPr="005E7E44">
          <w:rPr>
            <w:rStyle w:val="Hyperlink"/>
            <w:noProof/>
          </w:rPr>
          <w:t>Power Flow Evaluation at Bus 1 Under Different Operational Scenarios</w:t>
        </w:r>
        <w:r>
          <w:rPr>
            <w:noProof/>
            <w:webHidden/>
          </w:rPr>
          <w:tab/>
        </w:r>
        <w:r w:rsidR="00E85334">
          <w:rPr>
            <w:noProof/>
            <w:webHidden/>
          </w:rPr>
          <w:t>38</w:t>
        </w:r>
      </w:hyperlink>
    </w:p>
    <w:p w14:paraId="37893F41" w14:textId="741711EB" w:rsidR="00EB1FAD" w:rsidRDefault="00EB1FAD">
      <w:pPr>
        <w:pStyle w:val="TableofFigures"/>
        <w:tabs>
          <w:tab w:val="right" w:leader="dot" w:pos="8496"/>
        </w:tabs>
      </w:pPr>
      <w:hyperlink w:anchor="_Toc188962807" w:history="1">
        <w:r w:rsidRPr="00FD33B1">
          <w:rPr>
            <w:rStyle w:val="Hyperlink"/>
            <w:b/>
            <w:bCs/>
            <w:noProof/>
          </w:rPr>
          <w:t xml:space="preserve">Table </w:t>
        </w:r>
        <w:r w:rsidR="00A75523">
          <w:rPr>
            <w:rStyle w:val="Hyperlink"/>
            <w:b/>
            <w:bCs/>
            <w:noProof/>
          </w:rPr>
          <w:t>6</w:t>
        </w:r>
        <w:r w:rsidRPr="00FD33B1">
          <w:rPr>
            <w:rStyle w:val="Hyperlink"/>
            <w:noProof/>
          </w:rPr>
          <w:t xml:space="preserve"> </w:t>
        </w:r>
        <w:r w:rsidR="005E7E44" w:rsidRPr="005E7E44">
          <w:rPr>
            <w:rStyle w:val="Hyperlink"/>
            <w:noProof/>
          </w:rPr>
          <w:t xml:space="preserve">Harmonic Distortion Metrics </w:t>
        </w:r>
        <w:r w:rsidR="00313345">
          <w:rPr>
            <w:rStyle w:val="Hyperlink"/>
            <w:noProof/>
          </w:rPr>
          <w:t>for all case</w:t>
        </w:r>
        <w:r>
          <w:rPr>
            <w:noProof/>
            <w:webHidden/>
          </w:rPr>
          <w:tab/>
        </w:r>
        <w:r w:rsidR="00E85334">
          <w:rPr>
            <w:noProof/>
            <w:webHidden/>
          </w:rPr>
          <w:t>42</w:t>
        </w:r>
      </w:hyperlink>
    </w:p>
    <w:p w14:paraId="7036167B" w14:textId="081FA568" w:rsidR="005E7E44" w:rsidRDefault="005E7E44" w:rsidP="005E7E44">
      <w:pPr>
        <w:pStyle w:val="TableofFigures"/>
        <w:tabs>
          <w:tab w:val="right" w:leader="dot" w:pos="8496"/>
        </w:tabs>
        <w:rPr>
          <w:rFonts w:asciiTheme="minorHAnsi" w:eastAsiaTheme="minorEastAsia" w:hAnsiTheme="minorHAnsi" w:cstheme="minorBidi"/>
          <w:noProof/>
          <w:kern w:val="2"/>
          <w14:ligatures w14:val="standardContextual"/>
        </w:rPr>
      </w:pPr>
      <w:hyperlink w:anchor="_Toc188962807" w:history="1">
        <w:r w:rsidRPr="00FD33B1">
          <w:rPr>
            <w:rStyle w:val="Hyperlink"/>
            <w:b/>
            <w:bCs/>
            <w:noProof/>
          </w:rPr>
          <w:t xml:space="preserve">Table </w:t>
        </w:r>
        <w:r w:rsidR="00313345">
          <w:rPr>
            <w:rStyle w:val="Hyperlink"/>
            <w:b/>
            <w:bCs/>
            <w:noProof/>
          </w:rPr>
          <w:t>7</w:t>
        </w:r>
        <w:r w:rsidRPr="00FD33B1">
          <w:rPr>
            <w:rStyle w:val="Hyperlink"/>
            <w:noProof/>
          </w:rPr>
          <w:t xml:space="preserve"> </w:t>
        </w:r>
        <w:r w:rsidRPr="005E7E44">
          <w:rPr>
            <w:rStyle w:val="Hyperlink"/>
            <w:noProof/>
          </w:rPr>
          <w:t>Short-Circuit simulation results for</w:t>
        </w:r>
        <w:r w:rsidR="00313345">
          <w:rPr>
            <w:rStyle w:val="Hyperlink"/>
            <w:noProof/>
          </w:rPr>
          <w:t xml:space="preserve"> all cases </w:t>
        </w:r>
        <w:r>
          <w:rPr>
            <w:noProof/>
            <w:webHidden/>
          </w:rPr>
          <w:tab/>
        </w:r>
        <w:r w:rsidR="00E85334">
          <w:rPr>
            <w:noProof/>
            <w:webHidden/>
          </w:rPr>
          <w:t>45</w:t>
        </w:r>
      </w:hyperlink>
    </w:p>
    <w:p w14:paraId="435EE254" w14:textId="7718F6B2" w:rsidR="00104BFA" w:rsidRDefault="00104BFA" w:rsidP="00104BFA">
      <w:pPr>
        <w:pStyle w:val="TableofFigures"/>
        <w:tabs>
          <w:tab w:val="right" w:leader="dot" w:pos="8496"/>
        </w:tabs>
        <w:rPr>
          <w:rFonts w:asciiTheme="minorHAnsi" w:eastAsiaTheme="minorEastAsia" w:hAnsiTheme="minorHAnsi" w:cstheme="minorBidi"/>
          <w:noProof/>
          <w:kern w:val="2"/>
          <w:rtl/>
          <w:lang w:bidi="ar-EG"/>
          <w14:ligatures w14:val="standardContextual"/>
        </w:rPr>
      </w:pPr>
      <w:hyperlink w:anchor="_Toc188962807" w:history="1">
        <w:r w:rsidRPr="00FD33B1">
          <w:rPr>
            <w:rStyle w:val="Hyperlink"/>
            <w:b/>
            <w:bCs/>
            <w:noProof/>
          </w:rPr>
          <w:t xml:space="preserve">Table </w:t>
        </w:r>
        <w:r w:rsidR="00313345">
          <w:rPr>
            <w:rStyle w:val="Hyperlink"/>
            <w:b/>
            <w:bCs/>
            <w:noProof/>
          </w:rPr>
          <w:t>8</w:t>
        </w:r>
        <w:r w:rsidRPr="00FD33B1">
          <w:rPr>
            <w:rStyle w:val="Hyperlink"/>
            <w:noProof/>
          </w:rPr>
          <w:t xml:space="preserve"> </w:t>
        </w:r>
        <w:r w:rsidRPr="00104BFA">
          <w:rPr>
            <w:rStyle w:val="Hyperlink"/>
            <w:noProof/>
          </w:rPr>
          <w:t>Battery Sizing Assumptions</w:t>
        </w:r>
        <w:r>
          <w:rPr>
            <w:noProof/>
            <w:webHidden/>
          </w:rPr>
          <w:tab/>
        </w:r>
        <w:r w:rsidR="00E85334">
          <w:rPr>
            <w:noProof/>
            <w:webHidden/>
          </w:rPr>
          <w:t>46</w:t>
        </w:r>
      </w:hyperlink>
    </w:p>
    <w:p w14:paraId="2A1D85DC" w14:textId="38377C37" w:rsidR="00104BFA" w:rsidRDefault="00104BFA" w:rsidP="00104BFA">
      <w:pPr>
        <w:pStyle w:val="TableofFigures"/>
        <w:tabs>
          <w:tab w:val="right" w:leader="dot" w:pos="8496"/>
        </w:tabs>
        <w:rPr>
          <w:rFonts w:asciiTheme="minorHAnsi" w:eastAsiaTheme="minorEastAsia" w:hAnsiTheme="minorHAnsi" w:cstheme="minorBidi"/>
          <w:noProof/>
          <w:kern w:val="2"/>
          <w:rtl/>
          <w:lang w:bidi="ar-EG"/>
          <w14:ligatures w14:val="standardContextual"/>
        </w:rPr>
      </w:pPr>
      <w:hyperlink w:anchor="_Toc188962807" w:history="1">
        <w:r w:rsidRPr="00FD33B1">
          <w:rPr>
            <w:rStyle w:val="Hyperlink"/>
            <w:b/>
            <w:bCs/>
            <w:noProof/>
          </w:rPr>
          <w:t xml:space="preserve">Table </w:t>
        </w:r>
        <w:r w:rsidR="00313345">
          <w:rPr>
            <w:rStyle w:val="Hyperlink"/>
            <w:b/>
            <w:bCs/>
            <w:noProof/>
          </w:rPr>
          <w:t>9</w:t>
        </w:r>
        <w:r w:rsidRPr="00104BFA">
          <w:t xml:space="preserve"> </w:t>
        </w:r>
        <w:r w:rsidRPr="00104BFA">
          <w:rPr>
            <w:rStyle w:val="Hyperlink"/>
            <w:noProof/>
          </w:rPr>
          <w:t>Capital Cost Inputs for SAM Model</w:t>
        </w:r>
        <w:r>
          <w:rPr>
            <w:noProof/>
            <w:webHidden/>
          </w:rPr>
          <w:tab/>
        </w:r>
        <w:r w:rsidR="00E85334">
          <w:rPr>
            <w:noProof/>
            <w:webHidden/>
          </w:rPr>
          <w:t>56</w:t>
        </w:r>
      </w:hyperlink>
    </w:p>
    <w:p w14:paraId="49A51E7D" w14:textId="12368CE2" w:rsidR="00104BFA" w:rsidRDefault="00104BFA" w:rsidP="00104BFA">
      <w:pPr>
        <w:pStyle w:val="TableofFigures"/>
        <w:tabs>
          <w:tab w:val="right" w:leader="dot" w:pos="8496"/>
        </w:tabs>
        <w:rPr>
          <w:rFonts w:asciiTheme="minorHAnsi" w:eastAsiaTheme="minorEastAsia" w:hAnsiTheme="minorHAnsi" w:cstheme="minorBidi"/>
          <w:noProof/>
          <w:kern w:val="2"/>
          <w:rtl/>
          <w:lang w:bidi="ar-EG"/>
          <w14:ligatures w14:val="standardContextual"/>
        </w:rPr>
      </w:pPr>
      <w:hyperlink w:anchor="_Toc188962807" w:history="1">
        <w:r w:rsidRPr="00FD33B1">
          <w:rPr>
            <w:rStyle w:val="Hyperlink"/>
            <w:b/>
            <w:bCs/>
            <w:noProof/>
          </w:rPr>
          <w:t xml:space="preserve">Table </w:t>
        </w:r>
        <w:r w:rsidR="00313345">
          <w:rPr>
            <w:rStyle w:val="Hyperlink"/>
            <w:b/>
            <w:bCs/>
            <w:noProof/>
          </w:rPr>
          <w:t>10</w:t>
        </w:r>
        <w:r w:rsidRPr="00FD33B1">
          <w:rPr>
            <w:rStyle w:val="Hyperlink"/>
            <w:noProof/>
          </w:rPr>
          <w:t xml:space="preserve"> </w:t>
        </w:r>
        <w:r w:rsidRPr="00104BFA">
          <w:rPr>
            <w:rStyle w:val="Hyperlink"/>
            <w:noProof/>
          </w:rPr>
          <w:t>Comparison of Grid Performance Metrics Across Different Cases</w:t>
        </w:r>
        <w:r>
          <w:rPr>
            <w:noProof/>
            <w:webHidden/>
          </w:rPr>
          <w:tab/>
        </w:r>
        <w:r w:rsidR="00E85334">
          <w:rPr>
            <w:noProof/>
            <w:webHidden/>
          </w:rPr>
          <w:t>59</w:t>
        </w:r>
      </w:hyperlink>
    </w:p>
    <w:p w14:paraId="0AC5F025" w14:textId="77777777" w:rsidR="005E7E44" w:rsidRPr="005E7E44" w:rsidRDefault="005E7E44" w:rsidP="005E7E44">
      <w:pPr>
        <w:rPr>
          <w:rFonts w:eastAsiaTheme="minorEastAsia"/>
        </w:rPr>
      </w:pPr>
    </w:p>
    <w:p w14:paraId="295ABF7F" w14:textId="274C7236" w:rsidR="00FD07AA" w:rsidRDefault="002F460E" w:rsidP="00FD07AA">
      <w:pPr>
        <w:spacing w:after="160" w:line="259" w:lineRule="auto"/>
        <w:rPr>
          <w:rtl/>
          <w:lang w:eastAsia="ar-SA" w:bidi="ar-EG"/>
        </w:rPr>
      </w:pPr>
      <w:r>
        <w:rPr>
          <w:lang w:eastAsia="ar-SA" w:bidi="ar-JO"/>
        </w:rPr>
        <w:fldChar w:fldCharType="end"/>
      </w:r>
      <w:bookmarkEnd w:id="2"/>
    </w:p>
    <w:p w14:paraId="505A0A7D" w14:textId="77777777" w:rsidR="00FD07AA" w:rsidRDefault="00FD07AA">
      <w:pPr>
        <w:spacing w:after="160" w:line="259" w:lineRule="auto"/>
        <w:rPr>
          <w:lang w:eastAsia="ar-SA" w:bidi="ar-JO"/>
        </w:rPr>
      </w:pPr>
      <w:r>
        <w:rPr>
          <w:lang w:eastAsia="ar-SA" w:bidi="ar-JO"/>
        </w:rPr>
        <w:br w:type="page"/>
      </w:r>
    </w:p>
    <w:p w14:paraId="5F8F7E42" w14:textId="2BE9A21D" w:rsidR="004215C0" w:rsidRDefault="004215C0" w:rsidP="00FD07AA">
      <w:pPr>
        <w:spacing w:after="160" w:line="259" w:lineRule="auto"/>
        <w:rPr>
          <w:lang w:eastAsia="ar-SA" w:bidi="ar-JO"/>
        </w:rPr>
      </w:pPr>
    </w:p>
    <w:p w14:paraId="2BBC5956" w14:textId="726C66CF" w:rsidR="00FD07AA" w:rsidRPr="00FD07AA" w:rsidRDefault="00FD07AA" w:rsidP="00FD07AA">
      <w:pPr>
        <w:pStyle w:val="Title"/>
        <w:jc w:val="center"/>
        <w:rPr>
          <w:lang w:eastAsia="ar-SA" w:bidi="ar-JO"/>
        </w:rPr>
      </w:pPr>
      <w:bookmarkStart w:id="3" w:name="_Hlk188961403"/>
      <w:r w:rsidRPr="00FD07AA">
        <w:rPr>
          <w:lang w:eastAsia="ar-SA" w:bidi="ar-JO"/>
        </w:rPr>
        <w:t xml:space="preserve">List of </w:t>
      </w:r>
      <w:r>
        <w:rPr>
          <w:lang w:eastAsia="ar-SA" w:bidi="ar-JO"/>
        </w:rPr>
        <w:t>Appendices</w:t>
      </w:r>
    </w:p>
    <w:p w14:paraId="6CDEF1C7" w14:textId="32CFB053" w:rsidR="00FD07AA" w:rsidRDefault="00FD07AA" w:rsidP="00E94CF6">
      <w:pPr>
        <w:pStyle w:val="TableofFigures"/>
        <w:tabs>
          <w:tab w:val="right" w:leader="dot" w:pos="8496"/>
        </w:tabs>
        <w:rPr>
          <w:rFonts w:asciiTheme="minorHAnsi" w:eastAsiaTheme="minorEastAsia" w:hAnsiTheme="minorHAnsi" w:cstheme="minorBidi"/>
          <w:noProof/>
          <w:kern w:val="2"/>
          <w14:ligatures w14:val="standardContextual"/>
        </w:rPr>
      </w:pPr>
      <w:r>
        <w:rPr>
          <w:lang w:eastAsia="ar-SA" w:bidi="ar-JO"/>
        </w:rPr>
        <w:fldChar w:fldCharType="begin"/>
      </w:r>
      <w:r>
        <w:rPr>
          <w:lang w:eastAsia="ar-SA" w:bidi="ar-JO"/>
        </w:rPr>
        <w:instrText xml:space="preserve"> TOC \h \z \c "Table" </w:instrText>
      </w:r>
      <w:r>
        <w:rPr>
          <w:lang w:eastAsia="ar-SA" w:bidi="ar-JO"/>
        </w:rPr>
        <w:fldChar w:fldCharType="separate"/>
      </w:r>
    </w:p>
    <w:p w14:paraId="4AEEBB98" w14:textId="7E782B53"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Appendix A</w:t>
      </w:r>
      <w:r w:rsidRPr="00E94CF6">
        <w:rPr>
          <w:rStyle w:val="Hyperlink"/>
          <w:noProof/>
          <w:color w:val="auto"/>
          <w:u w:val="none"/>
        </w:rPr>
        <w:t xml:space="preserve"> Case 0: SLD and LF Report </w:t>
      </w:r>
      <w:r w:rsidRPr="00E94CF6">
        <w:rPr>
          <w:rStyle w:val="Hyperlink"/>
          <w:noProof/>
          <w:color w:val="auto"/>
          <w:u w:val="none"/>
        </w:rPr>
        <w:tab/>
        <w:t>70</w:t>
      </w:r>
    </w:p>
    <w:p w14:paraId="439F9095" w14:textId="63230D08"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Appendix B</w:t>
      </w:r>
      <w:r w:rsidRPr="00E94CF6">
        <w:rPr>
          <w:rStyle w:val="Hyperlink"/>
          <w:noProof/>
          <w:color w:val="auto"/>
          <w:u w:val="none"/>
        </w:rPr>
        <w:t xml:space="preserve"> Case 1: SLD and LF Report in Charging Mode</w:t>
      </w:r>
      <w:r w:rsidRPr="00E94CF6">
        <w:rPr>
          <w:rStyle w:val="Hyperlink"/>
          <w:noProof/>
          <w:color w:val="auto"/>
          <w:u w:val="none"/>
        </w:rPr>
        <w:tab/>
        <w:t>91</w:t>
      </w:r>
    </w:p>
    <w:p w14:paraId="5B7A8037" w14:textId="52B7CBBD"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Appendix C</w:t>
      </w:r>
      <w:r w:rsidRPr="00E94CF6">
        <w:rPr>
          <w:rStyle w:val="Hyperlink"/>
          <w:noProof/>
          <w:color w:val="auto"/>
          <w:u w:val="none"/>
        </w:rPr>
        <w:t xml:space="preserve"> Case 2: SLD and LF Report in Discharging Mode</w:t>
      </w:r>
      <w:r w:rsidRPr="00E94CF6">
        <w:rPr>
          <w:rStyle w:val="Hyperlink"/>
          <w:noProof/>
          <w:color w:val="auto"/>
          <w:u w:val="none"/>
        </w:rPr>
        <w:tab/>
        <w:t>139</w:t>
      </w:r>
    </w:p>
    <w:p w14:paraId="0595A0E4" w14:textId="700FF7B6"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Appendix D</w:t>
      </w:r>
      <w:r w:rsidRPr="00E94CF6">
        <w:rPr>
          <w:rStyle w:val="Hyperlink"/>
          <w:noProof/>
          <w:color w:val="auto"/>
          <w:u w:val="none"/>
        </w:rPr>
        <w:t xml:space="preserve"> Case 2: SLD and LF Report in Charging Mode</w:t>
      </w:r>
      <w:r w:rsidRPr="00E94CF6">
        <w:rPr>
          <w:rStyle w:val="Hyperlink"/>
          <w:noProof/>
          <w:color w:val="auto"/>
          <w:u w:val="none"/>
        </w:rPr>
        <w:tab/>
        <w:t>188</w:t>
      </w:r>
    </w:p>
    <w:p w14:paraId="5849F550" w14:textId="2F9EEA18"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 xml:space="preserve">Appendix E </w:t>
      </w:r>
      <w:r w:rsidRPr="00E94CF6">
        <w:rPr>
          <w:rStyle w:val="Hyperlink"/>
          <w:noProof/>
          <w:color w:val="auto"/>
          <w:u w:val="none"/>
        </w:rPr>
        <w:t>Case 3: SLD and LF Report in Charging Mode</w:t>
      </w:r>
      <w:r w:rsidRPr="00E94CF6">
        <w:rPr>
          <w:rStyle w:val="Hyperlink"/>
          <w:noProof/>
          <w:color w:val="auto"/>
          <w:u w:val="none"/>
        </w:rPr>
        <w:tab/>
        <w:t>235</w:t>
      </w:r>
    </w:p>
    <w:p w14:paraId="2854D787" w14:textId="77777777"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 xml:space="preserve">Appendix F </w:t>
      </w:r>
      <w:r w:rsidRPr="00E94CF6">
        <w:rPr>
          <w:rStyle w:val="Hyperlink"/>
          <w:noProof/>
          <w:color w:val="auto"/>
          <w:u w:val="none"/>
        </w:rPr>
        <w:t>Case 3: SLD and LF Report in Discharging Mode</w:t>
      </w:r>
      <w:r w:rsidRPr="00E94CF6">
        <w:rPr>
          <w:rStyle w:val="Hyperlink"/>
          <w:noProof/>
          <w:color w:val="auto"/>
          <w:u w:val="none"/>
        </w:rPr>
        <w:tab/>
        <w:t>282</w:t>
      </w:r>
    </w:p>
    <w:p w14:paraId="59DD2B3C" w14:textId="77777777"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 xml:space="preserve">Appendix G </w:t>
      </w:r>
      <w:r w:rsidRPr="00E94CF6">
        <w:rPr>
          <w:rStyle w:val="Hyperlink"/>
          <w:noProof/>
          <w:color w:val="auto"/>
          <w:u w:val="none"/>
        </w:rPr>
        <w:t>Case 3: SLD and LF Report in Discharging Mode</w:t>
      </w:r>
      <w:r w:rsidRPr="00E94CF6">
        <w:rPr>
          <w:rStyle w:val="Hyperlink"/>
          <w:noProof/>
          <w:color w:val="auto"/>
          <w:u w:val="none"/>
        </w:rPr>
        <w:tab/>
        <w:t>330</w:t>
      </w:r>
    </w:p>
    <w:p w14:paraId="14D08ACB" w14:textId="7E8760A0" w:rsidR="00E94CF6" w:rsidRPr="00E94CF6" w:rsidRDefault="00E94CF6" w:rsidP="00E94CF6">
      <w:pPr>
        <w:pStyle w:val="TableofFigures"/>
        <w:tabs>
          <w:tab w:val="right" w:leader="dot" w:pos="8496"/>
        </w:tabs>
        <w:jc w:val="center"/>
        <w:rPr>
          <w:rStyle w:val="Hyperlink"/>
          <w:noProof/>
          <w:color w:val="auto"/>
          <w:u w:val="none"/>
        </w:rPr>
      </w:pPr>
      <w:r w:rsidRPr="00E94CF6">
        <w:rPr>
          <w:rStyle w:val="Hyperlink"/>
          <w:b/>
          <w:bCs/>
          <w:noProof/>
          <w:color w:val="auto"/>
          <w:u w:val="none"/>
        </w:rPr>
        <w:t xml:space="preserve">Appendix H </w:t>
      </w:r>
      <w:r w:rsidRPr="00E94CF6">
        <w:rPr>
          <w:rStyle w:val="Hyperlink"/>
          <w:noProof/>
          <w:color w:val="auto"/>
          <w:u w:val="none"/>
        </w:rPr>
        <w:t>SAM Reports</w:t>
      </w:r>
      <w:r w:rsidRPr="00E94CF6">
        <w:rPr>
          <w:rStyle w:val="Hyperlink"/>
          <w:noProof/>
          <w:color w:val="auto"/>
          <w:u w:val="none"/>
        </w:rPr>
        <w:tab/>
        <w:t>378</w:t>
      </w:r>
    </w:p>
    <w:p w14:paraId="1F695A1A" w14:textId="77777777" w:rsidR="00E94CF6" w:rsidRPr="00E94CF6" w:rsidRDefault="00E94CF6" w:rsidP="00E94CF6">
      <w:pPr>
        <w:pStyle w:val="TableofFigures"/>
        <w:tabs>
          <w:tab w:val="right" w:leader="dot" w:pos="8496"/>
        </w:tabs>
        <w:rPr>
          <w:rStyle w:val="Hyperlink"/>
          <w:noProof/>
        </w:rPr>
      </w:pPr>
    </w:p>
    <w:p w14:paraId="27B24E72" w14:textId="77777777" w:rsidR="00E94CF6" w:rsidRPr="00E94CF6" w:rsidRDefault="00E94CF6" w:rsidP="00E94CF6">
      <w:pPr>
        <w:pStyle w:val="TableofFigures"/>
        <w:tabs>
          <w:tab w:val="right" w:leader="dot" w:pos="8496"/>
        </w:tabs>
        <w:rPr>
          <w:rStyle w:val="Hyperlink"/>
          <w:noProof/>
        </w:rPr>
      </w:pPr>
    </w:p>
    <w:p w14:paraId="3FEE5EF9" w14:textId="0C617134" w:rsidR="00FD07AA" w:rsidRDefault="00FD07AA" w:rsidP="00FD07AA">
      <w:pPr>
        <w:pStyle w:val="TableofFigures"/>
        <w:tabs>
          <w:tab w:val="right" w:leader="dot" w:pos="8496"/>
        </w:tabs>
        <w:rPr>
          <w:rStyle w:val="Hyperlink"/>
          <w:noProof/>
        </w:rPr>
      </w:pPr>
    </w:p>
    <w:p w14:paraId="6276C452" w14:textId="77777777" w:rsidR="00FD07AA" w:rsidRPr="00FD07AA" w:rsidRDefault="00FD07AA" w:rsidP="00FD07AA">
      <w:pPr>
        <w:rPr>
          <w:rFonts w:eastAsiaTheme="minorEastAsia"/>
        </w:rPr>
      </w:pPr>
    </w:p>
    <w:p w14:paraId="26CF5AC2" w14:textId="36BE3DB7" w:rsidR="004215C0" w:rsidRDefault="00FD07AA" w:rsidP="00FD07AA">
      <w:pPr>
        <w:spacing w:after="160" w:line="259" w:lineRule="auto"/>
        <w:rPr>
          <w:lang w:eastAsia="ar-SA" w:bidi="ar-JO"/>
        </w:rPr>
      </w:pPr>
      <w:r>
        <w:rPr>
          <w:lang w:eastAsia="ar-SA" w:bidi="ar-JO"/>
        </w:rPr>
        <w:fldChar w:fldCharType="end"/>
      </w:r>
      <w:bookmarkEnd w:id="3"/>
    </w:p>
    <w:p w14:paraId="48590016" w14:textId="77777777" w:rsidR="004215C0" w:rsidRDefault="004215C0">
      <w:pPr>
        <w:spacing w:after="160" w:line="259" w:lineRule="auto"/>
        <w:rPr>
          <w:lang w:eastAsia="ar-SA" w:bidi="ar-JO"/>
        </w:rPr>
      </w:pPr>
    </w:p>
    <w:p w14:paraId="081BB1B9" w14:textId="05374EDB" w:rsidR="00E94CF6" w:rsidRDefault="00E94CF6">
      <w:pPr>
        <w:spacing w:after="160" w:line="259" w:lineRule="auto"/>
        <w:rPr>
          <w:lang w:eastAsia="ar-SA" w:bidi="ar-JO"/>
        </w:rPr>
      </w:pPr>
      <w:r>
        <w:rPr>
          <w:lang w:eastAsia="ar-SA" w:bidi="ar-JO"/>
        </w:rPr>
        <w:br w:type="page"/>
      </w:r>
    </w:p>
    <w:p w14:paraId="35369C15" w14:textId="7CE6396C" w:rsidR="00E94CF6" w:rsidRPr="00E94CF6" w:rsidRDefault="00E94CF6" w:rsidP="00061CAF">
      <w:pPr>
        <w:spacing w:after="160" w:line="360" w:lineRule="auto"/>
        <w:jc w:val="center"/>
        <w:rPr>
          <w:lang w:eastAsia="ar-SA" w:bidi="ar-JO"/>
        </w:rPr>
      </w:pPr>
      <w:bookmarkStart w:id="4" w:name="_Toc130757271"/>
      <w:r w:rsidRPr="00E94CF6">
        <w:rPr>
          <w:b/>
          <w:bCs/>
          <w:lang w:eastAsia="ar-SA" w:bidi="ar-JO"/>
        </w:rPr>
        <w:lastRenderedPageBreak/>
        <w:t>ASSESSING THE TECHNICAL FEASIBILITY AND ECONOMIC BENEFITS OF INTEGRATING ENERGY STORAGE SYSTEM INTO GRID CONNECTED PV SYSTEM - CASE STUDY APPROACH</w:t>
      </w:r>
    </w:p>
    <w:p w14:paraId="3CD5D886" w14:textId="77777777" w:rsidR="00E94CF6" w:rsidRPr="00E94CF6" w:rsidRDefault="00E94CF6" w:rsidP="00061CAF">
      <w:pPr>
        <w:spacing w:after="160" w:line="360" w:lineRule="auto"/>
        <w:jc w:val="center"/>
        <w:rPr>
          <w:b/>
          <w:bCs/>
          <w:lang w:eastAsia="ar-SA" w:bidi="ar-JO"/>
        </w:rPr>
      </w:pPr>
      <w:proofErr w:type="gramStart"/>
      <w:r w:rsidRPr="00E94CF6">
        <w:rPr>
          <w:b/>
          <w:bCs/>
          <w:lang w:eastAsia="ar-SA" w:bidi="ar-JO"/>
        </w:rPr>
        <w:t>By</w:t>
      </w:r>
      <w:proofErr w:type="gramEnd"/>
    </w:p>
    <w:p w14:paraId="72E05F66" w14:textId="77777777" w:rsidR="00E94CF6" w:rsidRPr="00E94CF6" w:rsidRDefault="00E94CF6" w:rsidP="00061CAF">
      <w:pPr>
        <w:spacing w:after="160" w:line="360" w:lineRule="auto"/>
        <w:jc w:val="center"/>
        <w:rPr>
          <w:b/>
          <w:bCs/>
          <w:lang w:eastAsia="ar-SA" w:bidi="ar-JO"/>
        </w:rPr>
      </w:pPr>
      <w:r w:rsidRPr="00E94CF6">
        <w:rPr>
          <w:b/>
          <w:bCs/>
          <w:lang w:eastAsia="ar-SA" w:bidi="ar-JO"/>
        </w:rPr>
        <w:t>Rami Hossam Yaqoub</w:t>
      </w:r>
    </w:p>
    <w:p w14:paraId="24B8BA47" w14:textId="77777777" w:rsidR="00E94CF6" w:rsidRPr="00E94CF6" w:rsidRDefault="00E94CF6" w:rsidP="00061CAF">
      <w:pPr>
        <w:spacing w:after="160" w:line="360" w:lineRule="auto"/>
        <w:jc w:val="center"/>
        <w:rPr>
          <w:b/>
          <w:bCs/>
          <w:lang w:eastAsia="ar-SA" w:bidi="ar-JO"/>
        </w:rPr>
      </w:pPr>
      <w:r w:rsidRPr="00E94CF6">
        <w:rPr>
          <w:b/>
          <w:bCs/>
          <w:lang w:eastAsia="ar-SA" w:bidi="ar-JO"/>
        </w:rPr>
        <w:t>Supervisor</w:t>
      </w:r>
    </w:p>
    <w:p w14:paraId="3383EF6E" w14:textId="34831A30" w:rsidR="00E94CF6" w:rsidRDefault="00E94CF6" w:rsidP="00EB1FAD">
      <w:pPr>
        <w:spacing w:after="160" w:line="360" w:lineRule="auto"/>
        <w:jc w:val="center"/>
        <w:rPr>
          <w:b/>
          <w:bCs/>
          <w:lang w:eastAsia="ar-SA" w:bidi="ar-JO"/>
        </w:rPr>
      </w:pPr>
      <w:r w:rsidRPr="00E94CF6">
        <w:rPr>
          <w:b/>
          <w:bCs/>
          <w:lang w:eastAsia="ar-SA" w:bidi="ar-JO"/>
        </w:rPr>
        <w:t>Dr. Aysar Mahmoud Yasin</w:t>
      </w:r>
    </w:p>
    <w:p w14:paraId="4234D4BA" w14:textId="0310B888" w:rsidR="00E94CF6" w:rsidRPr="00E94CF6" w:rsidRDefault="00E94CF6" w:rsidP="00061CAF">
      <w:pPr>
        <w:spacing w:after="160" w:line="360" w:lineRule="auto"/>
        <w:jc w:val="center"/>
        <w:rPr>
          <w:lang w:eastAsia="ar-SA" w:bidi="ar-JO"/>
        </w:rPr>
      </w:pPr>
      <w:r w:rsidRPr="00E94CF6">
        <w:rPr>
          <w:b/>
          <w:bCs/>
          <w:lang w:eastAsia="ar-SA" w:bidi="ar-JO"/>
        </w:rPr>
        <w:t>Abstract</w:t>
      </w:r>
    </w:p>
    <w:p w14:paraId="7BBCDA8E" w14:textId="3C2134AB" w:rsidR="00D269EE" w:rsidRDefault="00D269EE" w:rsidP="00D269EE">
      <w:pPr>
        <w:spacing w:after="160" w:line="360" w:lineRule="auto"/>
        <w:jc w:val="both"/>
        <w:rPr>
          <w:lang w:eastAsia="ar-SA" w:bidi="ar-JO"/>
        </w:rPr>
      </w:pPr>
      <w:r>
        <w:rPr>
          <w:lang w:eastAsia="ar-SA" w:bidi="ar-JO"/>
        </w:rPr>
        <w:t xml:space="preserve">This study investigates the technical and economic impacts of integrating energy storage systems into grid-connected PV systems using the electrical network of Jenin's </w:t>
      </w:r>
      <w:proofErr w:type="spellStart"/>
      <w:r>
        <w:rPr>
          <w:lang w:eastAsia="ar-SA" w:bidi="ar-JO"/>
        </w:rPr>
        <w:t>Arraba</w:t>
      </w:r>
      <w:proofErr w:type="spellEnd"/>
      <w:r>
        <w:rPr>
          <w:lang w:eastAsia="ar-SA" w:bidi="ar-JO"/>
        </w:rPr>
        <w:t xml:space="preserve"> village as a case study. Four different configurations of PV and sizes of energy storage systems are compared to assessing their impact on the most critical grid performance parameters, including voltage regulation, energy loss reduction, and dynamic load control. Utilizing ETAP for simulation, the study also analyzes actual grid behavior under real conditions, harmonic distortion due to the PV inverter, and reverse power flow when there is high PV penetration. Harmonic distortion was found to be moderate in Case 0 and increases notably in Cases 1 and 3, with the highest distortion observed at low-voltage buses in Case 3. Reverse power flow was observed in Case 3 with negligible export to the upstream grid, highlighting the importance of control mechanisms at high penetration levels.</w:t>
      </w:r>
    </w:p>
    <w:p w14:paraId="597F0E47" w14:textId="721E1E10" w:rsidR="00AD1C81" w:rsidRDefault="00D269EE" w:rsidP="00D269EE">
      <w:pPr>
        <w:spacing w:after="160" w:line="360" w:lineRule="auto"/>
        <w:jc w:val="both"/>
        <w:rPr>
          <w:lang w:eastAsia="ar-SA" w:bidi="ar-JO"/>
        </w:rPr>
      </w:pPr>
      <w:r>
        <w:rPr>
          <w:lang w:eastAsia="ar-SA" w:bidi="ar-JO"/>
        </w:rPr>
        <w:t xml:space="preserve">Economic efficiency is assessed considering the System Advisor Model with high focus on main indicators like payback period, net present value, and levelized cost of energy. Among the four cases, Case 1 is the most efficient cost-saving setting with the smallest levelized cost of energy of 17.4 cents/kWh and a payback period of 8.2 years. While having superior technical performance in Case 2 and Case 3, their increased investment cost reduces their economic efficiency. The conclusion is that Case 1 has the optimal trade-off between technical effectiveness and economic viability, and it is an acceptable solution for grid stability, power quality management, and peak-shaving in small- to medium-size applications. The report wraps up by recommending longer-term </w:t>
      </w:r>
      <w:r>
        <w:rPr>
          <w:lang w:eastAsia="ar-SA" w:bidi="ar-JO"/>
        </w:rPr>
        <w:lastRenderedPageBreak/>
        <w:t>investigation of hybrid energy storage technology, predictive algorithms, and long-term service reliability of energy storage under the conditions of diverse grids</w:t>
      </w:r>
      <w:r w:rsidR="00C91269">
        <w:rPr>
          <w:lang w:eastAsia="ar-SA" w:bidi="ar-JO"/>
        </w:rPr>
        <w:t>.</w:t>
      </w:r>
    </w:p>
    <w:p w14:paraId="05761DBA" w14:textId="06F754DB" w:rsidR="00EB1FAD" w:rsidRDefault="00EB1FAD" w:rsidP="00EB1FAD">
      <w:pPr>
        <w:spacing w:after="160" w:line="360" w:lineRule="auto"/>
        <w:jc w:val="both"/>
        <w:rPr>
          <w:lang w:eastAsia="ar-SA" w:bidi="ar-JO"/>
        </w:rPr>
      </w:pPr>
      <w:r w:rsidRPr="00EB1FAD">
        <w:rPr>
          <w:b/>
          <w:bCs/>
          <w:sz w:val="22"/>
          <w:szCs w:val="22"/>
          <w:lang w:val="tr-TR" w:eastAsia="ar-SA" w:bidi="ar-JO"/>
        </w:rPr>
        <w:t>Keywords:</w:t>
      </w:r>
      <w:r w:rsidRPr="00EB1FAD">
        <w:rPr>
          <w:sz w:val="22"/>
          <w:szCs w:val="22"/>
        </w:rPr>
        <w:t xml:space="preserve"> </w:t>
      </w:r>
      <w:r w:rsidRPr="00EB1FAD">
        <w:rPr>
          <w:sz w:val="22"/>
          <w:szCs w:val="22"/>
          <w:lang w:val="tr-TR" w:eastAsia="ar-SA" w:bidi="ar-JO"/>
        </w:rPr>
        <w:t>Energy Storage System, Grid-Connected Photovoltaic System, Technical Feasibility, Economic Benefits, Voltage Regulation</w:t>
      </w:r>
      <w:r>
        <w:rPr>
          <w:lang w:eastAsia="ar-SA" w:bidi="ar-JO"/>
        </w:rPr>
        <w:t>.</w:t>
      </w:r>
    </w:p>
    <w:p w14:paraId="76363E49" w14:textId="60EE59C3" w:rsidR="00D269EE" w:rsidRDefault="00D269EE">
      <w:pPr>
        <w:spacing w:after="160" w:line="259" w:lineRule="auto"/>
        <w:rPr>
          <w:lang w:eastAsia="ar-SA" w:bidi="ar-JO"/>
        </w:rPr>
      </w:pPr>
      <w:r>
        <w:rPr>
          <w:lang w:eastAsia="ar-SA" w:bidi="ar-JO"/>
        </w:rPr>
        <w:br w:type="page"/>
      </w:r>
    </w:p>
    <w:p w14:paraId="32F67F48" w14:textId="77777777" w:rsidR="00AD1C81" w:rsidRDefault="00AD1C81" w:rsidP="00EB1FAD">
      <w:pPr>
        <w:spacing w:after="160" w:line="360" w:lineRule="auto"/>
        <w:jc w:val="both"/>
        <w:rPr>
          <w:rtl/>
          <w:lang w:eastAsia="ar-SA" w:bidi="ar-JO"/>
        </w:rPr>
      </w:pPr>
    </w:p>
    <w:p w14:paraId="3EE8F311" w14:textId="22FE00EC" w:rsidR="00061CAF" w:rsidRPr="00EB1FAD" w:rsidRDefault="00061CAF" w:rsidP="00EB1FAD">
      <w:pPr>
        <w:spacing w:after="160" w:line="360" w:lineRule="auto"/>
        <w:jc w:val="center"/>
        <w:rPr>
          <w:lang w:eastAsia="ar-SA" w:bidi="ar-JO"/>
        </w:rPr>
      </w:pPr>
      <w:r w:rsidRPr="00061CAF">
        <w:rPr>
          <w:rFonts w:ascii="Simplified Arabic" w:hAnsi="Simplified Arabic" w:cs="Simplified Arabic"/>
          <w:b/>
          <w:bCs/>
          <w:sz w:val="28"/>
          <w:szCs w:val="28"/>
          <w:rtl/>
        </w:rPr>
        <w:t xml:space="preserve">تقييم الجدوى الفنية والفوائد الاقتصادية لدمج أنظمة تخزين الطاقة في أنظمة الطاقة الشمسية المتصلة بالشبكة </w:t>
      </w:r>
      <w:r>
        <w:rPr>
          <w:rFonts w:ascii="Simplified Arabic" w:hAnsi="Simplified Arabic" w:cs="Simplified Arabic"/>
          <w:b/>
          <w:bCs/>
          <w:sz w:val="28"/>
          <w:szCs w:val="28"/>
          <w:rtl/>
        </w:rPr>
        <w:t>–</w:t>
      </w:r>
      <w:r w:rsidRPr="00061CAF">
        <w:rPr>
          <w:rFonts w:ascii="Simplified Arabic" w:hAnsi="Simplified Arabic" w:cs="Simplified Arabic"/>
          <w:b/>
          <w:bCs/>
          <w:sz w:val="28"/>
          <w:szCs w:val="28"/>
          <w:rtl/>
        </w:rPr>
        <w:t xml:space="preserve"> دراسة</w:t>
      </w:r>
      <w:r>
        <w:rPr>
          <w:rFonts w:ascii="Simplified Arabic" w:hAnsi="Simplified Arabic" w:cs="Simplified Arabic"/>
          <w:b/>
          <w:bCs/>
          <w:sz w:val="28"/>
          <w:szCs w:val="28"/>
        </w:rPr>
        <w:t xml:space="preserve"> </w:t>
      </w:r>
      <w:r w:rsidRPr="00061CAF">
        <w:rPr>
          <w:rFonts w:ascii="Simplified Arabic" w:hAnsi="Simplified Arabic" w:cs="Simplified Arabic"/>
          <w:b/>
          <w:bCs/>
          <w:sz w:val="28"/>
          <w:szCs w:val="28"/>
          <w:rtl/>
        </w:rPr>
        <w:t>حالة</w:t>
      </w:r>
    </w:p>
    <w:p w14:paraId="2CF96965" w14:textId="33CF9DE4" w:rsidR="00061CAF" w:rsidRPr="00061CAF" w:rsidRDefault="00061CAF" w:rsidP="00061CAF">
      <w:pPr>
        <w:bidi/>
        <w:spacing w:after="160" w:line="240" w:lineRule="auto"/>
        <w:jc w:val="center"/>
        <w:rPr>
          <w:rFonts w:ascii="Simplified Arabic" w:hAnsi="Simplified Arabic" w:cs="Simplified Arabic"/>
          <w:b/>
          <w:bCs/>
          <w:sz w:val="28"/>
          <w:szCs w:val="28"/>
        </w:rPr>
      </w:pPr>
      <w:r w:rsidRPr="00061CAF">
        <w:rPr>
          <w:rFonts w:ascii="Simplified Arabic" w:hAnsi="Simplified Arabic" w:cs="Simplified Arabic"/>
          <w:b/>
          <w:bCs/>
          <w:sz w:val="28"/>
          <w:szCs w:val="28"/>
          <w:rtl/>
        </w:rPr>
        <w:t>اعداد</w:t>
      </w:r>
    </w:p>
    <w:p w14:paraId="69564482" w14:textId="77777777" w:rsidR="00061CAF" w:rsidRDefault="00061CAF" w:rsidP="00061CAF">
      <w:pPr>
        <w:bidi/>
        <w:spacing w:after="160" w:line="240" w:lineRule="auto"/>
        <w:jc w:val="center"/>
        <w:rPr>
          <w:rFonts w:ascii="Simplified Arabic" w:hAnsi="Simplified Arabic" w:cs="Simplified Arabic"/>
          <w:b/>
          <w:bCs/>
          <w:sz w:val="28"/>
          <w:szCs w:val="28"/>
        </w:rPr>
      </w:pPr>
      <w:r w:rsidRPr="00061CAF">
        <w:rPr>
          <w:rFonts w:ascii="Simplified Arabic" w:hAnsi="Simplified Arabic" w:cs="Simplified Arabic"/>
          <w:b/>
          <w:bCs/>
          <w:sz w:val="28"/>
          <w:szCs w:val="28"/>
          <w:rtl/>
        </w:rPr>
        <w:t>رامي حسام يعقوب</w:t>
      </w:r>
    </w:p>
    <w:p w14:paraId="63E9DD23" w14:textId="0EA8DB60" w:rsidR="00061CAF" w:rsidRPr="00061CAF" w:rsidRDefault="00061CAF" w:rsidP="00061CAF">
      <w:pPr>
        <w:bidi/>
        <w:spacing w:after="160" w:line="240" w:lineRule="auto"/>
        <w:jc w:val="center"/>
        <w:rPr>
          <w:rFonts w:ascii="Simplified Arabic" w:hAnsi="Simplified Arabic" w:cs="Simplified Arabic"/>
          <w:b/>
          <w:bCs/>
          <w:sz w:val="28"/>
          <w:szCs w:val="28"/>
          <w:rtl/>
          <w:lang w:bidi="ar-EG"/>
        </w:rPr>
      </w:pPr>
      <w:r w:rsidRPr="00061CAF">
        <w:rPr>
          <w:rFonts w:ascii="Simplified Arabic" w:hAnsi="Simplified Arabic" w:cs="Simplified Arabic"/>
          <w:b/>
          <w:bCs/>
          <w:sz w:val="28"/>
          <w:szCs w:val="28"/>
          <w:rtl/>
        </w:rPr>
        <w:t>إش</w:t>
      </w:r>
      <w:r>
        <w:rPr>
          <w:rFonts w:ascii="Simplified Arabic" w:hAnsi="Simplified Arabic" w:cs="Simplified Arabic" w:hint="cs"/>
          <w:b/>
          <w:bCs/>
          <w:sz w:val="28"/>
          <w:szCs w:val="28"/>
          <w:rtl/>
          <w:lang w:bidi="ar-EG"/>
        </w:rPr>
        <w:t>راف</w:t>
      </w:r>
    </w:p>
    <w:p w14:paraId="569F7147" w14:textId="46C4A5BC" w:rsidR="00061CAF" w:rsidRDefault="00061CAF" w:rsidP="00061CAF">
      <w:pPr>
        <w:bidi/>
        <w:spacing w:after="16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د.</w:t>
      </w:r>
      <w:r w:rsidRPr="00061CAF">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أيسر</w:t>
      </w:r>
      <w:r w:rsidRPr="00061CAF">
        <w:rPr>
          <w:rFonts w:ascii="Simplified Arabic" w:hAnsi="Simplified Arabic" w:cs="Simplified Arabic"/>
          <w:b/>
          <w:bCs/>
          <w:sz w:val="28"/>
          <w:szCs w:val="28"/>
          <w:rtl/>
        </w:rPr>
        <w:t xml:space="preserve"> محمود ياسين</w:t>
      </w:r>
    </w:p>
    <w:p w14:paraId="149BD85B" w14:textId="77777777" w:rsidR="00061CAF" w:rsidRPr="00061CAF" w:rsidRDefault="00061CAF" w:rsidP="00061CAF">
      <w:pPr>
        <w:bidi/>
        <w:spacing w:after="160" w:line="240" w:lineRule="auto"/>
        <w:jc w:val="center"/>
        <w:rPr>
          <w:rFonts w:ascii="Simplified Arabic" w:hAnsi="Simplified Arabic" w:cs="Simplified Arabic"/>
          <w:b/>
          <w:bCs/>
          <w:sz w:val="28"/>
          <w:szCs w:val="28"/>
        </w:rPr>
      </w:pPr>
      <w:r w:rsidRPr="00061CAF">
        <w:rPr>
          <w:rFonts w:ascii="Simplified Arabic" w:hAnsi="Simplified Arabic" w:cs="Simplified Arabic"/>
          <w:b/>
          <w:bCs/>
          <w:sz w:val="28"/>
          <w:szCs w:val="28"/>
          <w:rtl/>
        </w:rPr>
        <w:t>الملخص</w:t>
      </w:r>
    </w:p>
    <w:p w14:paraId="7C11F887" w14:textId="143081E1" w:rsidR="000A6F7B" w:rsidRPr="000A6F7B" w:rsidRDefault="000A6F7B" w:rsidP="000A6F7B">
      <w:pPr>
        <w:bidi/>
        <w:spacing w:after="160" w:line="240" w:lineRule="auto"/>
        <w:jc w:val="both"/>
        <w:rPr>
          <w:rFonts w:ascii="Simplified Arabic" w:hAnsi="Simplified Arabic" w:cs="Simplified Arabic"/>
          <w:sz w:val="28"/>
          <w:szCs w:val="28"/>
        </w:rPr>
      </w:pPr>
      <w:r w:rsidRPr="000A6F7B">
        <w:rPr>
          <w:rFonts w:ascii="Simplified Arabic" w:hAnsi="Simplified Arabic" w:cs="Simplified Arabic"/>
          <w:sz w:val="28"/>
          <w:szCs w:val="28"/>
          <w:rtl/>
        </w:rPr>
        <w:t>تبحث هذه الدراسة في التأثيرات الفنية والاقتصادية لدمج أنظمة تخزين الطاقة في الأنظمة الكهروضوئية المتصلة بالشبكة الكهربائية، وذلك باستخدام شبكة الكهرباء في قرية عرابة الواقعة في محافظة جنين كحالة دراسية. تمت مقارنة أربع تكوينات مختلفة من أنظمة الطاقة الشمسية الكهروضوئية وأحجام متنوعة من أنظمة تخزين الطاقة لتقييم تأثيرها على أهم مؤشرات أداء الشبكة، مثل تنظيم الجهد الكهربائي، وتقليل فاقد الطاقة، والتحكم الديناميكي في الأحمال. ومن خلال استخدام برنامج</w:t>
      </w:r>
      <w:r w:rsidRPr="000A6F7B">
        <w:rPr>
          <w:rFonts w:ascii="Simplified Arabic" w:hAnsi="Simplified Arabic" w:cs="Simplified Arabic"/>
          <w:sz w:val="28"/>
          <w:szCs w:val="28"/>
        </w:rPr>
        <w:t xml:space="preserve"> ETAP </w:t>
      </w:r>
      <w:r w:rsidRPr="000A6F7B">
        <w:rPr>
          <w:rFonts w:ascii="Simplified Arabic" w:hAnsi="Simplified Arabic" w:cs="Simplified Arabic"/>
          <w:sz w:val="28"/>
          <w:szCs w:val="28"/>
          <w:rtl/>
        </w:rPr>
        <w:t>للمحاكاة، تم تحليل سلوك الشبكة تحت ظروف تشغيل واقعية، بما في ذلك التشوهات التوافقية الناتجة عن محولات التيار في النظام الكهروضوئي، والتي لوحظت بوضوح في الحالة الأولى والثالثة عند نقاط الجهد المنخفض، حيث تتطلب معالجة هذه التشوهات تدابير إضافية لضمان جودة الطاقة. كما تم تحليل تدفق الطاقة العكسي الذي قد يحدث في حالات الاختراق العالي للطاقة الشمسية. وقد تم رصد تدفق طاقة عكسي في الحالة الثالثة، حيث لوحظ تصدير طفيف للطاقة نحو الشبكة الرئيسية، مما يسلط الضوء على أهمية وجود آليات تحكم فعالة عند مستويات الاختراق العالية</w:t>
      </w:r>
      <w:r w:rsidRPr="000A6F7B">
        <w:rPr>
          <w:rFonts w:ascii="Simplified Arabic" w:hAnsi="Simplified Arabic" w:cs="Simplified Arabic"/>
          <w:sz w:val="28"/>
          <w:szCs w:val="28"/>
        </w:rPr>
        <w:t>.</w:t>
      </w:r>
    </w:p>
    <w:p w14:paraId="1CEA54F2" w14:textId="23F33FE6" w:rsidR="000A6F7B" w:rsidRPr="000A6F7B" w:rsidRDefault="000A6F7B" w:rsidP="000A6F7B">
      <w:pPr>
        <w:bidi/>
        <w:spacing w:after="160" w:line="240" w:lineRule="auto"/>
        <w:jc w:val="both"/>
        <w:rPr>
          <w:rFonts w:ascii="Simplified Arabic" w:hAnsi="Simplified Arabic" w:cs="Simplified Arabic"/>
          <w:sz w:val="28"/>
          <w:szCs w:val="28"/>
        </w:rPr>
      </w:pPr>
      <w:r w:rsidRPr="000A6F7B">
        <w:rPr>
          <w:rFonts w:ascii="Simplified Arabic" w:hAnsi="Simplified Arabic" w:cs="Simplified Arabic"/>
          <w:sz w:val="28"/>
          <w:szCs w:val="28"/>
          <w:rtl/>
        </w:rPr>
        <w:t>من الناحية الاقتصادية، تم تقييم كفاءة الأنظمة باستخدام برنامج</w:t>
      </w:r>
      <w:r w:rsidRPr="000A6F7B">
        <w:rPr>
          <w:rFonts w:ascii="Simplified Arabic" w:hAnsi="Simplified Arabic" w:cs="Simplified Arabic"/>
          <w:sz w:val="28"/>
          <w:szCs w:val="28"/>
        </w:rPr>
        <w:t xml:space="preserve"> System Advisor Model</w:t>
      </w:r>
      <w:r w:rsidRPr="000A6F7B">
        <w:rPr>
          <w:rFonts w:ascii="Simplified Arabic" w:hAnsi="Simplified Arabic" w:cs="Simplified Arabic"/>
          <w:sz w:val="28"/>
          <w:szCs w:val="28"/>
          <w:rtl/>
        </w:rPr>
        <w:t xml:space="preserve">، مع التركيز على مؤشرات رئيسية مثل فترة استرداد رأس المال، والقيمة الحالية الصافية، وتكلفة الطاقة المستوية. ومن بين الحالات الأربع المدروسة، أظهرت الحالة الأولى أعلى كفاءة من حيث تقليل التكاليف، حيث حققت أقل تكلفة طاقة مستوية بلغت 17.4 سنتًا لكل كيلوواط ساعة، وفترة استرداد </w:t>
      </w:r>
      <w:r w:rsidRPr="000A6F7B">
        <w:rPr>
          <w:rFonts w:ascii="Simplified Arabic" w:hAnsi="Simplified Arabic" w:cs="Simplified Arabic"/>
          <w:sz w:val="28"/>
          <w:szCs w:val="28"/>
          <w:rtl/>
        </w:rPr>
        <w:lastRenderedPageBreak/>
        <w:t>تبلغ 8.2 سنوات. وعلى الرغم من أن الحالتين الثانية والثالثة أظهرتا أداءً فنيًا أعلى، إلا أن ارتفاع تكاليف الاستثمار فيهما قلل من جدواهما الاقتصادية</w:t>
      </w:r>
      <w:r w:rsidRPr="000A6F7B">
        <w:rPr>
          <w:rFonts w:ascii="Simplified Arabic" w:hAnsi="Simplified Arabic" w:cs="Simplified Arabic"/>
          <w:sz w:val="28"/>
          <w:szCs w:val="28"/>
        </w:rPr>
        <w:t>.</w:t>
      </w:r>
    </w:p>
    <w:p w14:paraId="64C97AB7" w14:textId="77777777" w:rsidR="000A6F7B" w:rsidRPr="000A6F7B" w:rsidRDefault="000A6F7B" w:rsidP="000A6F7B">
      <w:pPr>
        <w:bidi/>
        <w:spacing w:after="160" w:line="240" w:lineRule="auto"/>
        <w:jc w:val="both"/>
        <w:rPr>
          <w:rFonts w:ascii="Simplified Arabic" w:hAnsi="Simplified Arabic" w:cs="Simplified Arabic"/>
          <w:sz w:val="28"/>
          <w:szCs w:val="28"/>
          <w:rtl/>
        </w:rPr>
      </w:pPr>
      <w:r w:rsidRPr="000A6F7B">
        <w:rPr>
          <w:rFonts w:ascii="Simplified Arabic" w:hAnsi="Simplified Arabic" w:cs="Simplified Arabic"/>
          <w:sz w:val="28"/>
          <w:szCs w:val="28"/>
          <w:rtl/>
        </w:rPr>
        <w:t>وتستنتج الدراسة أن الحالة الأولى تمثل الخيار الأمثل من حيث التوازن بين الكفاءة الفنية والجدوى الاقتصادية، حيث تجمع بين تنظيم الجهد الجيد، وتحسين إدارة الأحمال، وجودة الطاقة المقبولة رغم التشوهات التوافقية، وذلك بأقل عبء استثماري وأفضل تكلفة للطاقة. مما يجعلها حلاً مناسبًا لتحقيق استقرار الشبكة الكهربائية وتقليل أحمال الذروة في التطبيقات الصغيرة والمتوسطة الحجم. وتوصي الدراسة بإجراء أبحاث مستقبلية طويلة الأمد تتناول تقنيات التخزين الهجينة، وتطوير خوارزميات تحكم تنبؤية، بالإضافة إلى دراسة موثوقية أداء أنظمة التخزين في ظل ظروف تشغيل مختلفة ومتغيرة للشبكات الكهربائية</w:t>
      </w:r>
      <w:r w:rsidRPr="000A6F7B">
        <w:rPr>
          <w:rFonts w:ascii="Simplified Arabic" w:hAnsi="Simplified Arabic" w:cs="Simplified Arabic"/>
          <w:sz w:val="28"/>
          <w:szCs w:val="28"/>
        </w:rPr>
        <w:t>.</w:t>
      </w:r>
    </w:p>
    <w:p w14:paraId="04A7100F" w14:textId="0BC4B3C0" w:rsidR="00EB1FAD" w:rsidRPr="00C91269" w:rsidRDefault="00EB1FAD" w:rsidP="00C91269">
      <w:pPr>
        <w:bidi/>
        <w:spacing w:after="160" w:line="240" w:lineRule="auto"/>
        <w:jc w:val="both"/>
        <w:rPr>
          <w:rFonts w:asciiTheme="minorHAnsi" w:hAnsiTheme="minorHAnsi" w:cs="Simplified Arabic"/>
          <w:sz w:val="28"/>
          <w:szCs w:val="28"/>
          <w:lang w:val="tr-TR"/>
        </w:rPr>
        <w:sectPr w:rsidR="00EB1FAD" w:rsidRPr="00C91269" w:rsidSect="00EB1FAD">
          <w:footerReference w:type="default" r:id="rId14"/>
          <w:endnotePr>
            <w:numFmt w:val="decimal"/>
          </w:endnotePr>
          <w:pgSz w:w="11907" w:h="16840" w:code="9"/>
          <w:pgMar w:top="1417" w:right="1417" w:bottom="1417" w:left="1984" w:header="43" w:footer="907" w:gutter="0"/>
          <w:pgNumType w:fmt="upperRoman" w:start="1"/>
          <w:cols w:space="720"/>
          <w:rtlGutter/>
          <w:docGrid w:linePitch="360"/>
        </w:sectPr>
      </w:pPr>
    </w:p>
    <w:p w14:paraId="622DEB38" w14:textId="7353D905" w:rsidR="008C64AD" w:rsidRPr="00EB1FAD" w:rsidRDefault="008C64AD" w:rsidP="00EB1FAD">
      <w:pPr>
        <w:bidi/>
        <w:spacing w:after="160" w:line="240" w:lineRule="auto"/>
        <w:jc w:val="center"/>
        <w:rPr>
          <w:b/>
          <w:bCs/>
          <w:sz w:val="28"/>
          <w:szCs w:val="28"/>
        </w:rPr>
      </w:pPr>
      <w:r w:rsidRPr="00EB1FAD">
        <w:rPr>
          <w:b/>
          <w:bCs/>
          <w:sz w:val="28"/>
          <w:szCs w:val="28"/>
        </w:rPr>
        <w:lastRenderedPageBreak/>
        <w:t xml:space="preserve">Chapter One: </w:t>
      </w:r>
      <w:r w:rsidRPr="00EB1FAD">
        <w:rPr>
          <w:b/>
          <w:bCs/>
          <w:sz w:val="28"/>
          <w:szCs w:val="28"/>
        </w:rPr>
        <w:br/>
        <w:t>Introduction</w:t>
      </w:r>
      <w:bookmarkEnd w:id="4"/>
      <w:r w:rsidR="00AF002E" w:rsidRPr="00EB1FAD">
        <w:rPr>
          <w:b/>
          <w:bCs/>
        </w:rPr>
        <w:t xml:space="preserve"> </w:t>
      </w:r>
      <w:r w:rsidR="00AF002E" w:rsidRPr="00EB1FAD">
        <w:rPr>
          <w:b/>
          <w:bCs/>
          <w:sz w:val="28"/>
          <w:szCs w:val="28"/>
        </w:rPr>
        <w:t>and Theoretical Background</w:t>
      </w:r>
    </w:p>
    <w:p w14:paraId="0FE737B9" w14:textId="77777777" w:rsidR="00AF002E" w:rsidRPr="00AF002E" w:rsidRDefault="00AF002E" w:rsidP="00AF002E">
      <w:pPr>
        <w:pStyle w:val="Heading1"/>
        <w:spacing w:line="360" w:lineRule="auto"/>
        <w:ind w:left="460" w:firstLine="0"/>
        <w:rPr>
          <w:sz w:val="28"/>
          <w:szCs w:val="28"/>
        </w:rPr>
      </w:pPr>
    </w:p>
    <w:p w14:paraId="466C4C73" w14:textId="46A89804" w:rsidR="008C64AD" w:rsidRDefault="008C64AD">
      <w:pPr>
        <w:pStyle w:val="Heading2"/>
        <w:numPr>
          <w:ilvl w:val="1"/>
          <w:numId w:val="19"/>
        </w:numPr>
        <w:spacing w:line="360" w:lineRule="auto"/>
      </w:pPr>
      <w:bookmarkStart w:id="5" w:name="_Toc28055717"/>
      <w:bookmarkStart w:id="6" w:name="_Toc130757272"/>
      <w:bookmarkStart w:id="7" w:name="_Toc205672527"/>
      <w:r w:rsidRPr="008C64AD">
        <w:t>Introduction</w:t>
      </w:r>
      <w:bookmarkEnd w:id="5"/>
      <w:bookmarkEnd w:id="6"/>
      <w:bookmarkEnd w:id="7"/>
    </w:p>
    <w:p w14:paraId="2FCA18DC" w14:textId="4AFDCDF1" w:rsidR="005B31FE" w:rsidRDefault="005B31FE" w:rsidP="006352F0">
      <w:pPr>
        <w:spacing w:line="360" w:lineRule="auto"/>
        <w:jc w:val="both"/>
        <w:rPr>
          <w:lang w:eastAsia="ar-SA" w:bidi="ar-JO"/>
        </w:rPr>
      </w:pPr>
      <w:r w:rsidRPr="005B31FE">
        <w:rPr>
          <w:lang w:eastAsia="ar-SA" w:bidi="ar-JO"/>
        </w:rPr>
        <w:t xml:space="preserve">Palestinian territories suffer from high shortage of conventional </w:t>
      </w:r>
      <w:r w:rsidR="00D556CC" w:rsidRPr="005B31FE">
        <w:rPr>
          <w:lang w:eastAsia="ar-SA" w:bidi="ar-JO"/>
        </w:rPr>
        <w:t>energy,</w:t>
      </w:r>
      <w:r w:rsidRPr="005B31FE">
        <w:rPr>
          <w:lang w:eastAsia="ar-SA" w:bidi="ar-JO"/>
        </w:rPr>
        <w:t xml:space="preserve"> and it imports all its needs of petroleum and about 90% of electrical energy needs from Israeli energy companies. This corresponds to high-energy prices with drastic fluctuation. The tendency to exploit renewable energy is one of the robust solutions to mitigate the dilemma of energy crisis as Palestine has been granted with high potential of solar energy.</w:t>
      </w:r>
    </w:p>
    <w:p w14:paraId="301F9D74" w14:textId="224363E2" w:rsidR="008E15BD" w:rsidRDefault="005B31FE" w:rsidP="006352F0">
      <w:pPr>
        <w:spacing w:line="360" w:lineRule="auto"/>
        <w:jc w:val="both"/>
        <w:rPr>
          <w:lang w:eastAsia="ar-SA" w:bidi="ar-JO"/>
        </w:rPr>
      </w:pPr>
      <w:r w:rsidRPr="00632272">
        <w:t>The</w:t>
      </w:r>
      <w:r>
        <w:t xml:space="preserve"> exploitation of the solar energy in Palestinian </w:t>
      </w:r>
      <w:r w:rsidR="00C97470">
        <w:t>T</w:t>
      </w:r>
      <w:r>
        <w:t xml:space="preserve">erritories for electricity generation mainly using PV grid-connection mode is growing up and spread widely and for this purpose further investigations on performance analysis is important and necessary. </w:t>
      </w:r>
    </w:p>
    <w:p w14:paraId="33B36BC9" w14:textId="77777777" w:rsidR="00F73B78" w:rsidRDefault="00F73B78" w:rsidP="006352F0">
      <w:pPr>
        <w:spacing w:line="360" w:lineRule="auto"/>
        <w:jc w:val="both"/>
        <w:rPr>
          <w:lang w:eastAsia="ar-SA" w:bidi="ar-JO"/>
        </w:rPr>
      </w:pPr>
      <w:r w:rsidRPr="00F73B78">
        <w:rPr>
          <w:lang w:eastAsia="ar-SA" w:bidi="ar-JO"/>
        </w:rPr>
        <w:t>Most of the Palestinian electricity is imported from Israel Electric Corporation. There is only one generation station located in Gaza, but it is insufficient to meet the demand in that area. Palestine depends on importing all the energy requirements, since it has no conventional energy sources like petroleum ang gas. Because of that the energy prices in Palestine are considered the highest in compare with near countries [1].</w:t>
      </w:r>
    </w:p>
    <w:p w14:paraId="78298D2A" w14:textId="77777777" w:rsidR="00F73B78" w:rsidRDefault="00F73B78" w:rsidP="00D556CC">
      <w:pPr>
        <w:spacing w:line="360" w:lineRule="auto"/>
        <w:jc w:val="both"/>
        <w:rPr>
          <w:lang w:eastAsia="ar-SA" w:bidi="ar-JO"/>
        </w:rPr>
      </w:pPr>
      <w:r w:rsidRPr="00F73B78">
        <w:rPr>
          <w:lang w:eastAsia="ar-SA" w:bidi="ar-JO"/>
        </w:rPr>
        <w:t>Palestine has an average solar radiation intensity of 5.4 kWh/m² per day and around 3000 hours of sunshine annually, which is considered a high potential for solar energy generation. These conditions make the use of photovoltaic systems a sustainable option. Solar radiation levels often exceed 8 kWh/m² per day in summer, while the lowest average is recorded in winter at approximately 3.01 kWh/m² per day.  The average solar radiation values the Jordan Valley region is shown in Figure 1 [3].</w:t>
      </w:r>
    </w:p>
    <w:p w14:paraId="36375199" w14:textId="77777777" w:rsidR="00F73B78" w:rsidRDefault="00F73B78" w:rsidP="00F73B78">
      <w:pPr>
        <w:pStyle w:val="Caption"/>
        <w:keepNext/>
        <w:spacing w:line="360" w:lineRule="auto"/>
        <w:jc w:val="both"/>
        <w:rPr>
          <w:i w:val="0"/>
          <w:iCs w:val="0"/>
          <w:color w:val="auto"/>
          <w:sz w:val="24"/>
          <w:szCs w:val="24"/>
          <w:lang w:eastAsia="ar-SA" w:bidi="ar-JO"/>
        </w:rPr>
      </w:pPr>
      <w:bookmarkStart w:id="8" w:name="_Toc201839277"/>
      <w:r w:rsidRPr="00F73B78">
        <w:rPr>
          <w:i w:val="0"/>
          <w:iCs w:val="0"/>
          <w:color w:val="auto"/>
          <w:sz w:val="24"/>
          <w:szCs w:val="24"/>
          <w:lang w:eastAsia="ar-SA" w:bidi="ar-JO"/>
        </w:rPr>
        <w:t xml:space="preserve">Micro-grid solar PV systems offer a promising solution for delivering electricity to rural areas, supporting both electrification and local development. As the cost of PV panels continues to decline, these systems are becoming increasingly affordable and practical. Their adoption in rural communities contributes to enhanced social infrastructure, improved water access, better agricultural productivity, and the expansion of other </w:t>
      </w:r>
      <w:r w:rsidRPr="00F73B78">
        <w:rPr>
          <w:i w:val="0"/>
          <w:iCs w:val="0"/>
          <w:color w:val="auto"/>
          <w:sz w:val="24"/>
          <w:szCs w:val="24"/>
          <w:lang w:eastAsia="ar-SA" w:bidi="ar-JO"/>
        </w:rPr>
        <w:lastRenderedPageBreak/>
        <w:t>income-generating activities. Additionally, the use of solar PV can help these regions transition toward more environmentally sustainable practices [4].</w:t>
      </w:r>
    </w:p>
    <w:p w14:paraId="40E2F431" w14:textId="128CB09D" w:rsidR="00AF47BF" w:rsidRPr="00AF47BF" w:rsidRDefault="00AF47BF" w:rsidP="00A26097">
      <w:pPr>
        <w:pStyle w:val="Caption"/>
        <w:keepNext/>
        <w:spacing w:line="360" w:lineRule="auto"/>
        <w:rPr>
          <w:color w:val="auto"/>
          <w:sz w:val="22"/>
          <w:szCs w:val="22"/>
        </w:rPr>
      </w:pPr>
      <w:r w:rsidRPr="00AF47BF">
        <w:rPr>
          <w:b/>
          <w:bCs/>
          <w:i w:val="0"/>
          <w:iCs w:val="0"/>
          <w:color w:val="auto"/>
          <w:sz w:val="22"/>
          <w:szCs w:val="22"/>
        </w:rPr>
        <w:t xml:space="preserve">Figure </w:t>
      </w:r>
      <w:r w:rsidRPr="00AF47BF">
        <w:rPr>
          <w:b/>
          <w:bCs/>
          <w:i w:val="0"/>
          <w:iCs w:val="0"/>
          <w:color w:val="auto"/>
          <w:sz w:val="22"/>
          <w:szCs w:val="22"/>
        </w:rPr>
        <w:fldChar w:fldCharType="begin"/>
      </w:r>
      <w:r w:rsidRPr="00AF47BF">
        <w:rPr>
          <w:b/>
          <w:bCs/>
          <w:i w:val="0"/>
          <w:iCs w:val="0"/>
          <w:color w:val="auto"/>
          <w:sz w:val="22"/>
          <w:szCs w:val="22"/>
        </w:rPr>
        <w:instrText xml:space="preserve"> SEQ Figure \* ARABIC </w:instrText>
      </w:r>
      <w:r w:rsidRPr="00AF47BF">
        <w:rPr>
          <w:b/>
          <w:bCs/>
          <w:i w:val="0"/>
          <w:iCs w:val="0"/>
          <w:color w:val="auto"/>
          <w:sz w:val="22"/>
          <w:szCs w:val="22"/>
        </w:rPr>
        <w:fldChar w:fldCharType="separate"/>
      </w:r>
      <w:r w:rsidR="008B0A0B">
        <w:rPr>
          <w:b/>
          <w:bCs/>
          <w:i w:val="0"/>
          <w:iCs w:val="0"/>
          <w:noProof/>
          <w:color w:val="auto"/>
          <w:sz w:val="22"/>
          <w:szCs w:val="22"/>
        </w:rPr>
        <w:t>1</w:t>
      </w:r>
      <w:r w:rsidRPr="00AF47BF">
        <w:rPr>
          <w:b/>
          <w:bCs/>
          <w:i w:val="0"/>
          <w:iCs w:val="0"/>
          <w:color w:val="auto"/>
          <w:sz w:val="22"/>
          <w:szCs w:val="22"/>
        </w:rPr>
        <w:fldChar w:fldCharType="end"/>
      </w:r>
      <w:r w:rsidR="00A26097">
        <w:rPr>
          <w:color w:val="auto"/>
          <w:sz w:val="22"/>
          <w:szCs w:val="22"/>
        </w:rPr>
        <w:br/>
      </w:r>
      <w:r w:rsidRPr="00AF47BF">
        <w:rPr>
          <w:color w:val="auto"/>
          <w:sz w:val="22"/>
          <w:szCs w:val="22"/>
        </w:rPr>
        <w:t>The Monthly Average Solar Radiation in Jordan Valley</w:t>
      </w:r>
      <w:r>
        <w:rPr>
          <w:color w:val="auto"/>
          <w:sz w:val="22"/>
          <w:szCs w:val="22"/>
        </w:rPr>
        <w:t>.</w:t>
      </w:r>
      <w:bookmarkEnd w:id="8"/>
    </w:p>
    <w:p w14:paraId="71B127FB" w14:textId="77777777" w:rsidR="00D713BF" w:rsidRDefault="00F877A1" w:rsidP="006352F0">
      <w:pPr>
        <w:keepNext/>
        <w:spacing w:line="360" w:lineRule="auto"/>
      </w:pPr>
      <w:r w:rsidRPr="009765EA">
        <w:rPr>
          <w:noProof/>
          <w:lang w:val="de-DE" w:eastAsia="de-DE"/>
        </w:rPr>
        <w:drawing>
          <wp:inline distT="0" distB="0" distL="0" distR="0" wp14:anchorId="79BE014A" wp14:editId="1342BFBA">
            <wp:extent cx="5356225" cy="37033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86640" cy="3724349"/>
                    </a:xfrm>
                    <a:prstGeom prst="rect">
                      <a:avLst/>
                    </a:prstGeom>
                  </pic:spPr>
                </pic:pic>
              </a:graphicData>
            </a:graphic>
          </wp:inline>
        </w:drawing>
      </w:r>
    </w:p>
    <w:p w14:paraId="4AF6A339" w14:textId="77777777" w:rsidR="00D556CC" w:rsidRDefault="00D556CC" w:rsidP="006352F0">
      <w:pPr>
        <w:spacing w:line="360" w:lineRule="auto"/>
        <w:rPr>
          <w:lang w:eastAsia="ar-SA" w:bidi="ar-JO"/>
        </w:rPr>
      </w:pPr>
    </w:p>
    <w:p w14:paraId="2662F377" w14:textId="77777777" w:rsidR="00F73B78" w:rsidRDefault="00F73B78" w:rsidP="00D556CC">
      <w:pPr>
        <w:spacing w:line="360" w:lineRule="auto"/>
        <w:jc w:val="both"/>
        <w:rPr>
          <w:lang w:eastAsia="ar-SA" w:bidi="ar-JO"/>
        </w:rPr>
      </w:pPr>
      <w:r w:rsidRPr="00F73B78">
        <w:rPr>
          <w:lang w:eastAsia="ar-SA" w:bidi="ar-JO"/>
        </w:rPr>
        <w:t>In recent years, the installation of grid-connected PV systems on the rooftops of residential buildings has become increasingly common in Palestine. This growth is largely driven by the declining cost of PV technology and the introduction of government policies that promote the adoption of renewable energy. In addition to homes, several schools, municipal facilities, and private companies have also implemented similar solar PV systems [1].</w:t>
      </w:r>
    </w:p>
    <w:p w14:paraId="145629EA" w14:textId="29D9B407" w:rsidR="00C66781" w:rsidRDefault="00F73B78" w:rsidP="00F73B78">
      <w:pPr>
        <w:spacing w:line="360" w:lineRule="auto"/>
        <w:jc w:val="both"/>
        <w:rPr>
          <w:lang w:eastAsia="ar-SA" w:bidi="ar-JO"/>
        </w:rPr>
      </w:pPr>
      <w:proofErr w:type="gramStart"/>
      <w:r w:rsidRPr="00F73B78">
        <w:rPr>
          <w:lang w:eastAsia="ar-SA" w:bidi="ar-JO"/>
        </w:rPr>
        <w:t>The majority of</w:t>
      </w:r>
      <w:proofErr w:type="gramEnd"/>
      <w:r w:rsidRPr="00F73B78">
        <w:rPr>
          <w:lang w:eastAsia="ar-SA" w:bidi="ar-JO"/>
        </w:rPr>
        <w:t xml:space="preserve"> energy consumed in Palestine is delivered from Israel. However, due to political factors, the Israeli authorities regulate and limit the supply of electricity available to Palestinians. That resulted in frequent power shortages across Palestinian regions. In response, many Palestinians have turned to grid-connected PV systems </w:t>
      </w:r>
      <w:proofErr w:type="gramStart"/>
      <w:r w:rsidRPr="00F73B78">
        <w:rPr>
          <w:lang w:eastAsia="ar-SA" w:bidi="ar-JO"/>
        </w:rPr>
        <w:t>as a way to</w:t>
      </w:r>
      <w:proofErr w:type="gramEnd"/>
      <w:r w:rsidRPr="00F73B78">
        <w:rPr>
          <w:lang w:eastAsia="ar-SA" w:bidi="ar-JO"/>
        </w:rPr>
        <w:t xml:space="preserve"> reduce dependency and address the energy gap. Despite this shift, limited technical expertise and </w:t>
      </w:r>
      <w:r w:rsidRPr="00F73B78">
        <w:rPr>
          <w:lang w:eastAsia="ar-SA" w:bidi="ar-JO"/>
        </w:rPr>
        <w:lastRenderedPageBreak/>
        <w:t>weak regulatory frameworks have posed challenges, leading to inefficiencies and strain on the Palestinian distribution network [2].</w:t>
      </w:r>
    </w:p>
    <w:p w14:paraId="5EEAFC9F" w14:textId="77777777" w:rsidR="00F73B78" w:rsidRPr="006436E6" w:rsidRDefault="00F73B78" w:rsidP="00F73B78">
      <w:pPr>
        <w:spacing w:line="360" w:lineRule="auto"/>
        <w:jc w:val="both"/>
        <w:rPr>
          <w:lang w:eastAsia="ar-SA" w:bidi="ar-AE"/>
        </w:rPr>
      </w:pPr>
    </w:p>
    <w:p w14:paraId="476F779C" w14:textId="320D2A09" w:rsidR="006436E6" w:rsidRDefault="00540A96" w:rsidP="00D556CC">
      <w:pPr>
        <w:pStyle w:val="Heading2"/>
        <w:spacing w:line="360" w:lineRule="auto"/>
        <w:rPr>
          <w:lang w:eastAsia="ar-SA" w:bidi="ar-JO"/>
        </w:rPr>
      </w:pPr>
      <w:bookmarkStart w:id="9" w:name="_Toc205672528"/>
      <w:r>
        <w:rPr>
          <w:lang w:eastAsia="ar-SA" w:bidi="ar-JO"/>
        </w:rPr>
        <w:t xml:space="preserve">1.2 </w:t>
      </w:r>
      <w:r w:rsidR="00415CD6" w:rsidRPr="00415CD6">
        <w:rPr>
          <w:lang w:eastAsia="ar-SA" w:bidi="ar-JO"/>
        </w:rPr>
        <w:t xml:space="preserve">Problem </w:t>
      </w:r>
      <w:r w:rsidR="00D556CC">
        <w:rPr>
          <w:lang w:eastAsia="ar-SA" w:bidi="ar-JO"/>
        </w:rPr>
        <w:t>S</w:t>
      </w:r>
      <w:r w:rsidR="00415CD6" w:rsidRPr="00415CD6">
        <w:rPr>
          <w:lang w:eastAsia="ar-SA" w:bidi="ar-JO"/>
        </w:rPr>
        <w:t>tatement.</w:t>
      </w:r>
      <w:bookmarkEnd w:id="9"/>
    </w:p>
    <w:p w14:paraId="24492267" w14:textId="77777777" w:rsidR="00114002" w:rsidRDefault="00114002" w:rsidP="00114002">
      <w:pPr>
        <w:pStyle w:val="ListParagraph"/>
        <w:spacing w:line="360" w:lineRule="auto"/>
        <w:ind w:left="0"/>
        <w:jc w:val="both"/>
      </w:pPr>
      <w:r>
        <w:t xml:space="preserve">In the last few years, there has been significant growth in the deployment of large and small PV systems in Palestinian cities. While </w:t>
      </w:r>
      <w:proofErr w:type="gramStart"/>
      <w:r>
        <w:t>as much as possible of this</w:t>
      </w:r>
      <w:proofErr w:type="gramEnd"/>
      <w:r>
        <w:t xml:space="preserve"> transition to renewable energy is appreciated, the intermittent nature of solar power has introduced some issues of its own in the form of fluctuations and periodic outages of power. These instabilities are a risk to power reliability and quality provided to consumers.</w:t>
      </w:r>
    </w:p>
    <w:p w14:paraId="24B98FED" w14:textId="643986E0" w:rsidR="00114002" w:rsidRDefault="00114002" w:rsidP="00114002">
      <w:pPr>
        <w:pStyle w:val="ListParagraph"/>
        <w:spacing w:line="360" w:lineRule="auto"/>
        <w:ind w:left="0"/>
        <w:jc w:val="both"/>
      </w:pPr>
      <w:r>
        <w:t>To meet these challenges, the implementation of</w:t>
      </w:r>
      <w:r w:rsidR="002003F7">
        <w:t xml:space="preserve"> Energy Storage System</w:t>
      </w:r>
      <w:r>
        <w:t xml:space="preserve"> </w:t>
      </w:r>
      <w:r w:rsidR="002003F7">
        <w:t>(</w:t>
      </w:r>
      <w:r>
        <w:t>ESS</w:t>
      </w:r>
      <w:r w:rsidR="002003F7">
        <w:t>)</w:t>
      </w:r>
      <w:r>
        <w:t xml:space="preserve"> has been proposed as an effective solution. ESS technologies can store energy generated in excess during peak sun hours and dispense it during low generation or high demand times, essentially delivering a shot of adrenaline to grid stability and reliability. To be economical and effective, these systems must be optimized to the specific characteristics and constraints of the host electrical grid.</w:t>
      </w:r>
    </w:p>
    <w:p w14:paraId="7DD34E03" w14:textId="77777777" w:rsidR="00114002" w:rsidRDefault="00114002" w:rsidP="00114002">
      <w:pPr>
        <w:pStyle w:val="ListParagraph"/>
        <w:spacing w:line="360" w:lineRule="auto"/>
        <w:ind w:left="0"/>
        <w:jc w:val="both"/>
      </w:pPr>
      <w:r>
        <w:t>This research addresses this gap with a comprehensive techno-economic analysis of ESS integration in the model Palestinian village electricity grid. The study aims to find out the best type and size of storage technology based on technical performance parameters. Meanwhile, the study will also address economic factors in terms of initial capital outlay, operational and maintenance expenditures, and the potential for cost savings or generation of revenues in the long run.</w:t>
      </w:r>
    </w:p>
    <w:p w14:paraId="7EBED789" w14:textId="2E64BDE8" w:rsidR="00737D6A" w:rsidRPr="003024BD" w:rsidRDefault="00114002" w:rsidP="00114002">
      <w:pPr>
        <w:pStyle w:val="ListParagraph"/>
        <w:spacing w:line="360" w:lineRule="auto"/>
        <w:ind w:left="0"/>
        <w:jc w:val="both"/>
      </w:pPr>
      <w:r>
        <w:t>The end goal is to derive actionable results and policy recommendations for stakeholders on the cost-effective integration of energy storage systems. By doing so, the research enables informed decision-making processes and supports the overall mission of creating resilient and sustainable local energy systems.</w:t>
      </w:r>
    </w:p>
    <w:p w14:paraId="7FB2B1E0" w14:textId="77777777" w:rsidR="006436E6" w:rsidRPr="00415CD6" w:rsidRDefault="006436E6" w:rsidP="006352F0">
      <w:pPr>
        <w:pStyle w:val="ListParagraph"/>
        <w:spacing w:line="360" w:lineRule="auto"/>
        <w:rPr>
          <w:lang w:eastAsia="ar-SA" w:bidi="ar-JO"/>
        </w:rPr>
      </w:pPr>
    </w:p>
    <w:p w14:paraId="4E58DB04" w14:textId="005F88C4" w:rsidR="00097C94" w:rsidRDefault="00540A96" w:rsidP="00D556CC">
      <w:pPr>
        <w:pStyle w:val="Heading2"/>
        <w:spacing w:line="360" w:lineRule="auto"/>
        <w:rPr>
          <w:lang w:eastAsia="ar-SA" w:bidi="ar-JO"/>
        </w:rPr>
      </w:pPr>
      <w:bookmarkStart w:id="10" w:name="_Toc205672529"/>
      <w:r>
        <w:rPr>
          <w:lang w:eastAsia="ar-SA" w:bidi="ar-JO"/>
        </w:rPr>
        <w:t xml:space="preserve">1.3 </w:t>
      </w:r>
      <w:r w:rsidR="00415CD6" w:rsidRPr="003024BD">
        <w:rPr>
          <w:lang w:eastAsia="ar-SA" w:bidi="ar-JO"/>
        </w:rPr>
        <w:t xml:space="preserve">Study </w:t>
      </w:r>
      <w:r w:rsidR="00D556CC">
        <w:rPr>
          <w:lang w:eastAsia="ar-SA" w:bidi="ar-JO"/>
        </w:rPr>
        <w:t>H</w:t>
      </w:r>
      <w:r w:rsidR="00415CD6" w:rsidRPr="003024BD">
        <w:rPr>
          <w:lang w:eastAsia="ar-SA" w:bidi="ar-JO"/>
        </w:rPr>
        <w:t>ypothesis</w:t>
      </w:r>
      <w:bookmarkEnd w:id="10"/>
    </w:p>
    <w:p w14:paraId="06D0A1F9" w14:textId="11B5A0B1" w:rsidR="00FC6C4A" w:rsidRDefault="00FC6C4A" w:rsidP="00FC6C4A">
      <w:pPr>
        <w:spacing w:line="360" w:lineRule="auto"/>
        <w:jc w:val="both"/>
      </w:pPr>
      <w:r>
        <w:t xml:space="preserve">The integration of an ESS in an electrical grid at village-scale is anticipated to offer a safe and inexpensive answer to overcome the volatility of renewable sources of energy and enhance the overall efficiency of the </w:t>
      </w:r>
      <w:proofErr w:type="gramStart"/>
      <w:r>
        <w:t>grid as a whole</w:t>
      </w:r>
      <w:proofErr w:type="gramEnd"/>
      <w:r>
        <w:t>. The hypotheses are formed based on the problem statement:</w:t>
      </w:r>
    </w:p>
    <w:p w14:paraId="69FA512A" w14:textId="2ED73915" w:rsidR="00FC6C4A" w:rsidRDefault="00FC6C4A" w:rsidP="00FC6C4A">
      <w:pPr>
        <w:pStyle w:val="ListParagraph"/>
        <w:numPr>
          <w:ilvl w:val="0"/>
          <w:numId w:val="27"/>
        </w:numPr>
        <w:spacing w:line="360" w:lineRule="auto"/>
        <w:jc w:val="both"/>
      </w:pPr>
      <w:r>
        <w:lastRenderedPageBreak/>
        <w:t>A properly sized ESS should be able to effectively reduce peak power loads on the village grid and hence reduce the likelihood of power shortages during peak demand.</w:t>
      </w:r>
    </w:p>
    <w:p w14:paraId="3E437370" w14:textId="29FECBA5" w:rsidR="00FC6C4A" w:rsidRDefault="00FC6C4A" w:rsidP="00FC6C4A">
      <w:pPr>
        <w:pStyle w:val="ListParagraph"/>
        <w:numPr>
          <w:ilvl w:val="0"/>
          <w:numId w:val="27"/>
        </w:numPr>
        <w:spacing w:line="360" w:lineRule="auto"/>
        <w:jc w:val="both"/>
      </w:pPr>
      <w:r>
        <w:t>By holding excess energy generated during high solar generation times and releasing this when generation falls, the ESS can aid significantly in leveraging renewable energy resources.</w:t>
      </w:r>
    </w:p>
    <w:p w14:paraId="58B5DBBA" w14:textId="7E4E1C17" w:rsidR="00FC6C4A" w:rsidRDefault="00FC6C4A" w:rsidP="00FC6C4A">
      <w:pPr>
        <w:pStyle w:val="ListParagraph"/>
        <w:numPr>
          <w:ilvl w:val="0"/>
          <w:numId w:val="27"/>
        </w:numPr>
        <w:spacing w:line="360" w:lineRule="auto"/>
        <w:jc w:val="both"/>
      </w:pPr>
      <w:r>
        <w:t>Although capital and operational cost of deploying the ESS initially may be expensive, these will be recoverable through potential earnings from grid support services such as frequency regulation, peak shaving,</w:t>
      </w:r>
      <w:r w:rsidR="00D269EE">
        <w:t xml:space="preserve"> harmonic distortion,</w:t>
      </w:r>
      <w:r>
        <w:t xml:space="preserve"> and demand management.</w:t>
      </w:r>
    </w:p>
    <w:p w14:paraId="7262B330" w14:textId="3D011F40" w:rsidR="00097C94" w:rsidRPr="003024BD" w:rsidRDefault="00FC6C4A" w:rsidP="00FC6C4A">
      <w:pPr>
        <w:pStyle w:val="ListParagraph"/>
        <w:numPr>
          <w:ilvl w:val="0"/>
          <w:numId w:val="27"/>
        </w:numPr>
        <w:spacing w:line="360" w:lineRule="auto"/>
        <w:jc w:val="both"/>
      </w:pPr>
      <w:r>
        <w:t>The optimum selection of ESS system size and ESS technology would be to rely on the actual operating characteristics of the local grid, i.e., the degree of peak loads</w:t>
      </w:r>
      <w:r w:rsidR="00D269EE">
        <w:t>,</w:t>
      </w:r>
      <w:r>
        <w:t xml:space="preserve"> profile, and capacity for renewable generation</w:t>
      </w:r>
      <w:r w:rsidR="00097C94" w:rsidRPr="003024BD">
        <w:t>.</w:t>
      </w:r>
    </w:p>
    <w:p w14:paraId="38FE8956" w14:textId="77777777" w:rsidR="00737D6A" w:rsidRPr="00415CD6" w:rsidRDefault="00737D6A" w:rsidP="006352F0">
      <w:pPr>
        <w:spacing w:line="360" w:lineRule="auto"/>
        <w:jc w:val="both"/>
        <w:rPr>
          <w:lang w:eastAsia="ar-SA" w:bidi="ar-JO"/>
        </w:rPr>
      </w:pPr>
    </w:p>
    <w:p w14:paraId="2DE17568" w14:textId="572CE19C" w:rsidR="0060385C" w:rsidRDefault="00540A96" w:rsidP="00D556CC">
      <w:pPr>
        <w:pStyle w:val="Heading2"/>
        <w:spacing w:line="360" w:lineRule="auto"/>
        <w:jc w:val="both"/>
        <w:rPr>
          <w:lang w:eastAsia="ar-SA" w:bidi="ar-JO"/>
        </w:rPr>
      </w:pPr>
      <w:bookmarkStart w:id="11" w:name="_Toc205672530"/>
      <w:r>
        <w:rPr>
          <w:lang w:eastAsia="ar-SA" w:bidi="ar-JO"/>
        </w:rPr>
        <w:t xml:space="preserve">1.4 </w:t>
      </w:r>
      <w:r w:rsidR="00415CD6" w:rsidRPr="00415CD6">
        <w:rPr>
          <w:lang w:eastAsia="ar-SA" w:bidi="ar-JO"/>
        </w:rPr>
        <w:t>Importance of the study.</w:t>
      </w:r>
      <w:bookmarkEnd w:id="11"/>
    </w:p>
    <w:p w14:paraId="1F60E275" w14:textId="77777777" w:rsidR="00FC6C4A" w:rsidRDefault="00FC6C4A" w:rsidP="00FC6C4A">
      <w:pPr>
        <w:spacing w:line="360" w:lineRule="auto"/>
        <w:jc w:val="both"/>
        <w:rPr>
          <w:lang w:eastAsia="ar-SA" w:bidi="ar-JO"/>
        </w:rPr>
      </w:pPr>
      <w:r>
        <w:rPr>
          <w:lang w:eastAsia="ar-SA" w:bidi="ar-JO"/>
        </w:rPr>
        <w:t xml:space="preserve">The suggested techno-economic analysis of ESS integration in a village-level electrical grid is of the highest priority due to </w:t>
      </w:r>
      <w:proofErr w:type="gramStart"/>
      <w:r>
        <w:rPr>
          <w:lang w:eastAsia="ar-SA" w:bidi="ar-JO"/>
        </w:rPr>
        <w:t>a number of</w:t>
      </w:r>
      <w:proofErr w:type="gramEnd"/>
      <w:r>
        <w:rPr>
          <w:lang w:eastAsia="ar-SA" w:bidi="ar-JO"/>
        </w:rPr>
        <w:t xml:space="preserve"> technical, economic, and policy-level considerations:</w:t>
      </w:r>
    </w:p>
    <w:p w14:paraId="62DC7320" w14:textId="1D180176" w:rsidR="00FC6C4A" w:rsidRDefault="00FC6C4A" w:rsidP="00FC6C4A">
      <w:pPr>
        <w:pStyle w:val="ListParagraph"/>
        <w:numPr>
          <w:ilvl w:val="0"/>
          <w:numId w:val="28"/>
        </w:numPr>
        <w:spacing w:line="360" w:lineRule="auto"/>
        <w:jc w:val="both"/>
        <w:rPr>
          <w:lang w:eastAsia="ar-SA" w:bidi="ar-JO"/>
        </w:rPr>
      </w:pPr>
      <w:r>
        <w:rPr>
          <w:lang w:eastAsia="ar-SA" w:bidi="ar-JO"/>
        </w:rPr>
        <w:t>With increasing electricity demand, particularly in rural and semi-urban areas, the use of renewable energy sources has been an increasing necessity. However, the intermittence of solar and wind power often causes power fluctuations and momentary outages. Integration with an ESS can minimize these issues significantly by supplying a stable and continuous power output to satisfy local demands.</w:t>
      </w:r>
    </w:p>
    <w:p w14:paraId="3E397D8C" w14:textId="1786CE0C" w:rsidR="00FC6C4A" w:rsidRDefault="00FC6C4A" w:rsidP="00FC6C4A">
      <w:pPr>
        <w:pStyle w:val="ListParagraph"/>
        <w:numPr>
          <w:ilvl w:val="0"/>
          <w:numId w:val="28"/>
        </w:numPr>
        <w:spacing w:line="360" w:lineRule="auto"/>
        <w:jc w:val="both"/>
        <w:rPr>
          <w:lang w:eastAsia="ar-SA" w:bidi="ar-JO"/>
        </w:rPr>
      </w:pPr>
      <w:r>
        <w:rPr>
          <w:lang w:eastAsia="ar-SA" w:bidi="ar-JO"/>
        </w:rPr>
        <w:t xml:space="preserve">The storage plants can also be utilized to enhance the utilization of </w:t>
      </w:r>
      <w:r w:rsidR="00D269EE">
        <w:rPr>
          <w:lang w:eastAsia="ar-SA" w:bidi="ar-JO"/>
        </w:rPr>
        <w:t>renewable</w:t>
      </w:r>
      <w:r>
        <w:rPr>
          <w:lang w:eastAsia="ar-SA" w:bidi="ar-JO"/>
        </w:rPr>
        <w:t xml:space="preserve"> energy by storing the excess energy produced during the high-generation hours and releasing it when the generation is low. Apart from making the supply-demand profile more predictable, this also reduces the reliance on conventional fossil-fuel-based backup facilities, promoting the utilization of cleaner energy.</w:t>
      </w:r>
    </w:p>
    <w:p w14:paraId="3E92456B" w14:textId="4BC8F0A7" w:rsidR="00FC6C4A" w:rsidRDefault="00FC6C4A" w:rsidP="00FC6C4A">
      <w:pPr>
        <w:pStyle w:val="ListParagraph"/>
        <w:numPr>
          <w:ilvl w:val="0"/>
          <w:numId w:val="28"/>
        </w:numPr>
        <w:spacing w:line="360" w:lineRule="auto"/>
        <w:jc w:val="both"/>
        <w:rPr>
          <w:lang w:eastAsia="ar-SA" w:bidi="ar-JO"/>
        </w:rPr>
      </w:pPr>
      <w:r>
        <w:rPr>
          <w:lang w:eastAsia="ar-SA" w:bidi="ar-JO"/>
        </w:rPr>
        <w:lastRenderedPageBreak/>
        <w:t>One of the key benefits for improving grid reliability is the integration of ESS. Through the provision of instantaneous backup power during peak demand hours, disturbances, or outages, ESS provides power quality and reduces the economic cost of supply outages to the local communities.</w:t>
      </w:r>
    </w:p>
    <w:p w14:paraId="0C7DE062" w14:textId="76C50903" w:rsidR="00FC6C4A" w:rsidRDefault="00FC6C4A" w:rsidP="00FC6C4A">
      <w:pPr>
        <w:pStyle w:val="ListParagraph"/>
        <w:numPr>
          <w:ilvl w:val="0"/>
          <w:numId w:val="28"/>
        </w:numPr>
        <w:spacing w:line="360" w:lineRule="auto"/>
        <w:jc w:val="both"/>
        <w:rPr>
          <w:lang w:eastAsia="ar-SA" w:bidi="ar-JO"/>
        </w:rPr>
      </w:pPr>
      <w:r>
        <w:rPr>
          <w:lang w:eastAsia="ar-SA" w:bidi="ar-JO"/>
        </w:rPr>
        <w:t>While ESS solutions are typically capital-intensive, a techno-economic study in detail ensures the most cost-effective installation. This includes the determination of the optimal size, type, and operating policy of the ESS and thereby ensuring improved system performance at the lowest possible investment and maintenance cost.</w:t>
      </w:r>
    </w:p>
    <w:p w14:paraId="5FAC5A60" w14:textId="7FF7A9D4" w:rsidR="00737D6A" w:rsidRDefault="00FC6C4A" w:rsidP="00FC6C4A">
      <w:pPr>
        <w:pStyle w:val="ListParagraph"/>
        <w:numPr>
          <w:ilvl w:val="0"/>
          <w:numId w:val="28"/>
        </w:numPr>
        <w:spacing w:line="360" w:lineRule="auto"/>
        <w:jc w:val="both"/>
        <w:rPr>
          <w:lang w:eastAsia="ar-SA" w:bidi="ar-JO"/>
        </w:rPr>
      </w:pPr>
      <w:r>
        <w:rPr>
          <w:lang w:eastAsia="ar-SA" w:bidi="ar-JO"/>
        </w:rPr>
        <w:t>The research findings can give important comments to policy and regulatory measures required to promote the integration of ESS at the village level grid. These can vary from recommendations on financial incentives, subsidy policies, and regulatory reform that favor investment in energy storage plants</w:t>
      </w:r>
      <w:r w:rsidR="00737D6A" w:rsidRPr="003024BD">
        <w:rPr>
          <w:lang w:eastAsia="ar-SA" w:bidi="ar-JO"/>
        </w:rPr>
        <w:t>.</w:t>
      </w:r>
    </w:p>
    <w:p w14:paraId="701F8387" w14:textId="77777777" w:rsidR="0060385C" w:rsidRPr="00415CD6" w:rsidRDefault="0060385C" w:rsidP="006352F0">
      <w:pPr>
        <w:spacing w:line="360" w:lineRule="auto"/>
        <w:rPr>
          <w:lang w:eastAsia="ar-SA" w:bidi="ar-JO"/>
        </w:rPr>
      </w:pPr>
    </w:p>
    <w:p w14:paraId="75FB606C" w14:textId="5C2FFF63" w:rsidR="00097C94" w:rsidRDefault="00540A96" w:rsidP="00D556CC">
      <w:pPr>
        <w:pStyle w:val="Heading2"/>
        <w:spacing w:line="360" w:lineRule="auto"/>
        <w:rPr>
          <w:lang w:eastAsia="ar-SA" w:bidi="ar-JO"/>
        </w:rPr>
      </w:pPr>
      <w:bookmarkStart w:id="12" w:name="_Toc205672531"/>
      <w:r>
        <w:rPr>
          <w:lang w:eastAsia="ar-SA" w:bidi="ar-JO"/>
        </w:rPr>
        <w:t xml:space="preserve">1.5 </w:t>
      </w:r>
      <w:r w:rsidR="003505A3">
        <w:rPr>
          <w:lang w:eastAsia="ar-SA" w:bidi="ar-JO"/>
        </w:rPr>
        <w:t xml:space="preserve">Research </w:t>
      </w:r>
      <w:r w:rsidR="00415CD6" w:rsidRPr="00415CD6">
        <w:rPr>
          <w:lang w:eastAsia="ar-SA" w:bidi="ar-JO"/>
        </w:rPr>
        <w:t>Objectives.</w:t>
      </w:r>
      <w:bookmarkEnd w:id="12"/>
    </w:p>
    <w:p w14:paraId="336B04FB" w14:textId="77777777" w:rsidR="00BF618B" w:rsidRDefault="00BF618B" w:rsidP="00BF618B">
      <w:pPr>
        <w:spacing w:line="360" w:lineRule="auto"/>
        <w:jc w:val="both"/>
      </w:pPr>
      <w:r>
        <w:t>After the problem statement and research hypothesis, the following specific objectives are stated:</w:t>
      </w:r>
    </w:p>
    <w:p w14:paraId="2BAAD299" w14:textId="77777777" w:rsidR="00BF618B" w:rsidRDefault="00BF618B" w:rsidP="00BF618B">
      <w:pPr>
        <w:pStyle w:val="ListParagraph"/>
        <w:numPr>
          <w:ilvl w:val="0"/>
          <w:numId w:val="29"/>
        </w:numPr>
        <w:spacing w:line="360" w:lineRule="auto"/>
        <w:jc w:val="both"/>
      </w:pPr>
      <w:r>
        <w:t>To analyze and ascertain the precise requirements and operational constraints of the village electricity system, e.g., peak power demand, energy usage pattern, and viable renewable power generation.</w:t>
      </w:r>
    </w:p>
    <w:p w14:paraId="535E0103" w14:textId="77777777" w:rsidR="00BF618B" w:rsidRDefault="00BF618B" w:rsidP="00BF618B">
      <w:pPr>
        <w:pStyle w:val="ListParagraph"/>
        <w:numPr>
          <w:ilvl w:val="0"/>
          <w:numId w:val="29"/>
        </w:numPr>
        <w:spacing w:line="360" w:lineRule="auto"/>
        <w:jc w:val="both"/>
      </w:pPr>
      <w:r>
        <w:t>To compare various energy storage systems in their technical properties and to identify the optimum technology and system size to utilize for the village grid.</w:t>
      </w:r>
    </w:p>
    <w:p w14:paraId="5859AA3A" w14:textId="703F5FA1" w:rsidR="00BF618B" w:rsidRDefault="00BF618B" w:rsidP="00BF618B">
      <w:pPr>
        <w:pStyle w:val="ListParagraph"/>
        <w:numPr>
          <w:ilvl w:val="0"/>
          <w:numId w:val="29"/>
        </w:numPr>
        <w:spacing w:line="360" w:lineRule="auto"/>
        <w:jc w:val="both"/>
      </w:pPr>
      <w:r>
        <w:t xml:space="preserve">To examine the economic viability of ESS deployment by reviewing primary financial performance factors such as initial investment, running and maintenance cost, and potential revenue in the form of value-added grid services such as </w:t>
      </w:r>
      <w:r w:rsidR="00D269EE">
        <w:t>harmonic distortion</w:t>
      </w:r>
      <w:r>
        <w:t>, peak shaving, and demand response.</w:t>
      </w:r>
    </w:p>
    <w:p w14:paraId="62D9FB32" w14:textId="6E1AE475" w:rsidR="00E40054" w:rsidRDefault="00BF618B" w:rsidP="00E40054">
      <w:pPr>
        <w:pStyle w:val="ListParagraph"/>
        <w:numPr>
          <w:ilvl w:val="0"/>
          <w:numId w:val="29"/>
        </w:numPr>
        <w:spacing w:line="360" w:lineRule="auto"/>
        <w:jc w:val="both"/>
      </w:pPr>
      <w:r>
        <w:t>To assess the composite impact of ESS integration upon grid performance by peak load reductions, improved reliability, and ratio of renewable energy source utilization.</w:t>
      </w:r>
    </w:p>
    <w:p w14:paraId="644E321E" w14:textId="77777777" w:rsidR="00E40054" w:rsidRDefault="00E40054" w:rsidP="00E40054">
      <w:pPr>
        <w:spacing w:line="360" w:lineRule="auto"/>
        <w:jc w:val="both"/>
      </w:pPr>
    </w:p>
    <w:p w14:paraId="69596BEC" w14:textId="77777777" w:rsidR="00E40054" w:rsidRPr="00415CD6" w:rsidRDefault="00E40054" w:rsidP="00E40054">
      <w:pPr>
        <w:spacing w:line="360" w:lineRule="auto"/>
        <w:jc w:val="both"/>
      </w:pPr>
    </w:p>
    <w:p w14:paraId="76434A8E" w14:textId="68C4A5A0" w:rsidR="00415CD6" w:rsidRPr="00415CD6" w:rsidRDefault="00540A96" w:rsidP="00E40054">
      <w:pPr>
        <w:pStyle w:val="Heading2"/>
        <w:spacing w:line="360" w:lineRule="auto"/>
        <w:rPr>
          <w:lang w:eastAsia="ar-SA" w:bidi="ar-JO"/>
        </w:rPr>
      </w:pPr>
      <w:bookmarkStart w:id="13" w:name="_Toc205672532"/>
      <w:r>
        <w:rPr>
          <w:lang w:eastAsia="ar-SA" w:bidi="ar-JO"/>
        </w:rPr>
        <w:t xml:space="preserve">1.6 </w:t>
      </w:r>
      <w:r w:rsidR="00415CD6" w:rsidRPr="00415CD6">
        <w:rPr>
          <w:lang w:eastAsia="ar-SA" w:bidi="ar-JO"/>
        </w:rPr>
        <w:t>Literature review</w:t>
      </w:r>
      <w:bookmarkEnd w:id="13"/>
      <w:r w:rsidR="00415CD6" w:rsidRPr="00415CD6">
        <w:rPr>
          <w:lang w:eastAsia="ar-SA" w:bidi="ar-JO"/>
        </w:rPr>
        <w:t xml:space="preserve">  </w:t>
      </w:r>
    </w:p>
    <w:p w14:paraId="1FB82E15" w14:textId="0DC003B5" w:rsidR="006436E6" w:rsidRPr="00B241D7" w:rsidRDefault="006D1A6E" w:rsidP="00D556CC">
      <w:pPr>
        <w:spacing w:line="360" w:lineRule="auto"/>
        <w:jc w:val="both"/>
        <w:rPr>
          <w:lang w:eastAsia="ar-SA" w:bidi="ar-JO"/>
        </w:rPr>
      </w:pPr>
      <w:r w:rsidRPr="006D1A6E">
        <w:t xml:space="preserve">Some scholars investigated the implementation of photovoltaic (PV) systems linked to the electrical grid and the energy storage systems. </w:t>
      </w:r>
      <w:r w:rsidR="00303508" w:rsidRPr="00303508">
        <w:t>T</w:t>
      </w:r>
      <w:r w:rsidRPr="006D1A6E">
        <w:t>ransient stability assessment of hybrid grid-connected battery-PV configurations</w:t>
      </w:r>
      <w:r w:rsidR="00303508">
        <w:t xml:space="preserve"> were conducted</w:t>
      </w:r>
      <w:r w:rsidRPr="006D1A6E">
        <w:t xml:space="preserve"> within the </w:t>
      </w:r>
      <w:proofErr w:type="spellStart"/>
      <w:r w:rsidRPr="006D1A6E">
        <w:t>Baubau</w:t>
      </w:r>
      <w:proofErr w:type="spellEnd"/>
      <w:r w:rsidRPr="006D1A6E">
        <w:t xml:space="preserve"> power system. Based on the findings of the assessment regarding the influence of PV on-grid integration with the PLN electricity infrastructure in the </w:t>
      </w:r>
      <w:proofErr w:type="spellStart"/>
      <w:r w:rsidRPr="006D1A6E">
        <w:t>Baubau</w:t>
      </w:r>
      <w:proofErr w:type="spellEnd"/>
      <w:r w:rsidRPr="006D1A6E">
        <w:t xml:space="preserve"> system, it can be deduced that:</w:t>
      </w:r>
    </w:p>
    <w:p w14:paraId="012A077D" w14:textId="4843F633" w:rsidR="006436E6" w:rsidRPr="006D1A6E" w:rsidRDefault="006D1A6E" w:rsidP="006D1A6E">
      <w:pPr>
        <w:pStyle w:val="ListParagraph"/>
        <w:numPr>
          <w:ilvl w:val="0"/>
          <w:numId w:val="2"/>
        </w:numPr>
        <w:spacing w:line="360" w:lineRule="auto"/>
        <w:jc w:val="both"/>
        <w:rPr>
          <w:rFonts w:eastAsia="Calibri"/>
        </w:rPr>
      </w:pPr>
      <w:r w:rsidRPr="006D1A6E">
        <w:rPr>
          <w:rFonts w:eastAsia="Calibri"/>
        </w:rPr>
        <w:t xml:space="preserve">The implementation of 10 </w:t>
      </w:r>
      <w:proofErr w:type="spellStart"/>
      <w:r w:rsidRPr="006D1A6E">
        <w:rPr>
          <w:rFonts w:eastAsia="Calibri"/>
        </w:rPr>
        <w:t>MWac</w:t>
      </w:r>
      <w:proofErr w:type="spellEnd"/>
      <w:r w:rsidRPr="006D1A6E">
        <w:rPr>
          <w:rFonts w:eastAsia="Calibri"/>
        </w:rPr>
        <w:t xml:space="preserve"> photovoltaic systems in conjunction with 4 MWh energy storage solutions within the </w:t>
      </w:r>
      <w:proofErr w:type="spellStart"/>
      <w:r w:rsidRPr="006D1A6E">
        <w:rPr>
          <w:rFonts w:eastAsia="Calibri"/>
        </w:rPr>
        <w:t>Baubau</w:t>
      </w:r>
      <w:proofErr w:type="spellEnd"/>
      <w:r w:rsidRPr="006D1A6E">
        <w:rPr>
          <w:rFonts w:eastAsia="Calibri"/>
        </w:rPr>
        <w:t xml:space="preserve"> framework did not adversely affect the overall stability of the system; this has been evidenced by the outcomes of power flow simulations and 80% lean down simulations</w:t>
      </w:r>
      <w:r w:rsidR="006436E6" w:rsidRPr="009765EA">
        <w:rPr>
          <w:rFonts w:eastAsia="Calibri"/>
        </w:rPr>
        <w:t>.</w:t>
      </w:r>
    </w:p>
    <w:p w14:paraId="446DF77D" w14:textId="77777777" w:rsidR="006436E6" w:rsidRPr="009765EA" w:rsidRDefault="006436E6" w:rsidP="006352F0">
      <w:pPr>
        <w:pStyle w:val="ListParagraph"/>
        <w:numPr>
          <w:ilvl w:val="0"/>
          <w:numId w:val="2"/>
        </w:numPr>
        <w:spacing w:line="360" w:lineRule="auto"/>
        <w:jc w:val="both"/>
        <w:rPr>
          <w:rFonts w:eastAsia="Calibri"/>
        </w:rPr>
      </w:pPr>
      <w:r w:rsidRPr="009765EA">
        <w:rPr>
          <w:rFonts w:eastAsia="Calibri"/>
        </w:rPr>
        <w:t xml:space="preserve">The operation of the 10 </w:t>
      </w:r>
      <w:proofErr w:type="spellStart"/>
      <w:r w:rsidRPr="009765EA">
        <w:rPr>
          <w:rFonts w:eastAsia="Calibri"/>
        </w:rPr>
        <w:t>MWac</w:t>
      </w:r>
      <w:proofErr w:type="spellEnd"/>
      <w:r w:rsidRPr="009765EA">
        <w:rPr>
          <w:rFonts w:eastAsia="Calibri"/>
        </w:rPr>
        <w:t xml:space="preserve"> PV on the electricity network in the </w:t>
      </w:r>
      <w:proofErr w:type="spellStart"/>
      <w:r w:rsidRPr="009765EA">
        <w:rPr>
          <w:rFonts w:eastAsia="Calibri"/>
        </w:rPr>
        <w:t>Baubau</w:t>
      </w:r>
      <w:proofErr w:type="spellEnd"/>
      <w:r w:rsidRPr="009765EA">
        <w:rPr>
          <w:rFonts w:eastAsia="Calibri"/>
        </w:rPr>
        <w:t xml:space="preserve"> area will increase the power capacity and installed power of the plant.</w:t>
      </w:r>
    </w:p>
    <w:p w14:paraId="49BC4F47" w14:textId="77777777" w:rsidR="006436E6" w:rsidRDefault="006436E6" w:rsidP="006352F0">
      <w:pPr>
        <w:pStyle w:val="ListParagraph"/>
        <w:numPr>
          <w:ilvl w:val="0"/>
          <w:numId w:val="2"/>
        </w:numPr>
        <w:spacing w:line="360" w:lineRule="auto"/>
        <w:jc w:val="both"/>
        <w:rPr>
          <w:rFonts w:eastAsia="Calibri"/>
        </w:rPr>
      </w:pPr>
      <w:r w:rsidRPr="009765EA">
        <w:rPr>
          <w:rFonts w:eastAsia="Calibri"/>
        </w:rPr>
        <w:t xml:space="preserve">The reduced operating hours of the 30 MW Gas Power will reduce fuel consumption and will reduce the </w:t>
      </w:r>
      <w:proofErr w:type="gramStart"/>
      <w:r w:rsidRPr="009765EA">
        <w:rPr>
          <w:rFonts w:eastAsia="Calibri"/>
        </w:rPr>
        <w:t>f generating electricity</w:t>
      </w:r>
      <w:proofErr w:type="gramEnd"/>
      <w:r w:rsidRPr="009765EA">
        <w:rPr>
          <w:rFonts w:eastAsia="Calibri"/>
        </w:rPr>
        <w:t xml:space="preserve"> in the </w:t>
      </w:r>
      <w:proofErr w:type="spellStart"/>
      <w:r w:rsidRPr="009765EA">
        <w:rPr>
          <w:rFonts w:eastAsia="Calibri"/>
        </w:rPr>
        <w:t>Baubau</w:t>
      </w:r>
      <w:proofErr w:type="spellEnd"/>
      <w:r w:rsidRPr="009765EA">
        <w:rPr>
          <w:rFonts w:eastAsia="Calibri"/>
        </w:rPr>
        <w:t xml:space="preserve"> system.</w:t>
      </w:r>
    </w:p>
    <w:p w14:paraId="49D33AC2" w14:textId="7644A050" w:rsidR="006436E6" w:rsidRPr="00D556CC" w:rsidRDefault="00A22A8F" w:rsidP="00D556CC">
      <w:pPr>
        <w:pStyle w:val="ListParagraph"/>
        <w:numPr>
          <w:ilvl w:val="0"/>
          <w:numId w:val="2"/>
        </w:numPr>
        <w:spacing w:line="360" w:lineRule="auto"/>
        <w:jc w:val="both"/>
        <w:rPr>
          <w:rFonts w:eastAsia="Calibri"/>
          <w:rtl/>
        </w:rPr>
      </w:pPr>
      <w:r>
        <w:rPr>
          <w:rFonts w:eastAsia="Calibri"/>
        </w:rPr>
        <w:t xml:space="preserve">The </w:t>
      </w:r>
      <w:r w:rsidRPr="009765EA">
        <w:rPr>
          <w:rFonts w:eastAsia="Calibri"/>
        </w:rPr>
        <w:t xml:space="preserve">electric energy </w:t>
      </w:r>
      <w:proofErr w:type="gramStart"/>
      <w:r w:rsidRPr="009765EA">
        <w:rPr>
          <w:rFonts w:eastAsia="Calibri"/>
        </w:rPr>
        <w:t>mix</w:t>
      </w:r>
      <w:proofErr w:type="gramEnd"/>
      <w:r w:rsidRPr="009765EA">
        <w:rPr>
          <w:rFonts w:eastAsia="Calibri"/>
        </w:rPr>
        <w:t xml:space="preserve"> from renewable </w:t>
      </w:r>
      <w:proofErr w:type="gramStart"/>
      <w:r w:rsidRPr="009765EA">
        <w:rPr>
          <w:rFonts w:eastAsia="Calibri"/>
        </w:rPr>
        <w:t>energy</w:t>
      </w:r>
      <w:proofErr w:type="gramEnd"/>
      <w:r w:rsidRPr="009765EA">
        <w:rPr>
          <w:rFonts w:eastAsia="Calibri"/>
        </w:rPr>
        <w:t xml:space="preserve"> especially in the </w:t>
      </w:r>
      <w:proofErr w:type="spellStart"/>
      <w:r w:rsidRPr="009765EA">
        <w:rPr>
          <w:rFonts w:eastAsia="Calibri"/>
        </w:rPr>
        <w:t>Baubau</w:t>
      </w:r>
      <w:proofErr w:type="spellEnd"/>
      <w:r w:rsidRPr="009765EA">
        <w:rPr>
          <w:rFonts w:eastAsia="Calibri"/>
        </w:rPr>
        <w:t xml:space="preserve"> </w:t>
      </w:r>
      <w:proofErr w:type="gramStart"/>
      <w:r w:rsidRPr="009765EA">
        <w:rPr>
          <w:rFonts w:eastAsia="Calibri"/>
        </w:rPr>
        <w:t>system</w:t>
      </w:r>
      <w:proofErr w:type="gramEnd"/>
      <w:r w:rsidRPr="009765EA">
        <w:rPr>
          <w:rFonts w:eastAsia="Calibri"/>
        </w:rPr>
        <w:t xml:space="preserve"> will increase by up to 20% </w:t>
      </w:r>
      <w:r w:rsidR="00B90F66">
        <w:rPr>
          <w:rFonts w:eastAsia="Calibri"/>
        </w:rPr>
        <w:t>[5].</w:t>
      </w:r>
    </w:p>
    <w:p w14:paraId="3333BCF7" w14:textId="0BAA6075" w:rsidR="00FB5038" w:rsidRDefault="00303508" w:rsidP="00455B23">
      <w:pPr>
        <w:spacing w:line="360" w:lineRule="auto"/>
        <w:jc w:val="both"/>
        <w:rPr>
          <w:lang w:eastAsia="ar-SA" w:bidi="ar-JO"/>
        </w:rPr>
      </w:pPr>
      <w:r>
        <w:rPr>
          <w:lang w:eastAsia="ar-SA" w:bidi="ar-JO"/>
        </w:rPr>
        <w:t>T</w:t>
      </w:r>
      <w:r w:rsidR="006436E6" w:rsidRPr="00B241D7">
        <w:rPr>
          <w:lang w:eastAsia="ar-SA" w:bidi="ar-JO"/>
        </w:rPr>
        <w:t xml:space="preserve">he </w:t>
      </w:r>
      <w:r>
        <w:rPr>
          <w:lang w:eastAsia="ar-SA" w:bidi="ar-JO"/>
        </w:rPr>
        <w:t>connection of</w:t>
      </w:r>
      <w:r w:rsidR="006436E6" w:rsidRPr="00B241D7">
        <w:rPr>
          <w:lang w:eastAsia="ar-SA" w:bidi="ar-JO"/>
        </w:rPr>
        <w:t xml:space="preserve"> PV system to the electrical grid </w:t>
      </w:r>
      <w:r>
        <w:rPr>
          <w:lang w:eastAsia="ar-SA" w:bidi="ar-JO"/>
        </w:rPr>
        <w:t xml:space="preserve">was studied </w:t>
      </w:r>
      <w:r w:rsidR="006436E6" w:rsidRPr="00B241D7">
        <w:rPr>
          <w:lang w:eastAsia="ar-SA" w:bidi="ar-JO"/>
        </w:rPr>
        <w:t xml:space="preserve">from </w:t>
      </w:r>
      <w:r w:rsidR="00455B23" w:rsidRPr="00B241D7">
        <w:rPr>
          <w:lang w:eastAsia="ar-SA" w:bidi="ar-JO"/>
        </w:rPr>
        <w:t>a technical</w:t>
      </w:r>
      <w:r w:rsidR="006436E6" w:rsidRPr="00B241D7">
        <w:rPr>
          <w:lang w:eastAsia="ar-SA" w:bidi="ar-JO"/>
        </w:rPr>
        <w:t xml:space="preserve"> point</w:t>
      </w:r>
      <w:r w:rsidR="0060385C">
        <w:rPr>
          <w:lang w:eastAsia="ar-SA" w:bidi="ar-JO"/>
        </w:rPr>
        <w:t xml:space="preserve"> of view</w:t>
      </w:r>
      <w:r w:rsidR="006436E6" w:rsidRPr="00B241D7">
        <w:rPr>
          <w:lang w:eastAsia="ar-SA" w:bidi="ar-JO"/>
        </w:rPr>
        <w:t xml:space="preserve">. </w:t>
      </w:r>
      <w:r w:rsidR="00455B23">
        <w:rPr>
          <w:lang w:eastAsia="ar-SA" w:bidi="ar-JO"/>
        </w:rPr>
        <w:t xml:space="preserve">The integration of PV systems into electrical grids presents various operational challenges, primarily due to the intermittent and variable nature of solar energy. These challenges affect critical aspects of grid performance, including system stability, protection mechanisms, and overall network management. The complexity of these impacts is significantly heightened in weak or islanded grids, where system resilience is already limited. To effectively determine suitable PV penetration levels and understand the influence of distributed solar generation on the distribution network, a comprehensive understanding of the associated technical constraints is essential. This also enables the identification of both technical and economic opportunities associated with PV deployment. This study provides a detailed analysis of the effects that PV system integration can have on grid performance, focusing on phenomena such as voltage and frequency fluctuations, as well as voltage imbalance. In response to these issues, the paper </w:t>
      </w:r>
      <w:r w:rsidR="00455B23">
        <w:rPr>
          <w:lang w:eastAsia="ar-SA" w:bidi="ar-JO"/>
        </w:rPr>
        <w:lastRenderedPageBreak/>
        <w:t xml:space="preserve">explores a range of mitigation strategies, including advanced control techniques, enhanced protection systems, and the incorporation of energy storage solutions. These approaches aim to minimize adverse effects, enhance the ancillary services provided by PV systems, and ensure the continued stability and reliability of the electrical grid </w:t>
      </w:r>
      <w:r w:rsidR="00B90F66">
        <w:rPr>
          <w:lang w:eastAsia="ar-SA" w:bidi="ar-JO"/>
        </w:rPr>
        <w:t>[6].</w:t>
      </w:r>
    </w:p>
    <w:p w14:paraId="082309A2" w14:textId="128525E2" w:rsidR="00FB5038" w:rsidRPr="00303508" w:rsidRDefault="00303508" w:rsidP="00E40054">
      <w:pPr>
        <w:spacing w:line="360" w:lineRule="auto"/>
        <w:jc w:val="both"/>
        <w:rPr>
          <w:lang w:eastAsia="ar-SA" w:bidi="ar-JO"/>
        </w:rPr>
      </w:pPr>
      <w:r w:rsidRPr="00303508">
        <w:rPr>
          <w:lang w:eastAsia="ar-SA" w:bidi="ar-JO"/>
        </w:rPr>
        <w:t xml:space="preserve">A </w:t>
      </w:r>
      <w:r w:rsidR="006436E6" w:rsidRPr="00303508">
        <w:rPr>
          <w:lang w:eastAsia="ar-SA" w:bidi="ar-JO"/>
        </w:rPr>
        <w:t>study on the distributed generating</w:t>
      </w:r>
      <w:r w:rsidRPr="00303508">
        <w:rPr>
          <w:lang w:eastAsia="ar-SA" w:bidi="ar-JO"/>
        </w:rPr>
        <w:t xml:space="preserve"> was performed</w:t>
      </w:r>
      <w:r w:rsidR="006436E6" w:rsidRPr="00303508">
        <w:rPr>
          <w:lang w:eastAsia="ar-SA" w:bidi="ar-JO"/>
        </w:rPr>
        <w:t xml:space="preserve">. </w:t>
      </w:r>
      <w:r w:rsidR="008D2EFD" w:rsidRPr="00303508">
        <w:rPr>
          <w:lang w:eastAsia="ar-SA" w:bidi="ar-JO"/>
        </w:rPr>
        <w:t xml:space="preserve">This study investigated how small-scale electricity producers affect power loss and voltage behavior in low-voltage distribution networks. Using a combination of simulation work in Python and practical data analysis, it became clear that having PV systems on the network can help lower distribution losses and improve voltage consistency, at least up to a point. Specifically, when PV capacity stays between 1 and 3 </w:t>
      </w:r>
      <w:proofErr w:type="spellStart"/>
      <w:r w:rsidR="008D2EFD" w:rsidRPr="00303508">
        <w:rPr>
          <w:lang w:eastAsia="ar-SA" w:bidi="ar-JO"/>
        </w:rPr>
        <w:t>kWp</w:t>
      </w:r>
      <w:proofErr w:type="spellEnd"/>
      <w:r w:rsidR="008D2EFD" w:rsidRPr="00303508">
        <w:rPr>
          <w:lang w:eastAsia="ar-SA" w:bidi="ar-JO"/>
        </w:rPr>
        <w:t xml:space="preserve">, the system seems to benefit the most. However, going beyond 3 </w:t>
      </w:r>
      <w:proofErr w:type="spellStart"/>
      <w:r w:rsidR="008D2EFD" w:rsidRPr="00303508">
        <w:rPr>
          <w:lang w:eastAsia="ar-SA" w:bidi="ar-JO"/>
        </w:rPr>
        <w:t>kWp</w:t>
      </w:r>
      <w:proofErr w:type="spellEnd"/>
      <w:r w:rsidR="008D2EFD" w:rsidRPr="00303508">
        <w:rPr>
          <w:lang w:eastAsia="ar-SA" w:bidi="ar-JO"/>
        </w:rPr>
        <w:t xml:space="preserve"> starts to increase losses, in some cases even more than what a regular grid without PV would produce. It’s worth noting that these conclusions are based on a few assumptions, like constant solar input, unlimited grid support, normal transformer tap positions, and fixed load profiles. The more technical effects, like transformer characteristics or line capacitance, weren’t factored in. Even so, the presence of prosumers—anywhere from 1 to 6 </w:t>
      </w:r>
      <w:proofErr w:type="spellStart"/>
      <w:r w:rsidR="008D2EFD" w:rsidRPr="00303508">
        <w:rPr>
          <w:lang w:eastAsia="ar-SA" w:bidi="ar-JO"/>
        </w:rPr>
        <w:t>kWp</w:t>
      </w:r>
      <w:proofErr w:type="spellEnd"/>
      <w:r w:rsidR="008D2EFD" w:rsidRPr="00303508">
        <w:rPr>
          <w:lang w:eastAsia="ar-SA" w:bidi="ar-JO"/>
        </w:rPr>
        <w:t xml:space="preserve">—didn’t push voltage levels beyond accepted limits, whether measured against NEC’s ±5%, Europe’s EN 50160 standard, or Ghana’s own ±5% threshold. That’s an important finding for energy planners, especially in markets where utility companies and private energy producers often have conflicting interests. This research gives those managing the grid a reason to consider residential and small commercial solar power as part of the solution to energy losses. That said, one key limitation remains: when the main grid goes offline, these PV systems can’t supply power on their own. So, future studies should </w:t>
      </w:r>
      <w:proofErr w:type="gramStart"/>
      <w:r w:rsidR="008D2EFD" w:rsidRPr="00303508">
        <w:rPr>
          <w:lang w:eastAsia="ar-SA" w:bidi="ar-JO"/>
        </w:rPr>
        <w:t>definitely explore</w:t>
      </w:r>
      <w:proofErr w:type="gramEnd"/>
      <w:r w:rsidR="008D2EFD" w:rsidRPr="00303508">
        <w:rPr>
          <w:lang w:eastAsia="ar-SA" w:bidi="ar-JO"/>
        </w:rPr>
        <w:t xml:space="preserve"> how to make local PV generation useful during outages too </w:t>
      </w:r>
      <w:r w:rsidR="00B90F66" w:rsidRPr="00303508">
        <w:rPr>
          <w:lang w:eastAsia="ar-SA" w:bidi="ar-JO"/>
        </w:rPr>
        <w:t>[7].</w:t>
      </w:r>
    </w:p>
    <w:p w14:paraId="6F662D2E" w14:textId="5F79A91E" w:rsidR="00FB5038" w:rsidRDefault="00303508" w:rsidP="00196236">
      <w:pPr>
        <w:spacing w:line="360" w:lineRule="auto"/>
        <w:jc w:val="both"/>
        <w:rPr>
          <w:rtl/>
          <w:lang w:eastAsia="ar-SA" w:bidi="ar-JO"/>
        </w:rPr>
      </w:pPr>
      <w:r>
        <w:rPr>
          <w:lang w:eastAsia="ar-SA" w:bidi="ar-JO"/>
        </w:rPr>
        <w:t>The use of</w:t>
      </w:r>
      <w:r w:rsidR="006436E6" w:rsidRPr="00B241D7">
        <w:rPr>
          <w:lang w:eastAsia="ar-SA" w:bidi="ar-JO"/>
        </w:rPr>
        <w:t xml:space="preserve"> batteries with on</w:t>
      </w:r>
      <w:r w:rsidR="0060385C">
        <w:rPr>
          <w:lang w:eastAsia="ar-SA" w:bidi="ar-JO"/>
        </w:rPr>
        <w:t>-</w:t>
      </w:r>
      <w:r w:rsidR="006436E6" w:rsidRPr="00B241D7">
        <w:rPr>
          <w:lang w:eastAsia="ar-SA" w:bidi="ar-JO"/>
        </w:rPr>
        <w:t>grid PV system</w:t>
      </w:r>
      <w:r>
        <w:rPr>
          <w:lang w:eastAsia="ar-SA" w:bidi="ar-JO"/>
        </w:rPr>
        <w:t xml:space="preserve"> was analyzed</w:t>
      </w:r>
      <w:r w:rsidR="006436E6" w:rsidRPr="00B241D7">
        <w:rPr>
          <w:lang w:eastAsia="ar-SA" w:bidi="ar-JO"/>
        </w:rPr>
        <w:t xml:space="preserve">. </w:t>
      </w:r>
      <w:r w:rsidR="008D2EFD" w:rsidRPr="008D2EFD">
        <w:rPr>
          <w:lang w:eastAsia="ar-SA" w:bidi="ar-JO"/>
        </w:rPr>
        <w:t xml:space="preserve">The study focuses on finding a practical and affordable energy solution for a household in Larkana, Pakistan, where power outages are a regular challenge. Using HOMER Pro© software, researchers explored different system setups to identify one that balances cost and reliability. They considered several real-life factors in the modeling process, including both scheduled and unscheduled blackouts, fluctuations in ambient temperature, and the effect of PV panel tilt angle on energy output. The household’s electricity needs were estimated at around </w:t>
      </w:r>
      <w:r w:rsidR="008D2EFD" w:rsidRPr="008D2EFD">
        <w:rPr>
          <w:lang w:eastAsia="ar-SA" w:bidi="ar-JO"/>
        </w:rPr>
        <w:lastRenderedPageBreak/>
        <w:t>13.2 kWh per day for regular use, with an additional 0.52 kWh/day of deferrable load and a peak demand of 0.6 kW. Results showed that relying on the unreliable grid combined with battery storage alone is roughly 48% more expensive per unit of energy than using a system that pairs solar power with the grid. Overall, the hybrid setup was found to be not only more economical but also more environmentally sound than the standalone grid-and-battery option</w:t>
      </w:r>
      <w:r w:rsidR="008D2EFD">
        <w:rPr>
          <w:lang w:eastAsia="ar-SA" w:bidi="ar-JO"/>
        </w:rPr>
        <w:t xml:space="preserve"> </w:t>
      </w:r>
      <w:r w:rsidR="00B90F66">
        <w:rPr>
          <w:lang w:eastAsia="ar-SA" w:bidi="ar-JO"/>
        </w:rPr>
        <w:t>[8].</w:t>
      </w:r>
    </w:p>
    <w:p w14:paraId="5F15C75B" w14:textId="072CF941" w:rsidR="00FB5038" w:rsidRDefault="00303508" w:rsidP="00097E8C">
      <w:pPr>
        <w:spacing w:line="360" w:lineRule="auto"/>
        <w:jc w:val="both"/>
        <w:rPr>
          <w:lang w:eastAsia="ar-SA" w:bidi="ar-JO"/>
        </w:rPr>
      </w:pPr>
      <w:r>
        <w:rPr>
          <w:lang w:eastAsia="ar-SA" w:bidi="ar-JO"/>
        </w:rPr>
        <w:t>T</w:t>
      </w:r>
      <w:r w:rsidR="00097E8C" w:rsidRPr="00097E8C">
        <w:rPr>
          <w:lang w:eastAsia="ar-SA" w:bidi="ar-JO"/>
        </w:rPr>
        <w:t>he feasibility of installing a 1 MWp grid-connected PV system on a university campus in Malaysia</w:t>
      </w:r>
      <w:r>
        <w:rPr>
          <w:lang w:eastAsia="ar-SA" w:bidi="ar-JO"/>
        </w:rPr>
        <w:t xml:space="preserve"> was </w:t>
      </w:r>
      <w:proofErr w:type="spellStart"/>
      <w:r>
        <w:rPr>
          <w:lang w:eastAsia="ar-SA" w:bidi="ar-JO"/>
        </w:rPr>
        <w:t>analayzed</w:t>
      </w:r>
      <w:proofErr w:type="spellEnd"/>
      <w:r w:rsidR="00097E8C" w:rsidRPr="00097E8C">
        <w:rPr>
          <w:lang w:eastAsia="ar-SA" w:bidi="ar-JO"/>
        </w:rPr>
        <w:t xml:space="preserve">. The findings, based on simulation results, offer several key insights. The annual energy output of the proposed PV system was estimated at approximately 1,390 MWh. Interestingly, when comparing results from PVGIS and </w:t>
      </w:r>
      <w:proofErr w:type="spellStart"/>
      <w:r w:rsidR="00097E8C" w:rsidRPr="00097E8C">
        <w:rPr>
          <w:lang w:eastAsia="ar-SA" w:bidi="ar-JO"/>
        </w:rPr>
        <w:t>PVWatts</w:t>
      </w:r>
      <w:proofErr w:type="spellEnd"/>
      <w:r w:rsidR="00097E8C" w:rsidRPr="00097E8C">
        <w:rPr>
          <w:lang w:eastAsia="ar-SA" w:bidi="ar-JO"/>
        </w:rPr>
        <w:t xml:space="preserve">, the outputs were nearly identical, differing by only about 2–3%. It was also determined that a 20 MW solar farm, occupying just 12 hectares of land, would be sufficient to meet the entire energy demand of the UMP-Pekan campus—surpassing the global benchmark of 1 MW per 2 hectares in terms of land-use efficiency. Investing in solar infrastructure would allow the university to make meaningful progress toward its sustainability goals, including a reduction in greenhouse gas emissions and its overall carbon footprint. Financially, the project is projected to cover around 5% of the </w:t>
      </w:r>
      <w:proofErr w:type="gramStart"/>
      <w:r w:rsidR="00097E8C" w:rsidRPr="00097E8C">
        <w:rPr>
          <w:lang w:eastAsia="ar-SA" w:bidi="ar-JO"/>
        </w:rPr>
        <w:t>campus’s</w:t>
      </w:r>
      <w:proofErr w:type="gramEnd"/>
      <w:r w:rsidR="00097E8C" w:rsidRPr="00097E8C">
        <w:rPr>
          <w:lang w:eastAsia="ar-SA" w:bidi="ar-JO"/>
        </w:rPr>
        <w:t xml:space="preserve"> daytime energy needs and could generate annual savings of approximately RM 700,699. Over its lifetime, the PV plant is expected to offset around 173,318 tons of CO₂ emissions—an impressive figure when compared to conventional fossil-fuel-based generation. The comparative analysis also suggests that both UMP-Pekan and UMP-Gambang campuses are well-suited for solar PV installations, given the high predicted energy yields. However, the study emphasizes the need for future work to validate the simulation results with real-world performance data and to explore the potential for scaling up the system to meet the entirety of the university's energy demand. </w:t>
      </w:r>
      <w:r w:rsidR="00B90F66">
        <w:rPr>
          <w:lang w:eastAsia="ar-SA" w:bidi="ar-JO"/>
        </w:rPr>
        <w:t>[9]</w:t>
      </w:r>
      <w:r w:rsidR="003E1C3B">
        <w:rPr>
          <w:lang w:eastAsia="ar-SA" w:bidi="ar-JO"/>
        </w:rPr>
        <w:t>.</w:t>
      </w:r>
    </w:p>
    <w:p w14:paraId="6438EB7C" w14:textId="222BABB2" w:rsidR="00FB5038" w:rsidRDefault="00D86A26" w:rsidP="00196236">
      <w:pPr>
        <w:spacing w:line="360" w:lineRule="auto"/>
        <w:jc w:val="both"/>
        <w:rPr>
          <w:lang w:eastAsia="ar-SA" w:bidi="ar-JO"/>
        </w:rPr>
      </w:pPr>
      <w:r w:rsidRPr="00D86A26">
        <w:rPr>
          <w:lang w:eastAsia="ar-SA" w:bidi="ar-JO"/>
        </w:rPr>
        <w:t>In a conference presentation, the role of battery energy storage in grid-connected PV systems</w:t>
      </w:r>
      <w:r w:rsidR="00303508">
        <w:rPr>
          <w:lang w:eastAsia="ar-SA" w:bidi="ar-JO"/>
        </w:rPr>
        <w:t xml:space="preserve"> was explored</w:t>
      </w:r>
      <w:r w:rsidRPr="00D86A26">
        <w:rPr>
          <w:lang w:eastAsia="ar-SA" w:bidi="ar-JO"/>
        </w:rPr>
        <w:t xml:space="preserve">, supported by experimental results from a small-scale prototype. The study introduced and tested a novel approach, where batteries are integrated in parallel with selected modular components of the PV array—whether at the level of individual strings, modules, or even cells. When strategically placed and appropriately sized in terms of voltage and capacity, these batteries can effectively track the maximum </w:t>
      </w:r>
      <w:r w:rsidRPr="00D86A26">
        <w:rPr>
          <w:lang w:eastAsia="ar-SA" w:bidi="ar-JO"/>
        </w:rPr>
        <w:lastRenderedPageBreak/>
        <w:t>power point (MPP) of each component. This configuration not only enhances energy capture but also helps mitigate the effects of mismatch losses. The approach is proposed as a promising alternative to conventional designs that rely on multiple DC-DC converters connected to each module. In addition to improving energy harvesting, the inclusion of an</w:t>
      </w:r>
      <w:r>
        <w:rPr>
          <w:lang w:eastAsia="ar-SA" w:bidi="ar-JO"/>
        </w:rPr>
        <w:t xml:space="preserve"> ESS</w:t>
      </w:r>
      <w:r w:rsidRPr="00D86A26">
        <w:rPr>
          <w:lang w:eastAsia="ar-SA" w:bidi="ar-JO"/>
        </w:rPr>
        <w:t xml:space="preserve"> adds several practical benefits to grid-connected PV plants. These include increased grid support through better power availability, peak load shaving, reduced reliance on UPS, and simplified integration with other renewable energy sources—features that are not typically present in traditional PV grid systems.</w:t>
      </w:r>
      <w:r w:rsidR="00B90F66">
        <w:rPr>
          <w:lang w:eastAsia="ar-SA" w:bidi="ar-JO"/>
        </w:rPr>
        <w:t xml:space="preserve"> [10]</w:t>
      </w:r>
      <w:r w:rsidR="003E1C3B">
        <w:rPr>
          <w:lang w:eastAsia="ar-SA" w:bidi="ar-JO"/>
        </w:rPr>
        <w:t>.</w:t>
      </w:r>
    </w:p>
    <w:p w14:paraId="43D565D9" w14:textId="5F67B426" w:rsidR="00FC7236" w:rsidRDefault="00303508" w:rsidP="00196236">
      <w:pPr>
        <w:spacing w:line="360" w:lineRule="auto"/>
        <w:jc w:val="both"/>
        <w:rPr>
          <w:lang w:eastAsia="ar-SA" w:bidi="ar-JO"/>
        </w:rPr>
      </w:pPr>
      <w:r w:rsidRPr="00303508">
        <w:rPr>
          <w:lang w:eastAsia="ar-SA" w:bidi="ar-JO"/>
        </w:rPr>
        <w:t>T</w:t>
      </w:r>
      <w:r w:rsidR="00D86A26" w:rsidRPr="00D86A26">
        <w:rPr>
          <w:lang w:eastAsia="ar-SA" w:bidi="ar-JO"/>
        </w:rPr>
        <w:t>he challenge of determining the optimal battery size for grid-connected PV systems</w:t>
      </w:r>
      <w:r>
        <w:rPr>
          <w:lang w:eastAsia="ar-SA" w:bidi="ar-JO"/>
        </w:rPr>
        <w:t xml:space="preserve"> was addressed</w:t>
      </w:r>
      <w:r w:rsidR="00D86A26" w:rsidRPr="00D86A26">
        <w:rPr>
          <w:lang w:eastAsia="ar-SA" w:bidi="ar-JO"/>
        </w:rPr>
        <w:t>. In their study, they proposed both lower and upper bounds for the required storage capacity and developed an efficient algorithm to calculate suitable battery sizing. The primary roles of the batteries in this context include power arbitrage and peak shaving. The authors also noted an emerging scenario in which PV generation reaches grid parity</w:t>
      </w:r>
      <w:r w:rsidR="00D86A26">
        <w:rPr>
          <w:lang w:eastAsia="ar-SA" w:bidi="ar-JO"/>
        </w:rPr>
        <w:t xml:space="preserve">, </w:t>
      </w:r>
      <w:r w:rsidR="00D86A26" w:rsidRPr="00D86A26">
        <w:rPr>
          <w:lang w:eastAsia="ar-SA" w:bidi="ar-JO"/>
        </w:rPr>
        <w:t>where the cost of solar energy matches or falls below that of conventional grid electricity. In such cases, the system may experience demand peaks and elevated electricity prices at night, while daytime prices remain low due to excess solar production. To handle this, the study explored the use of batteries for energy shifting</w:t>
      </w:r>
      <w:r w:rsidR="00D86A26">
        <w:rPr>
          <w:lang w:eastAsia="ar-SA" w:bidi="ar-JO"/>
        </w:rPr>
        <w:t xml:space="preserve">, </w:t>
      </w:r>
      <w:r w:rsidR="00D86A26" w:rsidRPr="00D86A26">
        <w:rPr>
          <w:lang w:eastAsia="ar-SA" w:bidi="ar-JO"/>
        </w:rPr>
        <w:t>storing excess energy generated during the day for use when demand exceeds solar output, typically in the evening. In their modeling, the efficiency of both the PV system’s DC-to-AC converter and the battery’s DC-AC and AC-DC conversion processes was treated as constant. However, the authors recognized that this simplification does not fully reflect real-world behavior, as converter efficiency typically varies nonlinearly with input power</w:t>
      </w:r>
      <w:r w:rsidR="00B90F66">
        <w:rPr>
          <w:lang w:eastAsia="ar-SA" w:bidi="ar-JO"/>
        </w:rPr>
        <w:t xml:space="preserve"> [11]</w:t>
      </w:r>
      <w:r w:rsidR="003E1C3B">
        <w:rPr>
          <w:lang w:eastAsia="ar-SA" w:bidi="ar-JO"/>
        </w:rPr>
        <w:t>.</w:t>
      </w:r>
    </w:p>
    <w:p w14:paraId="5783CC91" w14:textId="372BF5A5" w:rsidR="00FC7236" w:rsidRPr="002C6388" w:rsidRDefault="00303508" w:rsidP="00196236">
      <w:pPr>
        <w:spacing w:line="360" w:lineRule="auto"/>
        <w:jc w:val="both"/>
        <w:rPr>
          <w:lang w:eastAsia="ar-SA" w:bidi="ar-JO"/>
        </w:rPr>
      </w:pPr>
      <w:r>
        <w:rPr>
          <w:lang w:eastAsia="ar-SA" w:bidi="ar-JO"/>
        </w:rPr>
        <w:t>A</w:t>
      </w:r>
      <w:r w:rsidR="00D86A26" w:rsidRPr="00D86A26">
        <w:rPr>
          <w:lang w:eastAsia="ar-SA" w:bidi="ar-JO"/>
        </w:rPr>
        <w:t xml:space="preserve"> year-long comparative study of various discharge strategies aimed at improving self-consumption in residential grid-connected PV</w:t>
      </w:r>
      <w:r w:rsidR="00D86A26">
        <w:rPr>
          <w:lang w:eastAsia="ar-SA" w:bidi="ar-JO"/>
        </w:rPr>
        <w:t xml:space="preserve"> </w:t>
      </w:r>
      <w:r w:rsidR="00D86A26" w:rsidRPr="00D86A26">
        <w:rPr>
          <w:lang w:eastAsia="ar-SA" w:bidi="ar-JO"/>
        </w:rPr>
        <w:t>systems equipped with BESS</w:t>
      </w:r>
      <w:r>
        <w:rPr>
          <w:lang w:eastAsia="ar-SA" w:bidi="ar-JO"/>
        </w:rPr>
        <w:t xml:space="preserve"> was conducted</w:t>
      </w:r>
      <w:r w:rsidR="00D86A26" w:rsidRPr="00D86A26">
        <w:rPr>
          <w:lang w:eastAsia="ar-SA" w:bidi="ar-JO"/>
        </w:rPr>
        <w:t xml:space="preserve">. The study examined three distinct discharge approaches: a baseline scenario, an adaptive algorithm, and a remote-controlled strategy tailored to energy market dynamics. All strategies adhered to the existing regulatory limits on residential load reduction via BESS. Importantly, the simulations were based on real-world measurement data to ensure practical relevance. The adaptive, grid-friendly algorithm employed a combination of global optimization techniques and a moving average model to enhance </w:t>
      </w:r>
      <w:r w:rsidR="00D86A26" w:rsidRPr="00D86A26">
        <w:rPr>
          <w:lang w:eastAsia="ar-SA" w:bidi="ar-JO"/>
        </w:rPr>
        <w:lastRenderedPageBreak/>
        <w:t xml:space="preserve">self-consumption during periods of high grid load. In contrast, the remote-controlled strategy focused on optimizing self-consumption by discharging the battery during times of peak intraday electricity prices, whenever conditions allowed. To support system sizing and strategy selection, the researchers used a feedforward neural network with a hidden layer to generate predictive equations for optimization purposes. These equations were then integrated into a user-friendly, web-based application designed to simplify the economic optimization of BESS sizing and to facilitate comparisons between different manufacturers' storage systems </w:t>
      </w:r>
      <w:r w:rsidR="00B90F66">
        <w:rPr>
          <w:lang w:eastAsia="ar-SA" w:bidi="ar-JO"/>
        </w:rPr>
        <w:t>[12].</w:t>
      </w:r>
    </w:p>
    <w:p w14:paraId="4B941C76" w14:textId="3BFC911F" w:rsidR="00B90F66" w:rsidRDefault="00303508" w:rsidP="00196236">
      <w:pPr>
        <w:spacing w:line="360" w:lineRule="auto"/>
        <w:jc w:val="both"/>
        <w:rPr>
          <w:lang w:eastAsia="ar-SA" w:bidi="ar-JO"/>
        </w:rPr>
      </w:pPr>
      <w:r>
        <w:rPr>
          <w:lang w:eastAsia="ar-SA" w:bidi="ar-JO"/>
        </w:rPr>
        <w:t>A</w:t>
      </w:r>
      <w:r w:rsidR="00D9511B" w:rsidRPr="00D9511B">
        <w:rPr>
          <w:lang w:eastAsia="ar-SA" w:bidi="ar-JO"/>
        </w:rPr>
        <w:t>n in-depth analysis of the configuration, design, and operational behavior of multi-megawatt grid-connected solar PV systems</w:t>
      </w:r>
      <w:r>
        <w:rPr>
          <w:lang w:eastAsia="ar-SA" w:bidi="ar-JO"/>
        </w:rPr>
        <w:t xml:space="preserve"> was conducted</w:t>
      </w:r>
      <w:r w:rsidR="00D9511B" w:rsidRPr="00D9511B">
        <w:rPr>
          <w:lang w:eastAsia="ar-SA" w:bidi="ar-JO"/>
        </w:rPr>
        <w:t>, using practical insights drawn from a 10 MW field deployment. To enhance the system’s capacity factor, the PV array is operated at its maximum power point during periods of low solar irradiance, while output is capped at a predefined rated level under high irradiance conditions to prevent overgeneration. A key feature of the proposed system is the integration of a utility-scale BESS, connected to the grid through a dedicated inverter. The design builds on operational experience from a previously deployed 1 MW / 2 MWh battery demonstrator. The BESS contributes significantly to power smoothing and frequency regulation, as demonstrated through both theoretical modeling and experimental validation. System performance was assessed using a modified IEEE 14-bus network implemented in PSCAD™/EMTDC™, a simulation environment widely adopted in industrial and utility applications. Results from the simulations confirm the combined PV-BESS system’s improved transient response, particularly in scenarios involving sudden PV shading. In addition to supporting grid stability, the BESS can perform ancillary services such as frequency control by dynamically absorbing or injecting power as needed to maintain nominal grid frequency. Experimental data from the 1 MW / 2 MWh prototype showed strong alignment with simulation results. The study also presents a methodology for sizing large-scale energy storage systems to enable dispatchable output from multi-MW PV plants. While the required energy capacities are substantial and current battery technologies may not yet be economically viable for such applications, the study suggests that alternative storage solutions—such as pumped hydro—could offer a promising path forward</w:t>
      </w:r>
      <w:r w:rsidR="00D9511B">
        <w:rPr>
          <w:lang w:eastAsia="ar-SA" w:bidi="ar-JO"/>
        </w:rPr>
        <w:t xml:space="preserve"> </w:t>
      </w:r>
      <w:r w:rsidR="00B90F66">
        <w:rPr>
          <w:lang w:eastAsia="ar-SA" w:bidi="ar-JO"/>
        </w:rPr>
        <w:t>[13]</w:t>
      </w:r>
      <w:r w:rsidR="003E1C3B">
        <w:rPr>
          <w:lang w:eastAsia="ar-SA" w:bidi="ar-JO"/>
        </w:rPr>
        <w:t>.</w:t>
      </w:r>
      <w:r w:rsidR="00B90F66" w:rsidRPr="00B90F66">
        <w:rPr>
          <w:lang w:eastAsia="ar-SA" w:bidi="ar-JO"/>
        </w:rPr>
        <w:t xml:space="preserve"> </w:t>
      </w:r>
    </w:p>
    <w:p w14:paraId="518020F6" w14:textId="1C99404A" w:rsidR="00FC7236" w:rsidRDefault="00303508" w:rsidP="00196236">
      <w:pPr>
        <w:spacing w:line="360" w:lineRule="auto"/>
        <w:jc w:val="both"/>
        <w:rPr>
          <w:lang w:eastAsia="ar-SA" w:bidi="ar-JO"/>
        </w:rPr>
      </w:pPr>
      <w:r w:rsidRPr="00303508">
        <w:rPr>
          <w:lang w:eastAsia="ar-SA" w:bidi="ar-JO"/>
        </w:rPr>
        <w:lastRenderedPageBreak/>
        <w:t>Researchers</w:t>
      </w:r>
      <w:r>
        <w:rPr>
          <w:b/>
          <w:bCs/>
          <w:lang w:eastAsia="ar-SA" w:bidi="ar-JO"/>
        </w:rPr>
        <w:t xml:space="preserve"> </w:t>
      </w:r>
      <w:r w:rsidR="00D9511B" w:rsidRPr="00D9511B">
        <w:rPr>
          <w:lang w:eastAsia="ar-SA" w:bidi="ar-JO"/>
        </w:rPr>
        <w:t>tackled two critical questions in their study: what constitutes an optimal storage size for integrating large-scale PV plants into the grid, and which energy storage technologies are best suited to support this integration. To address these questions, the authors introduced a metric called the "Usefulness Index," which helps identify PV-storage combinations that enable high levels of grid penetration without requiring unnecessarily oversized storage systems. This index is designed to be adaptable to varying levels of grid flexibility. The study also explores how sensitive the calculated optimal storage size is to changes in underlying assumptions. While the analysis is numerically focused on the Israeli electricity grid, the proposed framework is intended to be applicable in a broader context. The authors argue that the "appropriate storage size" identified using this approach offers a strong foundation for more advanced optimization studies. On the technological side, the review finds that no single energy storage solution currently meets all the performance requirements necessary for large-scale PV-grid integration. However, the study suggests that hybrid configurations</w:t>
      </w:r>
      <w:r w:rsidR="00D9511B">
        <w:rPr>
          <w:lang w:eastAsia="ar-SA" w:bidi="ar-JO"/>
        </w:rPr>
        <w:t xml:space="preserve"> </w:t>
      </w:r>
      <w:r w:rsidR="00D9511B" w:rsidRPr="00D9511B">
        <w:rPr>
          <w:lang w:eastAsia="ar-SA" w:bidi="ar-JO"/>
        </w:rPr>
        <w:t>may provide a viable pathway toward achieving reliable and efficient integration of massive PV installations into the power grid</w:t>
      </w:r>
      <w:r w:rsidR="00B90F66">
        <w:rPr>
          <w:lang w:eastAsia="ar-SA" w:bidi="ar-JO"/>
        </w:rPr>
        <w:t xml:space="preserve"> [14].</w:t>
      </w:r>
    </w:p>
    <w:p w14:paraId="5156ABA2" w14:textId="4D9CDAB6" w:rsidR="00FC7236" w:rsidRDefault="00BB403C" w:rsidP="00196236">
      <w:pPr>
        <w:spacing w:line="360" w:lineRule="auto"/>
        <w:jc w:val="both"/>
        <w:rPr>
          <w:lang w:eastAsia="ar-SA" w:bidi="ar-JO"/>
        </w:rPr>
      </w:pPr>
      <w:r>
        <w:rPr>
          <w:lang w:eastAsia="ar-SA" w:bidi="ar-JO"/>
        </w:rPr>
        <w:t>T</w:t>
      </w:r>
      <w:r w:rsidR="00D9511B" w:rsidRPr="00D9511B">
        <w:rPr>
          <w:lang w:eastAsia="ar-SA" w:bidi="ar-JO"/>
        </w:rPr>
        <w:t>he role of energy storage in grid-connected PV</w:t>
      </w:r>
      <w:r w:rsidR="00D9511B">
        <w:rPr>
          <w:rFonts w:hint="cs"/>
          <w:rtl/>
          <w:lang w:eastAsia="ar-SA" w:bidi="ar-JO"/>
        </w:rPr>
        <w:t xml:space="preserve"> </w:t>
      </w:r>
      <w:r w:rsidR="00D9511B" w:rsidRPr="00D9511B">
        <w:rPr>
          <w:lang w:eastAsia="ar-SA" w:bidi="ar-JO"/>
        </w:rPr>
        <w:t>systems</w:t>
      </w:r>
      <w:r>
        <w:rPr>
          <w:lang w:eastAsia="ar-SA" w:bidi="ar-JO"/>
        </w:rPr>
        <w:t xml:space="preserve"> was investigated</w:t>
      </w:r>
      <w:r w:rsidR="00D9511B" w:rsidRPr="00D9511B">
        <w:rPr>
          <w:lang w:eastAsia="ar-SA" w:bidi="ar-JO"/>
        </w:rPr>
        <w:t>, particularly as a solution to the challenges faced in low-voltage distribution networks. Their analysis of grid quality revealed that many distribution systems around the world already exhibit vulnerabilities, which are likely to worsen as electricity demand continues to rise. While decentralized energy generation</w:t>
      </w:r>
      <w:r w:rsidR="00D9511B">
        <w:rPr>
          <w:lang w:eastAsia="ar-SA" w:bidi="ar-JO"/>
        </w:rPr>
        <w:t xml:space="preserve"> </w:t>
      </w:r>
      <w:r w:rsidR="00D9511B" w:rsidRPr="00D9511B">
        <w:rPr>
          <w:lang w:eastAsia="ar-SA" w:bidi="ar-JO"/>
        </w:rPr>
        <w:t xml:space="preserve">can help alleviate some of the strain on these networks, the study found that peaks in PV production do not consistently align with periods of peak electricity demand. As a result, energy storage becomes essential for shifting excess PV generation to times when it is more needed by the grid. Additionally, the study pointed out that PV systems can negatively affect the quality of low-voltage networks, and conversely, poor network quality can reduce a PV system’s performance ratio by up to 40%. Integrating storage can help mitigate these effects, reducing the PV system’s impact on the grid while also improving its efficiency and reliability. Over the long term, incorporating energy storage allows utilities to better manage grid operations, ensuring that PV-generated electricity is injected during periods of high demand. Based on data from Spain, the researchers calculated that a system rated at 2.2 </w:t>
      </w:r>
      <w:proofErr w:type="spellStart"/>
      <w:r w:rsidR="00D9511B" w:rsidRPr="00D9511B">
        <w:rPr>
          <w:lang w:eastAsia="ar-SA" w:bidi="ar-JO"/>
        </w:rPr>
        <w:t>kWp</w:t>
      </w:r>
      <w:proofErr w:type="spellEnd"/>
      <w:r w:rsidR="00D9511B" w:rsidRPr="00D9511B">
        <w:rPr>
          <w:lang w:eastAsia="ar-SA" w:bidi="ar-JO"/>
        </w:rPr>
        <w:t xml:space="preserve"> with a 1.5 kW inverter could reliably contribute energy to the grid for approximately 3 to 9.5 hours per </w:t>
      </w:r>
      <w:r w:rsidR="00D9511B" w:rsidRPr="00D9511B">
        <w:rPr>
          <w:lang w:eastAsia="ar-SA" w:bidi="ar-JO"/>
        </w:rPr>
        <w:lastRenderedPageBreak/>
        <w:t>day</w:t>
      </w:r>
      <w:r w:rsidR="00D9511B">
        <w:rPr>
          <w:lang w:eastAsia="ar-SA" w:bidi="ar-JO"/>
        </w:rPr>
        <w:t xml:space="preserve">, </w:t>
      </w:r>
      <w:r w:rsidR="00D9511B" w:rsidRPr="00D9511B">
        <w:rPr>
          <w:lang w:eastAsia="ar-SA" w:bidi="ar-JO"/>
        </w:rPr>
        <w:t>specifically during times when demand exceeds the daily average by at least 15%</w:t>
      </w:r>
      <w:r w:rsidR="003024BD">
        <w:rPr>
          <w:lang w:eastAsia="ar-SA" w:bidi="ar-JO"/>
        </w:rPr>
        <w:t xml:space="preserve"> [15].</w:t>
      </w:r>
    </w:p>
    <w:p w14:paraId="16AF0FA3" w14:textId="1817E317" w:rsidR="002D3172" w:rsidRDefault="00BB403C" w:rsidP="006352F0">
      <w:pPr>
        <w:spacing w:line="360" w:lineRule="auto"/>
        <w:jc w:val="both"/>
        <w:rPr>
          <w:lang w:eastAsia="ar-SA" w:bidi="ar-JO"/>
        </w:rPr>
      </w:pPr>
      <w:r>
        <w:rPr>
          <w:lang w:eastAsia="ar-SA" w:bidi="ar-JO"/>
        </w:rPr>
        <w:t>A</w:t>
      </w:r>
      <w:r w:rsidR="00D9511B" w:rsidRPr="00D9511B">
        <w:rPr>
          <w:lang w:eastAsia="ar-SA" w:bidi="ar-JO"/>
        </w:rPr>
        <w:t xml:space="preserve"> comprehensive study on the design and small-signal analysis of a grid-connected residential PV</w:t>
      </w:r>
      <w:r w:rsidR="00D9511B">
        <w:rPr>
          <w:lang w:eastAsia="ar-SA" w:bidi="ar-JO"/>
        </w:rPr>
        <w:t xml:space="preserve"> </w:t>
      </w:r>
      <w:r w:rsidR="00D9511B" w:rsidRPr="00D9511B">
        <w:rPr>
          <w:lang w:eastAsia="ar-SA" w:bidi="ar-JO"/>
        </w:rPr>
        <w:t>system integrated with a hybrid energy storage solution consisting of both batteries and supercapacitors</w:t>
      </w:r>
      <w:r>
        <w:rPr>
          <w:lang w:eastAsia="ar-SA" w:bidi="ar-JO"/>
        </w:rPr>
        <w:t xml:space="preserve"> was presented</w:t>
      </w:r>
      <w:r w:rsidR="00D9511B" w:rsidRPr="00D9511B">
        <w:rPr>
          <w:lang w:eastAsia="ar-SA" w:bidi="ar-JO"/>
        </w:rPr>
        <w:t>. The focus of their work was on conducting a detailed small-signal AC analysis to support the design of current controllers for two bidirectional DC–DC converters. A key distinction of this study, compared to similar research, lies in its consideration of both boost and buck operating modes during stability analysis. This dual-mode evaluation allows for more precise controller tuning and improved overall system performance. Additionally, the control strategy involved regulating the DC-bus voltage to derive a reference for the inverter’s output current. To ensure that the injected current remains in phase with the grid voltage</w:t>
      </w:r>
      <w:r w:rsidR="00D9511B">
        <w:rPr>
          <w:lang w:eastAsia="ar-SA" w:bidi="ar-JO"/>
        </w:rPr>
        <w:t xml:space="preserve"> </w:t>
      </w:r>
      <w:r w:rsidR="00D9511B" w:rsidRPr="00D9511B">
        <w:rPr>
          <w:lang w:eastAsia="ar-SA" w:bidi="ar-JO"/>
        </w:rPr>
        <w:t>a phase-locked loop was implemented. This approach enables the system to meet grid interconnection standards while enhancing power quality.</w:t>
      </w:r>
      <w:r w:rsidR="00B90F66">
        <w:rPr>
          <w:lang w:eastAsia="ar-SA" w:bidi="ar-JO"/>
        </w:rPr>
        <w:t xml:space="preserve"> [16]</w:t>
      </w:r>
      <w:r w:rsidR="00FC7236">
        <w:rPr>
          <w:lang w:eastAsia="ar-SA" w:bidi="ar-JO"/>
        </w:rPr>
        <w:t>.</w:t>
      </w:r>
    </w:p>
    <w:p w14:paraId="5A45A6DA" w14:textId="5FA9656E" w:rsidR="00FC7236" w:rsidRDefault="00BB403C" w:rsidP="00D9511B">
      <w:pPr>
        <w:spacing w:line="360" w:lineRule="auto"/>
        <w:jc w:val="both"/>
        <w:rPr>
          <w:lang w:eastAsia="ar-SA" w:bidi="ar-JO"/>
        </w:rPr>
      </w:pPr>
      <w:r w:rsidRPr="00BB403C">
        <w:rPr>
          <w:lang w:eastAsia="ar-SA" w:bidi="ar-JO"/>
        </w:rPr>
        <w:t>The</w:t>
      </w:r>
      <w:r>
        <w:rPr>
          <w:b/>
          <w:bCs/>
          <w:lang w:eastAsia="ar-SA" w:bidi="ar-JO"/>
        </w:rPr>
        <w:t xml:space="preserve"> </w:t>
      </w:r>
      <w:r w:rsidR="00D9511B">
        <w:rPr>
          <w:lang w:eastAsia="ar-SA" w:bidi="ar-JO"/>
        </w:rPr>
        <w:t>role of battery storage in residential solar energy systems, particularly under scenarios of high renewable energy penetration</w:t>
      </w:r>
      <w:r>
        <w:rPr>
          <w:lang w:eastAsia="ar-SA" w:bidi="ar-JO"/>
        </w:rPr>
        <w:t xml:space="preserve"> was examined</w:t>
      </w:r>
      <w:r w:rsidR="00D9511B">
        <w:rPr>
          <w:lang w:eastAsia="ar-SA" w:bidi="ar-JO"/>
        </w:rPr>
        <w:t xml:space="preserve">. Their research highlights the importance of accurately understanding battery behavior under dynamic operating conditions, as this is crucial for both the technical performance and economic viability of such systems. The study focused on key aspects of battery management for batteries integrated into grid-connected, solar-powered buildings. Three distinct battery modeling approaches were proposed, each differing in how they account for battery aging, internal states, and control strategies. These models included methods for estimating voltage-current characteristics, capacity degradation, remaining useful life, and various internal states such as state of charge, state of health, and state of power. To simulate and optimize system performance, the authors employed a criteria-based operational strategy combined with the Non-Dominated Sorting Genetic Algorithm II, aiming to achieve a balance between two main objectives: maximizing the system’s self-sufficiency ratio and minimizing the battery life-cycle cost. These objectives are directly influenced by degradation rates and the effective lifetime of the battery. Over the project lifetime, the study also assessed annual battery degradation costs and the self-consumption ratio </w:t>
      </w:r>
      <w:r w:rsidR="004D536C">
        <w:rPr>
          <w:lang w:eastAsia="ar-SA" w:bidi="ar-JO"/>
        </w:rPr>
        <w:t>[17].</w:t>
      </w:r>
    </w:p>
    <w:p w14:paraId="2BE31A63" w14:textId="73CDEB23" w:rsidR="006352F0" w:rsidRDefault="003E1C3B" w:rsidP="00196236">
      <w:pPr>
        <w:spacing w:line="360" w:lineRule="auto"/>
        <w:jc w:val="both"/>
        <w:rPr>
          <w:lang w:eastAsia="ar-SA" w:bidi="ar-JO"/>
        </w:rPr>
      </w:pPr>
      <w:r w:rsidRPr="003E1C3B">
        <w:rPr>
          <w:lang w:eastAsia="ar-SA" w:bidi="ar-JO"/>
        </w:rPr>
        <w:lastRenderedPageBreak/>
        <w:t xml:space="preserve">To summarize, </w:t>
      </w:r>
      <w:r>
        <w:rPr>
          <w:lang w:eastAsia="ar-SA" w:bidi="ar-JO"/>
        </w:rPr>
        <w:t xml:space="preserve">many studies </w:t>
      </w:r>
      <w:r w:rsidR="00011664">
        <w:rPr>
          <w:lang w:eastAsia="ar-SA" w:bidi="ar-JO"/>
        </w:rPr>
        <w:t>concentrate</w:t>
      </w:r>
      <w:r>
        <w:rPr>
          <w:lang w:eastAsia="ar-SA" w:bidi="ar-JO"/>
        </w:rPr>
        <w:t xml:space="preserve"> on adding storage </w:t>
      </w:r>
      <w:proofErr w:type="gramStart"/>
      <w:r>
        <w:rPr>
          <w:lang w:eastAsia="ar-SA" w:bidi="ar-JO"/>
        </w:rPr>
        <w:t>system</w:t>
      </w:r>
      <w:proofErr w:type="gramEnd"/>
      <w:r>
        <w:rPr>
          <w:lang w:eastAsia="ar-SA" w:bidi="ar-JO"/>
        </w:rPr>
        <w:t xml:space="preserve"> to PV on-grid systems in different countries all over the world with different </w:t>
      </w:r>
      <w:r w:rsidR="00DF5AA6">
        <w:rPr>
          <w:lang w:eastAsia="ar-SA" w:bidi="ar-JO"/>
        </w:rPr>
        <w:t>benefits according to the countries location and their regulations. I our research will focus on the economic and technical consideration of adding the storage system within palatine grid</w:t>
      </w:r>
      <w:r w:rsidR="004D536C">
        <w:rPr>
          <w:lang w:eastAsia="ar-SA" w:bidi="ar-JO"/>
        </w:rPr>
        <w:t>.</w:t>
      </w:r>
    </w:p>
    <w:p w14:paraId="498083DC" w14:textId="77777777" w:rsidR="00196236" w:rsidRPr="00415CD6" w:rsidRDefault="00196236" w:rsidP="00196236">
      <w:pPr>
        <w:spacing w:line="360" w:lineRule="auto"/>
        <w:jc w:val="both"/>
        <w:rPr>
          <w:lang w:eastAsia="ar-SA" w:bidi="ar-JO"/>
        </w:rPr>
      </w:pPr>
    </w:p>
    <w:p w14:paraId="058796A1" w14:textId="6F2451BD" w:rsidR="00415CD6" w:rsidRPr="00415CD6" w:rsidRDefault="00540A96" w:rsidP="00196236">
      <w:pPr>
        <w:pStyle w:val="Heading2"/>
        <w:spacing w:line="360" w:lineRule="auto"/>
        <w:rPr>
          <w:lang w:eastAsia="ar-SA" w:bidi="ar-JO"/>
        </w:rPr>
      </w:pPr>
      <w:bookmarkStart w:id="14" w:name="_Toc205672533"/>
      <w:r>
        <w:rPr>
          <w:lang w:eastAsia="ar-SA" w:bidi="ar-JO"/>
        </w:rPr>
        <w:t xml:space="preserve">1.7 </w:t>
      </w:r>
      <w:r w:rsidR="00415CD6" w:rsidRPr="00415CD6">
        <w:rPr>
          <w:lang w:eastAsia="ar-SA" w:bidi="ar-JO"/>
        </w:rPr>
        <w:t>Methodology</w:t>
      </w:r>
      <w:bookmarkEnd w:id="14"/>
    </w:p>
    <w:p w14:paraId="23FC56E4" w14:textId="06A78D14" w:rsidR="005F31CE" w:rsidRDefault="005F31CE" w:rsidP="005F31CE">
      <w:pPr>
        <w:spacing w:after="160" w:line="360" w:lineRule="auto"/>
        <w:jc w:val="both"/>
      </w:pPr>
      <w:r>
        <w:t xml:space="preserve">This research uses a holistic techno-economic assessment methodology in examining the incorporation of ESS in a grid-connected PV system, with the electrical grid of </w:t>
      </w:r>
      <w:proofErr w:type="spellStart"/>
      <w:r>
        <w:t>Arraba</w:t>
      </w:r>
      <w:proofErr w:type="spellEnd"/>
      <w:r>
        <w:t xml:space="preserve"> village located in the Jenin governorate of Palestine serving as a case study. The research approach aims to verify both the technical viability and economic feasibility of ESS deployment with specific focus on technical considerations such as voltage regulation, reduction of energy losses, and peak-load shaving.</w:t>
      </w:r>
    </w:p>
    <w:p w14:paraId="2A42C4E2" w14:textId="31EA1036" w:rsidR="005F31CE" w:rsidRDefault="005F31CE" w:rsidP="005F31CE">
      <w:pPr>
        <w:spacing w:after="160" w:line="360" w:lineRule="auto"/>
        <w:jc w:val="both"/>
      </w:pPr>
      <w:r>
        <w:t xml:space="preserve">Analysis begins with the definition of existing electrical infrastructure including demand profiles, PV generation potential, and distribution system operating limits. </w:t>
      </w:r>
      <w:proofErr w:type="gramStart"/>
      <w:r>
        <w:t>Inputs provide</w:t>
      </w:r>
      <w:proofErr w:type="gramEnd"/>
      <w:r>
        <w:t xml:space="preserve"> baseline conditions for simulation modeling as well as relative comparison between differing system configurations.</w:t>
      </w:r>
    </w:p>
    <w:p w14:paraId="1E76599B" w14:textId="202476B0" w:rsidR="005F31CE" w:rsidRDefault="005F31CE" w:rsidP="005F31CE">
      <w:pPr>
        <w:spacing w:after="160" w:line="360" w:lineRule="auto"/>
        <w:jc w:val="both"/>
      </w:pPr>
      <w:r>
        <w:t>Four cases are defined and analyzed to consider the impacts of various capacities of ESS and PV. Case 0 is the base case, in which we have a 1 MW PV system without any energy storage. Case 1 is comprised of the same 1 MW PV system with an ESS of 17% penetration level. Case 2 considers a 3 MW PV system with 50% ESS penetration, and Case 3 has a 6 MW PV system with 100% ESS penetration.</w:t>
      </w:r>
    </w:p>
    <w:p w14:paraId="5E1D5F5A" w14:textId="7935B166" w:rsidR="005F31CE" w:rsidRDefault="005F31CE" w:rsidP="005F31CE">
      <w:pPr>
        <w:spacing w:after="160" w:line="360" w:lineRule="auto"/>
        <w:jc w:val="both"/>
      </w:pPr>
      <w:r>
        <w:t>Technical simulations are carried out with the help of ETAP software to carry out both steady-</w:t>
      </w:r>
      <w:proofErr w:type="gramStart"/>
      <w:r>
        <w:t>state load</w:t>
      </w:r>
      <w:proofErr w:type="gramEnd"/>
      <w:r>
        <w:t xml:space="preserve"> flow analysis and dynamic time-domain analysis. The load flow analysis assesses voltage profiles and active/reactive power losses during normal operating conditions. Conversely, the dynamic analysis simulates real-time grid performance with special attention to the performance of ESS in peak demand reduction, load shifting, and mitigating network stress at times of high demand.</w:t>
      </w:r>
    </w:p>
    <w:p w14:paraId="52BA4228" w14:textId="1BE3821B" w:rsidR="005F31CE" w:rsidRDefault="005F31CE" w:rsidP="005F31CE">
      <w:pPr>
        <w:spacing w:after="160" w:line="360" w:lineRule="auto"/>
        <w:jc w:val="both"/>
      </w:pPr>
      <w:r>
        <w:t xml:space="preserve">A lithium-ion battery technology has been chosen for all designs after a critical review of currently available storage technologies in the literature. The rationale for this choice lies in the positive characteristics of the technology, which comprise high energy density, long </w:t>
      </w:r>
      <w:r>
        <w:lastRenderedPageBreak/>
        <w:t>cycle life, operating efficiency, and reducing cost trends, and hence making it fit for distributed grid application in developing conditions.</w:t>
      </w:r>
    </w:p>
    <w:p w14:paraId="220C4378" w14:textId="4E88CA0D" w:rsidR="00414BCF" w:rsidRDefault="005F31CE" w:rsidP="005F31CE">
      <w:pPr>
        <w:spacing w:after="160" w:line="360" w:lineRule="auto"/>
        <w:jc w:val="both"/>
        <w:rPr>
          <w:b/>
          <w:bCs/>
          <w:sz w:val="28"/>
          <w:szCs w:val="28"/>
          <w:lang w:bidi="en-US"/>
        </w:rPr>
      </w:pPr>
      <w:r>
        <w:t xml:space="preserve">The financial aspect of the study is analyzed </w:t>
      </w:r>
      <w:proofErr w:type="gramStart"/>
      <w:r>
        <w:t>through the use of</w:t>
      </w:r>
      <w:proofErr w:type="gramEnd"/>
      <w:r>
        <w:t xml:space="preserve"> the System Advisor Model (SAM). Critical financial parameters are utilized to quantify the cost-effectiveness of each design. These parameters enable a comparison of the trade-offs that occur between technical performance and capital costs. Lastly, the methodology blends both simulation outputs and economic indicators to arrive at the most optimal ESS configuration. The results are consolidated into a set of recommendations that may be utilized for future planning in rural electrification, renewable penetration, and distributed energy resource management.</w:t>
      </w:r>
      <w:r w:rsidR="00414BCF">
        <w:rPr>
          <w:sz w:val="28"/>
          <w:szCs w:val="28"/>
        </w:rPr>
        <w:br w:type="page"/>
      </w:r>
    </w:p>
    <w:p w14:paraId="47DD4C59" w14:textId="35F8BA35" w:rsidR="00AF002E" w:rsidRDefault="008874A2" w:rsidP="00AF002E">
      <w:pPr>
        <w:pStyle w:val="Heading1"/>
        <w:spacing w:line="360" w:lineRule="auto"/>
        <w:rPr>
          <w:sz w:val="28"/>
          <w:szCs w:val="28"/>
        </w:rPr>
      </w:pPr>
      <w:bookmarkStart w:id="15" w:name="_Toc205672534"/>
      <w:r w:rsidRPr="00AF002E">
        <w:rPr>
          <w:sz w:val="28"/>
          <w:szCs w:val="28"/>
        </w:rPr>
        <w:lastRenderedPageBreak/>
        <w:t xml:space="preserve">Chapter Two: </w:t>
      </w:r>
      <w:r w:rsidRPr="00AF002E">
        <w:rPr>
          <w:sz w:val="28"/>
          <w:szCs w:val="28"/>
        </w:rPr>
        <w:br/>
      </w:r>
      <w:r w:rsidR="00F3475B" w:rsidRPr="00AF002E">
        <w:rPr>
          <w:sz w:val="28"/>
          <w:szCs w:val="28"/>
        </w:rPr>
        <w:t xml:space="preserve">Energy </w:t>
      </w:r>
      <w:r w:rsidRPr="00AF002E">
        <w:rPr>
          <w:sz w:val="28"/>
          <w:szCs w:val="28"/>
        </w:rPr>
        <w:t xml:space="preserve">Storage </w:t>
      </w:r>
      <w:r w:rsidR="00196236">
        <w:rPr>
          <w:sz w:val="28"/>
          <w:szCs w:val="28"/>
        </w:rPr>
        <w:t>S</w:t>
      </w:r>
      <w:r w:rsidRPr="00AF002E">
        <w:rPr>
          <w:sz w:val="28"/>
          <w:szCs w:val="28"/>
        </w:rPr>
        <w:t>ystems</w:t>
      </w:r>
      <w:bookmarkEnd w:id="15"/>
    </w:p>
    <w:p w14:paraId="07EF4FE1" w14:textId="77777777" w:rsidR="00AF002E" w:rsidRPr="00AF002E" w:rsidRDefault="00AF002E" w:rsidP="00A26097">
      <w:pPr>
        <w:pStyle w:val="Heading1"/>
        <w:spacing w:line="360" w:lineRule="auto"/>
        <w:rPr>
          <w:sz w:val="28"/>
          <w:szCs w:val="28"/>
        </w:rPr>
      </w:pPr>
    </w:p>
    <w:p w14:paraId="5754AC20" w14:textId="76BF2A44" w:rsidR="008874A2" w:rsidRDefault="008874A2">
      <w:pPr>
        <w:pStyle w:val="Heading2"/>
        <w:numPr>
          <w:ilvl w:val="1"/>
          <w:numId w:val="16"/>
        </w:numPr>
        <w:spacing w:line="360" w:lineRule="auto"/>
        <w:rPr>
          <w:lang w:eastAsia="ar-SA" w:bidi="ar-JO"/>
        </w:rPr>
      </w:pPr>
      <w:bookmarkStart w:id="16" w:name="_Toc205672535"/>
      <w:r>
        <w:rPr>
          <w:lang w:eastAsia="ar-SA" w:bidi="ar-JO"/>
        </w:rPr>
        <w:t>Introduction</w:t>
      </w:r>
      <w:bookmarkEnd w:id="16"/>
    </w:p>
    <w:p w14:paraId="69C8318A" w14:textId="235BA3BB" w:rsidR="00B92A55" w:rsidRDefault="008874A2" w:rsidP="0077156A">
      <w:pPr>
        <w:spacing w:line="360" w:lineRule="auto"/>
        <w:jc w:val="both"/>
      </w:pPr>
      <w:r w:rsidRPr="008874A2">
        <w:t xml:space="preserve">With the revolution of </w:t>
      </w:r>
      <w:r w:rsidR="00196236" w:rsidRPr="008874A2">
        <w:t>renewable</w:t>
      </w:r>
      <w:r w:rsidRPr="008874A2">
        <w:t xml:space="preserve"> energy, </w:t>
      </w:r>
      <w:r>
        <w:t xml:space="preserve">it is important to store </w:t>
      </w:r>
      <w:r w:rsidR="00196236">
        <w:t>it,</w:t>
      </w:r>
      <w:r>
        <w:t xml:space="preserve"> so the storage systems are </w:t>
      </w:r>
      <w:r w:rsidR="00196236">
        <w:t>getting</w:t>
      </w:r>
      <w:r>
        <w:t xml:space="preserve"> </w:t>
      </w:r>
      <w:proofErr w:type="gramStart"/>
      <w:r>
        <w:t>advances</w:t>
      </w:r>
      <w:proofErr w:type="gramEnd"/>
      <w:r w:rsidR="00F3475B">
        <w:t xml:space="preserve">. </w:t>
      </w:r>
      <w:r w:rsidR="00414BCF">
        <w:t>ESS</w:t>
      </w:r>
      <w:r w:rsidR="00F3475B">
        <w:t xml:space="preserve">s vary and have been </w:t>
      </w:r>
      <w:r w:rsidR="00196236">
        <w:t>developed over the</w:t>
      </w:r>
      <w:r w:rsidR="00F3475B">
        <w:t xml:space="preserve"> years. There</w:t>
      </w:r>
      <w:r w:rsidR="000654D8">
        <w:t xml:space="preserve"> are</w:t>
      </w:r>
      <w:r w:rsidR="00F3475B">
        <w:t xml:space="preserve"> three main categories for these systems: Electrical</w:t>
      </w:r>
      <w:r w:rsidR="000654D8">
        <w:t>,</w:t>
      </w:r>
      <w:r w:rsidR="00F3475B">
        <w:t xml:space="preserve"> Mechanical, and Thermal</w:t>
      </w:r>
      <w:r w:rsidR="00AF47BF">
        <w:t xml:space="preserve"> </w:t>
      </w:r>
      <w:r w:rsidR="00AF47BF" w:rsidRPr="00196236">
        <w:rPr>
          <w:sz w:val="22"/>
          <w:szCs w:val="22"/>
        </w:rPr>
        <w:t>[18]</w:t>
      </w:r>
      <w:r w:rsidR="00196236">
        <w:t>.</w:t>
      </w:r>
    </w:p>
    <w:p w14:paraId="7A8B0600" w14:textId="02D62BD4" w:rsidR="00FF1962" w:rsidRPr="00F3475B" w:rsidRDefault="00FF1962">
      <w:pPr>
        <w:pStyle w:val="Heading2"/>
        <w:numPr>
          <w:ilvl w:val="1"/>
          <w:numId w:val="16"/>
        </w:numPr>
        <w:spacing w:line="360" w:lineRule="auto"/>
        <w:jc w:val="both"/>
        <w:rPr>
          <w:lang w:eastAsia="ar-SA" w:bidi="ar-JO"/>
        </w:rPr>
      </w:pPr>
      <w:bookmarkStart w:id="17" w:name="_Toc205672536"/>
      <w:r w:rsidRPr="00996D75">
        <w:rPr>
          <w:lang w:eastAsia="ar-SA" w:bidi="ar-JO"/>
        </w:rPr>
        <w:t>Flywheel</w:t>
      </w:r>
      <w:r w:rsidR="00F3475B" w:rsidRPr="00F3475B">
        <w:rPr>
          <w:lang w:eastAsia="ar-SA" w:bidi="ar-JO"/>
        </w:rPr>
        <w:t xml:space="preserve"> system</w:t>
      </w:r>
      <w:bookmarkEnd w:id="17"/>
    </w:p>
    <w:p w14:paraId="1959BF94" w14:textId="205D1F40" w:rsidR="009F0110" w:rsidRDefault="00B16892" w:rsidP="0077156A">
      <w:pPr>
        <w:spacing w:line="360" w:lineRule="auto"/>
        <w:jc w:val="both"/>
      </w:pPr>
      <w:r w:rsidRPr="00B16892">
        <w:t>A flywheel is a type of mechanical energy storage system</w:t>
      </w:r>
      <w:r>
        <w:t xml:space="preserve"> </w:t>
      </w:r>
      <w:r w:rsidRPr="00B16892">
        <w:t>that has been in use for thousands of years. It operates based on the principle of inertia, storing energy in the form of rotational kinetic energy</w:t>
      </w:r>
      <w:r w:rsidR="0077156A">
        <w:t xml:space="preserve"> </w:t>
      </w:r>
      <w:r w:rsidR="00A26097">
        <w:t>[19]</w:t>
      </w:r>
      <w:r w:rsidR="00927347">
        <w:t>.</w:t>
      </w:r>
    </w:p>
    <w:p w14:paraId="3A3CB11B" w14:textId="5996D810" w:rsidR="008750EF" w:rsidRPr="008750EF" w:rsidRDefault="00B16892" w:rsidP="008559D7">
      <w:pPr>
        <w:spacing w:line="360" w:lineRule="auto"/>
        <w:jc w:val="both"/>
      </w:pPr>
      <w:r w:rsidRPr="00B16892">
        <w:t>Flywheel energy storage systems (FESS) can play a significant role in supporting power systems that rely on variable renewable energy sources like solar and wind. Due to their rapid response capabilities, flywheels contribute to grid stability and help regulate frequency fluctuations. FESS can be effectively integrated with solar systems to mitigate the power oscillations caused by intermittent solar irradiance. During periods of high solar or wind availability, excess energy can be stored in flywheels and later released to smooth out fluctuations, enhancing overall system reliability. Additionally, flywheels can be used in combination with batteries to boost the consistency and quality of power output from solar installations. In wind applications, flywheels can independently compensate for short-term oscillations, thereby contributing to improved frequency control and grid balance</w:t>
      </w:r>
      <w:r w:rsidR="00BE0D23">
        <w:t>.</w:t>
      </w:r>
    </w:p>
    <w:p w14:paraId="74207173" w14:textId="78BE6836" w:rsidR="008559D7" w:rsidRDefault="008559D7" w:rsidP="0077156A">
      <w:pPr>
        <w:spacing w:line="360" w:lineRule="auto"/>
        <w:jc w:val="both"/>
      </w:pPr>
      <w:r w:rsidRPr="008559D7">
        <w:t xml:space="preserve">The Flywheel Energy Storage System (FESS) offers several advantages, including low maintenance requirements, a </w:t>
      </w:r>
      <w:proofErr w:type="gramStart"/>
      <w:r w:rsidRPr="008559D7">
        <w:t>long life</w:t>
      </w:r>
      <w:proofErr w:type="gramEnd"/>
      <w:r w:rsidRPr="008559D7">
        <w:t xml:space="preserve"> cycle, and the highest depth of discharge. Additionally, FESS has no environmental hazards, provides a fast power response, and has potentially high specific density, making it suitable for various applications. It also offers short discharge times, efficient energy storage capabilities, and rapid short-term responses, with an efficiency of approximately 90%. However, there are some disadvantages associated with FESS, such as complex durability issues, low-loss bearings, mechanical stress, and relatively higher costs compared to other storage </w:t>
      </w:r>
      <w:r w:rsidRPr="008559D7">
        <w:lastRenderedPageBreak/>
        <w:t>systems. In summary, although the system is more expensive, its unique characteristics make it potentially more suitable for applications like wind power plants</w:t>
      </w:r>
      <w:r w:rsidR="00A26097">
        <w:t xml:space="preserve"> </w:t>
      </w:r>
      <w:r w:rsidRPr="008559D7">
        <w:t>where rapid power response and efficient energy storage are crucial</w:t>
      </w:r>
      <w:r w:rsidR="00A26097">
        <w:t xml:space="preserve"> [19]</w:t>
      </w:r>
      <w:r w:rsidRPr="008559D7">
        <w:t>.</w:t>
      </w:r>
    </w:p>
    <w:p w14:paraId="39E6F376" w14:textId="0F673700" w:rsidR="00FF1962" w:rsidRPr="00B925BF" w:rsidRDefault="00B925BF">
      <w:pPr>
        <w:pStyle w:val="Heading2"/>
        <w:numPr>
          <w:ilvl w:val="1"/>
          <w:numId w:val="16"/>
        </w:numPr>
        <w:spacing w:line="360" w:lineRule="auto"/>
      </w:pPr>
      <w:bookmarkStart w:id="18" w:name="_Toc205672537"/>
      <w:r w:rsidRPr="00B925BF">
        <w:rPr>
          <w:lang w:bidi="ar-AE"/>
        </w:rPr>
        <w:t>Compressed air energy storage (CAES)</w:t>
      </w:r>
      <w:bookmarkEnd w:id="18"/>
    </w:p>
    <w:p w14:paraId="69C45A2C" w14:textId="30EDC542" w:rsidR="0035400A" w:rsidRPr="0035400A" w:rsidRDefault="0035400A" w:rsidP="0077156A">
      <w:pPr>
        <w:spacing w:line="360" w:lineRule="auto"/>
        <w:jc w:val="both"/>
        <w:rPr>
          <w:lang w:bidi="ar-AE"/>
        </w:rPr>
      </w:pPr>
      <w:r w:rsidRPr="0035400A">
        <w:rPr>
          <w:lang w:bidi="ar-AE"/>
        </w:rPr>
        <w:t xml:space="preserve">Compressed Air Energy Storage (CAES) systems store energy by compressing air and releasing it when energy demand increases. This technology allows excess electricity—often generated by renewable sources during periods of low demand—to be stored and later used to balance supply and demand. While CAES is considered an efficient method for storing surplus energy, especially at grid scale, it faces challenges related to thermal losses. During the compression process, a significant amount of heat is generated. To manage this, the system employs air expansion techniques to dissipate </w:t>
      </w:r>
      <w:proofErr w:type="gramStart"/>
      <w:r w:rsidRPr="0035400A">
        <w:rPr>
          <w:lang w:bidi="ar-AE"/>
        </w:rPr>
        <w:t>the heat</w:t>
      </w:r>
      <w:proofErr w:type="gramEnd"/>
      <w:r w:rsidRPr="0035400A">
        <w:rPr>
          <w:lang w:bidi="ar-AE"/>
        </w:rPr>
        <w:t>, but this can reduce overall system efficiency in large-scale applications.</w:t>
      </w:r>
    </w:p>
    <w:p w14:paraId="117F62F9" w14:textId="0A0BDE1C" w:rsidR="008559D7" w:rsidRDefault="008559D7" w:rsidP="0077156A">
      <w:pPr>
        <w:spacing w:line="360" w:lineRule="auto"/>
        <w:jc w:val="both"/>
        <w:rPr>
          <w:lang w:bidi="ar-AE"/>
        </w:rPr>
      </w:pPr>
      <w:r w:rsidRPr="008559D7">
        <w:rPr>
          <w:lang w:bidi="ar-AE"/>
        </w:rPr>
        <w:t>CAES system presents several advantages. It provides ramping, intermediate, and peaking power during the day, which helps meet fluctuating energy demands. Additionally, it can store energy generated at night, particularly from wind energy systems, and release it during peak demand periods when electricity prices are higher. CAES offers better frequency control compared to load-based power plants and can operate continuously in synchronous condenser mode. Furthermore, compressed air storage systems have quick startup times, enhancing their responsiveness in meeting energy demands. However, the system also has its disadvantages. A significant challenge lies in the underground geology storage, as the presence of hydrocarbons complicates storage. Site selection is another issue, as suitable locations must have mines, caverns, or specific geological formations for effective storage. Additionally, certain unavoidable losses reduce the amount of energy that eventually reaches the grid, and the need for additional heating during expansion further complicates the system's efficiency</w:t>
      </w:r>
      <w:r>
        <w:rPr>
          <w:lang w:bidi="ar-AE"/>
        </w:rPr>
        <w:t xml:space="preserve"> [20]</w:t>
      </w:r>
    </w:p>
    <w:p w14:paraId="3C80B9D4" w14:textId="77777777" w:rsidR="0077156A" w:rsidRPr="0077156A" w:rsidRDefault="0077156A" w:rsidP="0077156A">
      <w:pPr>
        <w:spacing w:line="360" w:lineRule="auto"/>
        <w:jc w:val="both"/>
        <w:rPr>
          <w:lang w:bidi="ar-AE"/>
        </w:rPr>
      </w:pPr>
    </w:p>
    <w:p w14:paraId="4F63B64E" w14:textId="7D954032" w:rsidR="00BB0D98" w:rsidRDefault="005B290C">
      <w:pPr>
        <w:pStyle w:val="Heading2"/>
        <w:numPr>
          <w:ilvl w:val="1"/>
          <w:numId w:val="16"/>
        </w:numPr>
        <w:spacing w:line="360" w:lineRule="auto"/>
        <w:rPr>
          <w:lang w:val="de-DE"/>
        </w:rPr>
      </w:pPr>
      <w:bookmarkStart w:id="19" w:name="_Toc205672538"/>
      <w:r>
        <w:rPr>
          <w:lang w:val="de-DE"/>
        </w:rPr>
        <w:t>Batteries</w:t>
      </w:r>
      <w:bookmarkEnd w:id="19"/>
    </w:p>
    <w:p w14:paraId="61CCADA8" w14:textId="04377369" w:rsidR="005B290C" w:rsidRPr="005B290C" w:rsidRDefault="005B290C">
      <w:pPr>
        <w:pStyle w:val="Heading3"/>
        <w:numPr>
          <w:ilvl w:val="2"/>
          <w:numId w:val="16"/>
        </w:numPr>
        <w:rPr>
          <w:rtl/>
        </w:rPr>
      </w:pPr>
      <w:r w:rsidRPr="00F94C0E">
        <w:t>Flow</w:t>
      </w:r>
      <w:r>
        <w:t xml:space="preserve"> batteries</w:t>
      </w:r>
    </w:p>
    <w:p w14:paraId="4BA7FAA4" w14:textId="1886D8B7" w:rsidR="00522D9C" w:rsidRDefault="0035400A" w:rsidP="00522D9C">
      <w:pPr>
        <w:spacing w:line="360" w:lineRule="auto"/>
        <w:jc w:val="both"/>
      </w:pPr>
      <w:r w:rsidRPr="0035400A">
        <w:t>Flow batteries are emerging as a promising alternative to conventional solid-state batteries, utilizing two liquid electrolytes instead of solid active materials.</w:t>
      </w:r>
      <w:r w:rsidR="0077156A">
        <w:t xml:space="preserve"> T</w:t>
      </w:r>
      <w:r w:rsidRPr="0035400A">
        <w:t xml:space="preserve">his design </w:t>
      </w:r>
      <w:r w:rsidRPr="0035400A">
        <w:lastRenderedPageBreak/>
        <w:t>allows for greater flexibility and scalability in energy storage. Unlike traditional batteries, which are limited by the fixed capacity of solid compounds, flow batteries store energy in external tanks, enabling much higher energy capacities</w:t>
      </w:r>
      <w:r>
        <w:t xml:space="preserve"> </w:t>
      </w:r>
      <w:r w:rsidRPr="0035400A">
        <w:t>with storage efficiencies around 75%. A variety of electrolyte chemistries have been developed, including zinc-bromine (</w:t>
      </w:r>
      <w:proofErr w:type="spellStart"/>
      <w:r w:rsidRPr="0035400A">
        <w:t>ZnBr</w:t>
      </w:r>
      <w:proofErr w:type="spellEnd"/>
      <w:r w:rsidRPr="0035400A">
        <w:t>), sodium-bromine (NaBr), and vanadium-based systems, with recent innovations incorporating sodium polysulfide. Flow batteries offer several advantages, such as rapid recharging, long operational lifespans (up to 10 years), the ability to fully discharge without damage, and the use of non-toxic, environmentally friendly materials. They also operate effectively at relatively low temperatures. However, one key drawback lies in the complexity and mechanical movement of system components, which poses challenges for widespread commercial deployment and increases maintenance requirements</w:t>
      </w:r>
      <w:r w:rsidR="008559D7">
        <w:t xml:space="preserve"> [21].</w:t>
      </w:r>
    </w:p>
    <w:p w14:paraId="681B0684" w14:textId="2CB555A3" w:rsidR="00522D9C" w:rsidRDefault="00522D9C" w:rsidP="00522D9C">
      <w:pPr>
        <w:spacing w:line="360" w:lineRule="auto"/>
        <w:jc w:val="center"/>
      </w:pPr>
    </w:p>
    <w:p w14:paraId="66907BB2" w14:textId="7AD4476B" w:rsidR="003F1D3C" w:rsidRPr="00F94C0E" w:rsidRDefault="00670937">
      <w:pPr>
        <w:pStyle w:val="Heading3"/>
        <w:numPr>
          <w:ilvl w:val="2"/>
          <w:numId w:val="16"/>
        </w:numPr>
      </w:pPr>
      <w:r>
        <w:t>Lithium ion Batteries</w:t>
      </w:r>
    </w:p>
    <w:p w14:paraId="638BF392" w14:textId="2A51A46E" w:rsidR="00C33F51" w:rsidRDefault="00111BEE" w:rsidP="006352F0">
      <w:pPr>
        <w:spacing w:line="360" w:lineRule="auto"/>
        <w:jc w:val="both"/>
        <w:rPr>
          <w:lang w:bidi="ar-AE"/>
        </w:rPr>
      </w:pPr>
      <w:r w:rsidRPr="00111BEE">
        <w:rPr>
          <w:lang w:bidi="ar-AE"/>
        </w:rPr>
        <w:t>Lithium-ion batteries were first commercially introduced by Sony in the early 1990s and have since evolved into one of the most widely adopted and influential battery technologies in the global energy storage market</w:t>
      </w:r>
      <w:r w:rsidR="00670937">
        <w:rPr>
          <w:lang w:bidi="ar-AE"/>
        </w:rPr>
        <w:t xml:space="preserve"> [22].</w:t>
      </w:r>
    </w:p>
    <w:p w14:paraId="72D85105" w14:textId="73F2468E" w:rsidR="00460720" w:rsidRPr="00460720" w:rsidRDefault="00111BEE" w:rsidP="00111BEE">
      <w:pPr>
        <w:spacing w:line="360" w:lineRule="auto"/>
        <w:jc w:val="both"/>
      </w:pPr>
      <w:r w:rsidRPr="00111BEE">
        <w:t>A typical lithium-ion battery consists of a cathode made from lithium metal oxides, such as lithium cobalt oxide or lithium transition metal oxides, and an anode composed of graphitic carbon. The electrolyte is usually a non-aqueous organic solvent containing dissolved lithium salts, such as lithium perchlorate. Li-ion batteries are particularly well-suited for applications where fast response times, compact size, and lightweight design are critical. They offer rapid response in the millisecond range and exhibit high power and energy densities</w:t>
      </w:r>
      <w:r>
        <w:t xml:space="preserve">, </w:t>
      </w:r>
      <w:r w:rsidRPr="00111BEE">
        <w:t xml:space="preserve">ranging from approximately 1500 to 10,000 W/L for power density, 75 to 200 </w:t>
      </w:r>
      <w:proofErr w:type="spellStart"/>
      <w:r w:rsidRPr="00111BEE">
        <w:t>Wh</w:t>
      </w:r>
      <w:proofErr w:type="spellEnd"/>
      <w:r w:rsidRPr="00111BEE">
        <w:t xml:space="preserve">/kg for energy density, and 150 to 2000 W/kg for specific power. Additionally, they boast high cycle efficiency, </w:t>
      </w:r>
      <w:proofErr w:type="gramStart"/>
      <w:r w:rsidRPr="00111BEE">
        <w:t>reaching up to</w:t>
      </w:r>
      <w:proofErr w:type="gramEnd"/>
      <w:r w:rsidRPr="00111BEE">
        <w:t xml:space="preserve"> 97%. However, there are notable limitations. The depth of discharge (DoD) significantly influences battery lifespan, and Li-ion battery systems typically require an integrated battery management system to monitor and control operation, which adds complexity and increases the overall system cost.</w:t>
      </w:r>
    </w:p>
    <w:p w14:paraId="583321F3" w14:textId="538A600A" w:rsidR="006352F0" w:rsidRPr="00F73B78" w:rsidRDefault="00F73B78" w:rsidP="00F73B78">
      <w:pPr>
        <w:spacing w:line="360" w:lineRule="auto"/>
        <w:jc w:val="both"/>
        <w:rPr>
          <w:rFonts w:asciiTheme="majorBidi" w:hAnsiTheme="majorBidi" w:cstheme="majorBidi"/>
        </w:rPr>
      </w:pPr>
      <w:r w:rsidRPr="00F73B78">
        <w:rPr>
          <w:rFonts w:asciiTheme="majorBidi" w:hAnsiTheme="majorBidi" w:cstheme="majorBidi"/>
        </w:rPr>
        <w:lastRenderedPageBreak/>
        <w:t xml:space="preserve">Li-ion battery energy storage systems have seen growing use in large-scale energy applications by several global companies. In the U.S., AES Energy Storage has deployed Li-ion systems for frequency regulation and to support wind power projects. In the UK, a major trial is underway to assess the economic benefits of using a 6 MW / 10 MWh Li-ion system as part of the country’s strategy for low-carbon energy. The project is expected to reduce infrastructure costs and support renewable energy integration. Similarly, Toshiba launched a 40 MW / 20 MWh Li-ion project in Japan to help stabilize renewable inputs into the grid. Li-ion batteries are also widely used in hybrid and electric vehicles, with capacities ranging from 15 kWh to 50 kWh, depending on the vehicle type </w:t>
      </w:r>
      <w:r w:rsidR="00D167CF" w:rsidRPr="00F73B78">
        <w:rPr>
          <w:rFonts w:asciiTheme="majorBidi" w:hAnsiTheme="majorBidi" w:cstheme="majorBidi"/>
        </w:rPr>
        <w:t>[23].</w:t>
      </w:r>
      <w:r w:rsidR="00247C75" w:rsidRPr="00F73B78">
        <w:rPr>
          <w:rFonts w:asciiTheme="majorBidi" w:hAnsiTheme="majorBidi" w:cstheme="majorBidi"/>
        </w:rPr>
        <w:t xml:space="preserve"> </w:t>
      </w:r>
    </w:p>
    <w:p w14:paraId="389D54BA" w14:textId="3F9C1031" w:rsidR="00247C75" w:rsidRPr="00A52993" w:rsidRDefault="00247C75">
      <w:pPr>
        <w:pStyle w:val="ListParagraph"/>
        <w:numPr>
          <w:ilvl w:val="0"/>
          <w:numId w:val="13"/>
        </w:numPr>
        <w:spacing w:line="360" w:lineRule="auto"/>
        <w:jc w:val="both"/>
        <w:rPr>
          <w:rFonts w:asciiTheme="majorBidi" w:hAnsiTheme="majorBidi" w:cstheme="majorBidi"/>
        </w:rPr>
      </w:pPr>
      <w:r w:rsidRPr="00A52993">
        <w:rPr>
          <w:rFonts w:asciiTheme="majorBidi" w:hAnsiTheme="majorBidi" w:cstheme="majorBidi"/>
        </w:rPr>
        <w:t>Significance of Lithium-Ion Batteries in Energy Storage</w:t>
      </w:r>
      <w:r w:rsidR="00A52993">
        <w:rPr>
          <w:rFonts w:asciiTheme="majorBidi" w:hAnsiTheme="majorBidi" w:cstheme="majorBidi"/>
        </w:rPr>
        <w:t>:</w:t>
      </w:r>
    </w:p>
    <w:p w14:paraId="4A9B1A4F" w14:textId="0B397415" w:rsidR="00247C75" w:rsidRPr="0077156A" w:rsidRDefault="00247C75" w:rsidP="0077156A">
      <w:pPr>
        <w:spacing w:line="360" w:lineRule="auto"/>
        <w:jc w:val="both"/>
        <w:rPr>
          <w:rFonts w:asciiTheme="majorBidi" w:hAnsiTheme="majorBidi" w:cstheme="majorBidi"/>
        </w:rPr>
      </w:pPr>
      <w:r w:rsidRPr="00DF1B7C">
        <w:rPr>
          <w:rFonts w:asciiTheme="majorBidi" w:hAnsiTheme="majorBidi" w:cstheme="majorBidi"/>
        </w:rPr>
        <w:t>The demand for lithium-ion batteries is experiencing rapid growth, particularly due to the increasing demand for electric-powered vehicles [</w:t>
      </w:r>
      <w:r w:rsidR="00A52993">
        <w:rPr>
          <w:rFonts w:asciiTheme="majorBidi" w:hAnsiTheme="majorBidi" w:cstheme="majorBidi"/>
        </w:rPr>
        <w:t>2</w:t>
      </w:r>
      <w:r w:rsidRPr="00DF1B7C">
        <w:rPr>
          <w:rFonts w:asciiTheme="majorBidi" w:hAnsiTheme="majorBidi" w:cstheme="majorBidi"/>
        </w:rPr>
        <w:t xml:space="preserve">4]. Grid-scale electrical </w:t>
      </w:r>
      <w:r w:rsidR="00414BCF">
        <w:rPr>
          <w:rFonts w:asciiTheme="majorBidi" w:hAnsiTheme="majorBidi" w:cstheme="majorBidi"/>
        </w:rPr>
        <w:t>ESS</w:t>
      </w:r>
      <w:r w:rsidRPr="00DF1B7C">
        <w:rPr>
          <w:rFonts w:asciiTheme="majorBidi" w:hAnsiTheme="majorBidi" w:cstheme="majorBidi"/>
        </w:rPr>
        <w:t xml:space="preserve">s </w:t>
      </w:r>
      <w:proofErr w:type="gramStart"/>
      <w:r w:rsidRPr="00DF1B7C">
        <w:rPr>
          <w:rFonts w:asciiTheme="majorBidi" w:hAnsiTheme="majorBidi" w:cstheme="majorBidi"/>
        </w:rPr>
        <w:t>serve</w:t>
      </w:r>
      <w:proofErr w:type="gramEnd"/>
      <w:r w:rsidRPr="00DF1B7C">
        <w:rPr>
          <w:rFonts w:asciiTheme="majorBidi" w:hAnsiTheme="majorBidi" w:cstheme="majorBidi"/>
        </w:rPr>
        <w:t xml:space="preserve"> a vital role in supporting various applications, including power generation, transmission, and the operation of large electronic devices. These systems effectively store excess electrical energy produced during periods of high-power generation in stationary applications. The stored energy is later used during periods of high demand, helping to stabilize electric power systems by using load leveling and peak shaving techniques [</w:t>
      </w:r>
      <w:r w:rsidR="00A52993">
        <w:rPr>
          <w:rFonts w:asciiTheme="majorBidi" w:hAnsiTheme="majorBidi" w:cstheme="majorBidi"/>
        </w:rPr>
        <w:t>2</w:t>
      </w:r>
      <w:r w:rsidRPr="00DF1B7C">
        <w:rPr>
          <w:rFonts w:asciiTheme="majorBidi" w:hAnsiTheme="majorBidi" w:cstheme="majorBidi"/>
        </w:rPr>
        <w:t xml:space="preserve">5]. Furthermore, the </w:t>
      </w:r>
      <w:r w:rsidR="00414BCF">
        <w:rPr>
          <w:rFonts w:asciiTheme="majorBidi" w:hAnsiTheme="majorBidi" w:cstheme="majorBidi"/>
        </w:rPr>
        <w:t>ESS</w:t>
      </w:r>
      <w:r w:rsidRPr="00DF1B7C">
        <w:rPr>
          <w:rFonts w:asciiTheme="majorBidi" w:hAnsiTheme="majorBidi" w:cstheme="majorBidi"/>
        </w:rPr>
        <w:t xml:space="preserve"> contributes to stabilizing the grid's load and power by swiftly charging and discharging, ensuring a consistent and regulated power supply to the grid. Its rapid response time is instrumental in maintaining grid stability. Additionally, the </w:t>
      </w:r>
      <w:r w:rsidR="00414BCF">
        <w:rPr>
          <w:rFonts w:asciiTheme="majorBidi" w:hAnsiTheme="majorBidi" w:cstheme="majorBidi"/>
        </w:rPr>
        <w:t>ESS</w:t>
      </w:r>
      <w:r w:rsidRPr="00DF1B7C">
        <w:rPr>
          <w:rFonts w:asciiTheme="majorBidi" w:hAnsiTheme="majorBidi" w:cstheme="majorBidi"/>
        </w:rPr>
        <w:t xml:space="preserve"> facilitates the establishment of a sustainable and environmentally friendly electric grid by efficiently utilizing intermittent renewable energy sources. Beyond its role in ensuring power reliability, the power grid system, functioning as a monitoring network, possesses the capability to anticipate and diagnose potential failures, thereby identifying irregularities or weaknesses in a timely manner.</w:t>
      </w:r>
    </w:p>
    <w:p w14:paraId="3B4D1E45" w14:textId="13C59C8C" w:rsidR="00247C75" w:rsidRPr="00DF1B7C" w:rsidRDefault="00247C75" w:rsidP="00247C75">
      <w:pPr>
        <w:spacing w:line="360" w:lineRule="auto"/>
        <w:jc w:val="both"/>
        <w:rPr>
          <w:rFonts w:asciiTheme="majorBidi" w:hAnsiTheme="majorBidi" w:cstheme="majorBidi"/>
        </w:rPr>
      </w:pPr>
      <w:r w:rsidRPr="00DF1B7C">
        <w:rPr>
          <w:rFonts w:asciiTheme="majorBidi" w:hAnsiTheme="majorBidi" w:cstheme="majorBidi"/>
        </w:rPr>
        <w:t>Lithium-ion batteries, also known as Li-ion batteries, have become a prominent technology for storing energy due to their superior energy density, extended lifespan, and effectiveness in storing and discharging electrical energy. These batteries present a hopeful resolution for energy storage applications at both small-scale and grid-level. Their ability to adjust, react quickly, and expand in size makes them a favored option for enhancing the integration of renewable energy and reducing variations in supply [</w:t>
      </w:r>
      <w:r w:rsidR="00A52993">
        <w:rPr>
          <w:rFonts w:asciiTheme="majorBidi" w:hAnsiTheme="majorBidi" w:cstheme="majorBidi"/>
        </w:rPr>
        <w:t>2</w:t>
      </w:r>
      <w:r w:rsidRPr="00DF1B7C">
        <w:rPr>
          <w:rFonts w:asciiTheme="majorBidi" w:hAnsiTheme="majorBidi" w:cstheme="majorBidi"/>
        </w:rPr>
        <w:t>6].</w:t>
      </w:r>
    </w:p>
    <w:p w14:paraId="188F012E" w14:textId="364B5E2F" w:rsidR="00247C75" w:rsidRPr="00DF1B7C" w:rsidRDefault="00247C75" w:rsidP="00247C75">
      <w:pPr>
        <w:spacing w:line="360" w:lineRule="auto"/>
        <w:jc w:val="both"/>
        <w:rPr>
          <w:rFonts w:asciiTheme="majorBidi" w:hAnsiTheme="majorBidi" w:cstheme="majorBidi"/>
        </w:rPr>
      </w:pPr>
      <w:r w:rsidRPr="00DF1B7C">
        <w:rPr>
          <w:rFonts w:asciiTheme="majorBidi" w:hAnsiTheme="majorBidi" w:cstheme="majorBidi"/>
        </w:rPr>
        <w:lastRenderedPageBreak/>
        <w:t xml:space="preserve">The </w:t>
      </w:r>
      <w:r w:rsidR="00414BCF">
        <w:rPr>
          <w:rFonts w:asciiTheme="majorBidi" w:hAnsiTheme="majorBidi" w:cstheme="majorBidi"/>
        </w:rPr>
        <w:t>ESS</w:t>
      </w:r>
      <w:r w:rsidRPr="00DF1B7C">
        <w:rPr>
          <w:rFonts w:asciiTheme="majorBidi" w:hAnsiTheme="majorBidi" w:cstheme="majorBidi"/>
        </w:rPr>
        <w:t xml:space="preserve"> at the grid level plays a crucial role in managing electricity usage, catering to diverse large-scale applications. Electrical power demand exhibits daily, seasonal, and unforeseen fluctuations, often displaying significant differences between peak and off-peak periods. Hence, the storage of generated power becomes essential, providing surplus power during peak loads through load leveling and peak shaving. Furthermore, renewable energy sources are subject to geographic, seasonal, and temporal variations, resulting in unpredictable power output fluctuations that might not directly meet the grid's demands. Consequently, the power grid system aims to stabilize the intermittent output power generated by sources like wind and solar energy, reducing the resultant fluctuations by adjusting their output profiles [</w:t>
      </w:r>
      <w:r w:rsidR="00A52993">
        <w:rPr>
          <w:rFonts w:asciiTheme="majorBidi" w:hAnsiTheme="majorBidi" w:cstheme="majorBidi"/>
        </w:rPr>
        <w:t>2</w:t>
      </w:r>
      <w:r w:rsidRPr="00DF1B7C">
        <w:rPr>
          <w:rFonts w:asciiTheme="majorBidi" w:hAnsiTheme="majorBidi" w:cstheme="majorBidi"/>
        </w:rPr>
        <w:t>7].</w:t>
      </w:r>
    </w:p>
    <w:p w14:paraId="4525103D" w14:textId="77777777" w:rsidR="00A52993" w:rsidRDefault="00247C75" w:rsidP="00A52993">
      <w:pPr>
        <w:spacing w:line="360" w:lineRule="auto"/>
        <w:jc w:val="both"/>
        <w:rPr>
          <w:rFonts w:asciiTheme="majorBidi" w:hAnsiTheme="majorBidi" w:cstheme="majorBidi"/>
          <w:b/>
          <w:bCs/>
        </w:rPr>
      </w:pPr>
      <w:r w:rsidRPr="00DF1B7C">
        <w:rPr>
          <w:rFonts w:asciiTheme="majorBidi" w:hAnsiTheme="majorBidi" w:cstheme="majorBidi"/>
        </w:rPr>
        <w:t>Lithium-ion batteries have various functions in the integration of power grids. They enable the optimal utilization of sustainable energy sources such as solar and wind by storing surplus energy produced during periods of low demand and delivering it when demand surpasses supply. Peak shaving is a process that helps to balance the grid and alleviate strain during periods of high demand.</w:t>
      </w:r>
      <w:r w:rsidR="00A52993" w:rsidRPr="00A52993">
        <w:rPr>
          <w:rFonts w:asciiTheme="majorBidi" w:hAnsiTheme="majorBidi" w:cstheme="majorBidi"/>
          <w:b/>
          <w:bCs/>
        </w:rPr>
        <w:t xml:space="preserve"> </w:t>
      </w:r>
    </w:p>
    <w:p w14:paraId="67F58C5E" w14:textId="2E02E1C5" w:rsidR="00A52993" w:rsidRPr="00A52993" w:rsidRDefault="00A52993">
      <w:pPr>
        <w:pStyle w:val="ListParagraph"/>
        <w:numPr>
          <w:ilvl w:val="0"/>
          <w:numId w:val="13"/>
        </w:numPr>
        <w:spacing w:line="360" w:lineRule="auto"/>
        <w:jc w:val="both"/>
        <w:rPr>
          <w:rFonts w:asciiTheme="majorBidi" w:hAnsiTheme="majorBidi" w:cstheme="majorBidi"/>
        </w:rPr>
      </w:pPr>
      <w:r w:rsidRPr="00A52993">
        <w:rPr>
          <w:rFonts w:asciiTheme="majorBidi" w:hAnsiTheme="majorBidi" w:cstheme="majorBidi"/>
        </w:rPr>
        <w:t>Grid Stability and Reliability</w:t>
      </w:r>
      <w:r>
        <w:rPr>
          <w:rFonts w:asciiTheme="majorBidi" w:hAnsiTheme="majorBidi" w:cstheme="majorBidi"/>
        </w:rPr>
        <w:t>:</w:t>
      </w:r>
    </w:p>
    <w:p w14:paraId="10388A40" w14:textId="77777777" w:rsidR="00F73B78" w:rsidRDefault="00A52993" w:rsidP="00F73B78">
      <w:pPr>
        <w:spacing w:line="360" w:lineRule="auto"/>
        <w:jc w:val="both"/>
        <w:rPr>
          <w:rFonts w:asciiTheme="majorBidi" w:hAnsiTheme="majorBidi" w:cstheme="majorBidi"/>
        </w:rPr>
      </w:pPr>
      <w:r w:rsidRPr="00DF1B7C">
        <w:rPr>
          <w:rFonts w:asciiTheme="majorBidi" w:hAnsiTheme="majorBidi" w:cstheme="majorBidi"/>
        </w:rPr>
        <w:t xml:space="preserve">Lithium-ion batteries improve grid stability by offering rapid-response capabilities to mitigate abrupt variations in power generation. They function as agile resources that mitigate fluctuations in energy supply and demand, thus ensuring consistent voltage and frequency levels within the grid. Grid </w:t>
      </w:r>
      <w:r w:rsidR="00414BCF">
        <w:rPr>
          <w:rFonts w:asciiTheme="majorBidi" w:hAnsiTheme="majorBidi" w:cstheme="majorBidi"/>
        </w:rPr>
        <w:t>ESS</w:t>
      </w:r>
      <w:r w:rsidRPr="00DF1B7C">
        <w:rPr>
          <w:rFonts w:asciiTheme="majorBidi" w:hAnsiTheme="majorBidi" w:cstheme="majorBidi"/>
        </w:rPr>
        <w:t>s require significant power and energy to maintain their stability.</w:t>
      </w:r>
    </w:p>
    <w:p w14:paraId="5216D6C7" w14:textId="154EA045" w:rsidR="00A52993" w:rsidRPr="00DF1B7C" w:rsidRDefault="00F73B78" w:rsidP="00F73B78">
      <w:pPr>
        <w:spacing w:line="360" w:lineRule="auto"/>
        <w:jc w:val="both"/>
        <w:rPr>
          <w:rFonts w:asciiTheme="majorBidi" w:hAnsiTheme="majorBidi" w:cstheme="majorBidi"/>
        </w:rPr>
      </w:pPr>
      <w:r w:rsidRPr="00F73B78">
        <w:rPr>
          <w:rFonts w:asciiTheme="majorBidi" w:hAnsiTheme="majorBidi" w:cstheme="majorBidi"/>
        </w:rPr>
        <w:t xml:space="preserve">Effectively managing the wide range of devices integrated into the power grid requires a substantial number of power sources. This diversity and scale introduce major challenges in achieving both autonomous and coordinated operation across the network. One of the key challenges is developing a power management system that ensures long-term system stability, operational reliability, safe energy storage, and economic efficiency. In systems where multiple batteries are connected in a stack, the power management system must regulate and balance electrical parameters—such as voltage and current—for each individual battery. This system plays a critical role in determining how well the battery </w:t>
      </w:r>
      <w:r w:rsidRPr="00F73B78">
        <w:rPr>
          <w:rFonts w:asciiTheme="majorBidi" w:hAnsiTheme="majorBidi" w:cstheme="majorBidi"/>
        </w:rPr>
        <w:lastRenderedPageBreak/>
        <w:t xml:space="preserve">stack performs in large-scale energy storage applications, directly influencing its safety, efficiency, and overall cost </w:t>
      </w:r>
      <w:r w:rsidR="00A52993" w:rsidRPr="00DF1B7C">
        <w:rPr>
          <w:rFonts w:asciiTheme="majorBidi" w:hAnsiTheme="majorBidi" w:cstheme="majorBidi"/>
        </w:rPr>
        <w:t>[</w:t>
      </w:r>
      <w:r w:rsidR="00A52993">
        <w:rPr>
          <w:rFonts w:asciiTheme="majorBidi" w:hAnsiTheme="majorBidi" w:cstheme="majorBidi"/>
        </w:rPr>
        <w:t>2</w:t>
      </w:r>
      <w:r w:rsidR="00A52993" w:rsidRPr="00DF1B7C">
        <w:rPr>
          <w:rFonts w:asciiTheme="majorBidi" w:hAnsiTheme="majorBidi" w:cstheme="majorBidi"/>
        </w:rPr>
        <w:t>8].</w:t>
      </w:r>
    </w:p>
    <w:p w14:paraId="513A67F5" w14:textId="77777777"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While Lithium-ion batteries have a high energy density, a single cell is inadequate for fulfilling the requirements of the power grid. Assembling batteries in parallel to increase current capability or in series to raise voltage presents considerable difficulties concerning stability, operational voltage, safety, and cycle life. By connecting a small number of cells in series, the charge current and voltage are evenly distributed among them. Nevertheless, the process of generating a high voltage necessitates the use of multiple cells arranged in series, resulting in an uneven distribution of voltage across these cells. This leads to an uneven distribution of charge among the cells, with some cells being fully charged while others are excessively charged. Lithium-ion batteries have constraints when it comes to excessive charging, which can lead to safety hazards and reduce the overall lifespan of the system. Therefore, it is crucial to incorporate a system monitor to avoid excessive charging of cells and ensure the batteries are evenly charged, thus enhancing the overall performance of the system.</w:t>
      </w:r>
    </w:p>
    <w:p w14:paraId="48B30FC6" w14:textId="09B83024"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To guarantee safety, Lithium-ion batteries monitors must adhere to the following guidelines: They must maintain circuit balance to prevent any cell's voltage or current from exceeding the limit by stopping the charging current. This is a critical precautionary measure to address safety concerns and ensure the stability of the system. They must also monitor temperature levels to prevent any cell from surpassing the limit, which would result in the system shutting down and cooling off [</w:t>
      </w:r>
      <w:r>
        <w:rPr>
          <w:rFonts w:asciiTheme="majorBidi" w:hAnsiTheme="majorBidi" w:cstheme="majorBidi"/>
        </w:rPr>
        <w:t>2</w:t>
      </w:r>
      <w:r w:rsidRPr="00DF1B7C">
        <w:rPr>
          <w:rFonts w:asciiTheme="majorBidi" w:hAnsiTheme="majorBidi" w:cstheme="majorBidi"/>
        </w:rPr>
        <w:t>9].</w:t>
      </w:r>
    </w:p>
    <w:p w14:paraId="1870FCBE" w14:textId="00E1FDFE" w:rsidR="00A52993" w:rsidRPr="00A52993" w:rsidRDefault="00A52993">
      <w:pPr>
        <w:pStyle w:val="ListParagraph"/>
        <w:numPr>
          <w:ilvl w:val="0"/>
          <w:numId w:val="13"/>
        </w:numPr>
        <w:spacing w:line="360" w:lineRule="auto"/>
        <w:jc w:val="both"/>
        <w:rPr>
          <w:rFonts w:asciiTheme="majorBidi" w:hAnsiTheme="majorBidi" w:cstheme="majorBidi"/>
        </w:rPr>
      </w:pPr>
      <w:r w:rsidRPr="00A52993">
        <w:rPr>
          <w:rFonts w:asciiTheme="majorBidi" w:hAnsiTheme="majorBidi" w:cstheme="majorBidi"/>
        </w:rPr>
        <w:t>Renewable Energy Integration</w:t>
      </w:r>
      <w:r>
        <w:rPr>
          <w:rFonts w:asciiTheme="majorBidi" w:hAnsiTheme="majorBidi" w:cstheme="majorBidi"/>
        </w:rPr>
        <w:t>:</w:t>
      </w:r>
    </w:p>
    <w:p w14:paraId="419CC862" w14:textId="0F250DA5"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 xml:space="preserve">Renewable sources have become widely accessible and are now considered highly cost-effective for power generation in many regions. The substantial growth of variable renewable sources in recent years has driven the need for more flexible electrical </w:t>
      </w:r>
      <w:r w:rsidR="00414BCF">
        <w:rPr>
          <w:rFonts w:asciiTheme="majorBidi" w:hAnsiTheme="majorBidi" w:cstheme="majorBidi"/>
        </w:rPr>
        <w:t>ESS</w:t>
      </w:r>
      <w:r w:rsidRPr="00DF1B7C">
        <w:rPr>
          <w:rFonts w:asciiTheme="majorBidi" w:hAnsiTheme="majorBidi" w:cstheme="majorBidi"/>
        </w:rPr>
        <w:t>s. B</w:t>
      </w:r>
      <w:r w:rsidR="00414BCF">
        <w:rPr>
          <w:rFonts w:asciiTheme="majorBidi" w:hAnsiTheme="majorBidi" w:cstheme="majorBidi"/>
        </w:rPr>
        <w:t>ESS</w:t>
      </w:r>
      <w:r w:rsidRPr="00DF1B7C">
        <w:rPr>
          <w:rFonts w:asciiTheme="majorBidi" w:hAnsiTheme="majorBidi" w:cstheme="majorBidi"/>
        </w:rPr>
        <w:t>s provide an effective method for storing electricity produced by renewable sources, thus improving the stability and dependability of the grid system. As a result, this progress promotes the increased use of renewable energy sources [</w:t>
      </w:r>
      <w:r>
        <w:rPr>
          <w:rFonts w:asciiTheme="majorBidi" w:hAnsiTheme="majorBidi" w:cstheme="majorBidi"/>
        </w:rPr>
        <w:t>3</w:t>
      </w:r>
      <w:r w:rsidRPr="00DF1B7C">
        <w:rPr>
          <w:rFonts w:asciiTheme="majorBidi" w:hAnsiTheme="majorBidi" w:cstheme="majorBidi"/>
        </w:rPr>
        <w:t>0].</w:t>
      </w:r>
    </w:p>
    <w:p w14:paraId="36C03CC1" w14:textId="77777777"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 xml:space="preserve">These batteries facilitate the smooth incorporation of renewable energy sources into the power grid. They accumulate excess energy produced during favorable circumstances and </w:t>
      </w:r>
      <w:r w:rsidRPr="00DF1B7C">
        <w:rPr>
          <w:rFonts w:asciiTheme="majorBidi" w:hAnsiTheme="majorBidi" w:cstheme="majorBidi"/>
        </w:rPr>
        <w:lastRenderedPageBreak/>
        <w:t>distribute it during times of high demand or when renewable sources are not actively generating electricity.</w:t>
      </w:r>
    </w:p>
    <w:p w14:paraId="5B134116" w14:textId="350D3036" w:rsidR="00A52993" w:rsidRPr="00DF1B7C" w:rsidRDefault="00A52993" w:rsidP="0077156A">
      <w:pPr>
        <w:spacing w:line="360" w:lineRule="auto"/>
        <w:jc w:val="both"/>
        <w:rPr>
          <w:rFonts w:asciiTheme="majorBidi" w:hAnsiTheme="majorBidi" w:cstheme="majorBidi"/>
        </w:rPr>
      </w:pPr>
      <w:r w:rsidRPr="00DF1B7C">
        <w:rPr>
          <w:rFonts w:asciiTheme="majorBidi" w:hAnsiTheme="majorBidi" w:cstheme="majorBidi"/>
        </w:rPr>
        <w:t>Integrated lithium-ion batteries can greatly enhance the performance of solar photovoltaic power farms by storing electrical energy and stabilizing output power. This helps to address the issue of intermittence that occurs during night-time or when sunlight is obstructed. This combination creates a resilient operational system that can effectively handle unexpected increases in power and fulfill consistent power requirements. The incorporation of batteries in solar photovoltaic systems has shown enhanced stability in power output, particularly when confronted with partial shading or fluctuations in solar radiation [</w:t>
      </w:r>
      <w:r>
        <w:rPr>
          <w:rFonts w:asciiTheme="majorBidi" w:hAnsiTheme="majorBidi" w:cstheme="majorBidi"/>
        </w:rPr>
        <w:t>3</w:t>
      </w:r>
      <w:r w:rsidRPr="00DF1B7C">
        <w:rPr>
          <w:rFonts w:asciiTheme="majorBidi" w:hAnsiTheme="majorBidi" w:cstheme="majorBidi"/>
        </w:rPr>
        <w:t>1].</w:t>
      </w:r>
    </w:p>
    <w:p w14:paraId="0EA02BAC" w14:textId="28A3A6C4" w:rsidR="00A52993" w:rsidRPr="00A52993" w:rsidRDefault="00A52993">
      <w:pPr>
        <w:pStyle w:val="ListParagraph"/>
        <w:numPr>
          <w:ilvl w:val="0"/>
          <w:numId w:val="13"/>
        </w:numPr>
        <w:spacing w:line="360" w:lineRule="auto"/>
        <w:jc w:val="both"/>
        <w:rPr>
          <w:rFonts w:asciiTheme="majorBidi" w:hAnsiTheme="majorBidi" w:cstheme="majorBidi"/>
        </w:rPr>
      </w:pPr>
      <w:r w:rsidRPr="00A52993">
        <w:rPr>
          <w:rFonts w:asciiTheme="majorBidi" w:hAnsiTheme="majorBidi" w:cstheme="majorBidi"/>
        </w:rPr>
        <w:t>Peak Load Management</w:t>
      </w:r>
      <w:r>
        <w:rPr>
          <w:rFonts w:asciiTheme="majorBidi" w:hAnsiTheme="majorBidi" w:cstheme="majorBidi"/>
        </w:rPr>
        <w:t>:</w:t>
      </w:r>
    </w:p>
    <w:p w14:paraId="01B6039C" w14:textId="74E27E68" w:rsidR="00A52993" w:rsidRPr="00DF1B7C" w:rsidRDefault="00A52993" w:rsidP="00522D9C">
      <w:pPr>
        <w:spacing w:line="360" w:lineRule="auto"/>
        <w:jc w:val="both"/>
        <w:rPr>
          <w:rFonts w:asciiTheme="majorBidi" w:hAnsiTheme="majorBidi" w:cstheme="majorBidi"/>
        </w:rPr>
      </w:pPr>
      <w:r w:rsidRPr="00DF1B7C">
        <w:rPr>
          <w:rFonts w:asciiTheme="majorBidi" w:hAnsiTheme="majorBidi" w:cstheme="majorBidi"/>
        </w:rPr>
        <w:t xml:space="preserve">Lithium-ion batteries are essential for managing peak loads by supplying additional power during periods of high demand, thereby alleviating the burden on conventional power generation systems. </w:t>
      </w:r>
      <w:proofErr w:type="gramStart"/>
      <w:r w:rsidRPr="00DF1B7C">
        <w:rPr>
          <w:rFonts w:asciiTheme="majorBidi" w:hAnsiTheme="majorBidi" w:cstheme="majorBidi"/>
        </w:rPr>
        <w:t>The majority of</w:t>
      </w:r>
      <w:proofErr w:type="gramEnd"/>
      <w:r w:rsidRPr="00DF1B7C">
        <w:rPr>
          <w:rFonts w:asciiTheme="majorBidi" w:hAnsiTheme="majorBidi" w:cstheme="majorBidi"/>
        </w:rPr>
        <w:t xml:space="preserve"> projects that offer frequency regulation services have reported a nominal power that is greater than 1 MW, with an approximate power-to-energy ratio of 1:1 [</w:t>
      </w:r>
      <w:r>
        <w:rPr>
          <w:rFonts w:asciiTheme="majorBidi" w:hAnsiTheme="majorBidi" w:cstheme="majorBidi"/>
        </w:rPr>
        <w:t>3</w:t>
      </w:r>
      <w:r w:rsidRPr="00DF1B7C">
        <w:rPr>
          <w:rFonts w:asciiTheme="majorBidi" w:hAnsiTheme="majorBidi" w:cstheme="majorBidi"/>
        </w:rPr>
        <w:t xml:space="preserve">2]. Battery technologies face a challenge in meeting the requirements of frequency regulation, which include the need for quick response times, high performance, and strong power capabilities. Ensuring consistent and dependable electricity supply is of utmost importance in extensive implementation and remote setups, with a specific emphasis on maintaining stable voltage and frequency. </w:t>
      </w:r>
      <w:r w:rsidR="00414BCF">
        <w:rPr>
          <w:rFonts w:asciiTheme="majorBidi" w:hAnsiTheme="majorBidi" w:cstheme="majorBidi"/>
        </w:rPr>
        <w:t>ESS</w:t>
      </w:r>
      <w:r w:rsidRPr="00DF1B7C">
        <w:rPr>
          <w:rFonts w:asciiTheme="majorBidi" w:hAnsiTheme="majorBidi" w:cstheme="majorBidi"/>
        </w:rPr>
        <w:t>s maintain voltage and frequency stability in situations where there is a difference between power generation and consumption. They are used for both short-term and long-term purposes. Due to their high round-trip efficiency and energy density, lithium-ion batteries have great potential for a wide range of applications [</w:t>
      </w:r>
      <w:r>
        <w:rPr>
          <w:rFonts w:asciiTheme="majorBidi" w:hAnsiTheme="majorBidi" w:cstheme="majorBidi"/>
        </w:rPr>
        <w:t>3</w:t>
      </w:r>
      <w:r w:rsidRPr="00DF1B7C">
        <w:rPr>
          <w:rFonts w:asciiTheme="majorBidi" w:hAnsiTheme="majorBidi" w:cstheme="majorBidi"/>
        </w:rPr>
        <w:t>3].</w:t>
      </w:r>
    </w:p>
    <w:p w14:paraId="3EB51A10" w14:textId="6973422A" w:rsidR="00A52993" w:rsidRPr="00A52993" w:rsidRDefault="00A52993">
      <w:pPr>
        <w:pStyle w:val="ListParagraph"/>
        <w:numPr>
          <w:ilvl w:val="0"/>
          <w:numId w:val="13"/>
        </w:numPr>
        <w:spacing w:line="360" w:lineRule="auto"/>
        <w:jc w:val="both"/>
        <w:rPr>
          <w:rFonts w:asciiTheme="majorBidi" w:hAnsiTheme="majorBidi" w:cstheme="majorBidi"/>
        </w:rPr>
      </w:pPr>
      <w:r w:rsidRPr="00A52993">
        <w:rPr>
          <w:rFonts w:asciiTheme="majorBidi" w:hAnsiTheme="majorBidi" w:cstheme="majorBidi"/>
        </w:rPr>
        <w:t>Challenges and Future Prospects</w:t>
      </w:r>
      <w:r>
        <w:rPr>
          <w:rFonts w:asciiTheme="majorBidi" w:hAnsiTheme="majorBidi" w:cstheme="majorBidi"/>
        </w:rPr>
        <w:t>:</w:t>
      </w:r>
    </w:p>
    <w:p w14:paraId="44B5BFF7" w14:textId="0AF300C5"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 xml:space="preserve">Although lithium-ion batteries possess various benefits, they also present certain challenges, including high costs, safety issues, and a scarcity of raw materials. Scientists are currently investigating innovations in battery technology to tackle these difficulties, with the goal of enhancing energy density, longevity, and recyclability. </w:t>
      </w:r>
      <w:r w:rsidR="00414BCF">
        <w:rPr>
          <w:rFonts w:asciiTheme="majorBidi" w:hAnsiTheme="majorBidi" w:cstheme="majorBidi"/>
        </w:rPr>
        <w:t>ESS</w:t>
      </w:r>
      <w:r w:rsidRPr="00DF1B7C">
        <w:rPr>
          <w:rFonts w:asciiTheme="majorBidi" w:hAnsiTheme="majorBidi" w:cstheme="majorBidi"/>
        </w:rPr>
        <w:t xml:space="preserve">s for the electricity grid represent a significant change in flexibility, solving the long-standing </w:t>
      </w:r>
      <w:r w:rsidRPr="00DF1B7C">
        <w:rPr>
          <w:rFonts w:asciiTheme="majorBidi" w:hAnsiTheme="majorBidi" w:cstheme="majorBidi"/>
        </w:rPr>
        <w:lastRenderedPageBreak/>
        <w:t>problem of aligning electricity generation with consumption. This limitation imposes a significant financial burden, necessitating the development of grid infrastructure to accommodate peak demand, which is almost double the average demand, in the absence of storage. The increasing presence of renewable energy sources such as wind and solar highlights the need for storage due to their inherent variability, which can potentially jeopardize grid stability and reliability on a larger scale. The integration of storage with wind and solar power makes these variable sources dispatchable, guaranteeing their immediate availability to meet changing demands. Storage not only reduces the carbon footprint by replacing old, inefficient, high emission "Peaker" plants, but it also utilizes low-cost, cleaner electricity to charge batteries during off-peak hours for discharge during peak demand, thereby improving the environmental sustainability of the grid [</w:t>
      </w:r>
      <w:r>
        <w:rPr>
          <w:rFonts w:asciiTheme="majorBidi" w:hAnsiTheme="majorBidi" w:cstheme="majorBidi"/>
        </w:rPr>
        <w:t>3</w:t>
      </w:r>
      <w:r w:rsidRPr="00DF1B7C">
        <w:rPr>
          <w:rFonts w:asciiTheme="majorBidi" w:hAnsiTheme="majorBidi" w:cstheme="majorBidi"/>
        </w:rPr>
        <w:t xml:space="preserve">4]. The main obstacle encountered by grid storage is its competition with more economically viable forms of energy generation, particularly gas turbines, which offer electricity at a cost that is roughly one-fifth of the price of the currently accessible batteries. From a purely economic standpoint, it is more favorable to produce electricity using gas turbines as needed, rather than charging batteries during low-demand periods and then discharging them during high-demand periods. </w:t>
      </w:r>
      <w:proofErr w:type="gramStart"/>
      <w:r w:rsidRPr="00DF1B7C">
        <w:rPr>
          <w:rFonts w:asciiTheme="majorBidi" w:hAnsiTheme="majorBidi" w:cstheme="majorBidi"/>
        </w:rPr>
        <w:t>In order to</w:t>
      </w:r>
      <w:proofErr w:type="gramEnd"/>
      <w:r w:rsidRPr="00DF1B7C">
        <w:rPr>
          <w:rFonts w:asciiTheme="majorBidi" w:hAnsiTheme="majorBidi" w:cstheme="majorBidi"/>
        </w:rPr>
        <w:t xml:space="preserve"> compete with gas turbines, the cost of grid batteries must decrease by approximately fivefold [</w:t>
      </w:r>
      <w:r>
        <w:rPr>
          <w:rFonts w:asciiTheme="majorBidi" w:hAnsiTheme="majorBidi" w:cstheme="majorBidi"/>
        </w:rPr>
        <w:t>3</w:t>
      </w:r>
      <w:r w:rsidRPr="00DF1B7C">
        <w:rPr>
          <w:rFonts w:asciiTheme="majorBidi" w:hAnsiTheme="majorBidi" w:cstheme="majorBidi"/>
        </w:rPr>
        <w:t>5].</w:t>
      </w:r>
    </w:p>
    <w:p w14:paraId="0B9243A5" w14:textId="5A6926C7"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 xml:space="preserve">Although there have been significant advancements in energy density and cost reductions for lithium-ion batteries, it is currently impossible to achieve further five-fold improvements. Theoretical constraints on the performance of active components in lithium-ion batteries restrict improvements to approximately 50-100%. It is crucial to make groundbreaking progress in technologies that go beyond lithium-ion </w:t>
      </w:r>
      <w:proofErr w:type="gramStart"/>
      <w:r w:rsidRPr="00DF1B7C">
        <w:rPr>
          <w:rFonts w:asciiTheme="majorBidi" w:hAnsiTheme="majorBidi" w:cstheme="majorBidi"/>
        </w:rPr>
        <w:t>in order to</w:t>
      </w:r>
      <w:proofErr w:type="gramEnd"/>
      <w:r w:rsidRPr="00DF1B7C">
        <w:rPr>
          <w:rFonts w:asciiTheme="majorBidi" w:hAnsiTheme="majorBidi" w:cstheme="majorBidi"/>
        </w:rPr>
        <w:t xml:space="preserve"> completely transform transportation and the electricity grid [</w:t>
      </w:r>
      <w:r>
        <w:rPr>
          <w:rFonts w:asciiTheme="majorBidi" w:hAnsiTheme="majorBidi" w:cstheme="majorBidi"/>
        </w:rPr>
        <w:t>3</w:t>
      </w:r>
      <w:r w:rsidRPr="00DF1B7C">
        <w:rPr>
          <w:rFonts w:asciiTheme="majorBidi" w:hAnsiTheme="majorBidi" w:cstheme="majorBidi"/>
        </w:rPr>
        <w:t>6].</w:t>
      </w:r>
    </w:p>
    <w:p w14:paraId="466F73EA" w14:textId="2EEFE993" w:rsidR="006352F0" w:rsidRPr="001A48C7" w:rsidRDefault="00A52993" w:rsidP="001A48C7">
      <w:pPr>
        <w:spacing w:line="360" w:lineRule="auto"/>
        <w:jc w:val="both"/>
        <w:rPr>
          <w:rFonts w:asciiTheme="majorBidi" w:hAnsiTheme="majorBidi" w:cstheme="majorBidi"/>
        </w:rPr>
      </w:pPr>
      <w:r w:rsidRPr="00DF1B7C">
        <w:rPr>
          <w:rFonts w:asciiTheme="majorBidi" w:hAnsiTheme="majorBidi" w:cstheme="majorBidi"/>
        </w:rPr>
        <w:t xml:space="preserve">Ultimately, lithium-ion batteries are leading the way in energy storage technology. They enable the efficient integration of renewable energy sources into the grid, thereby making a substantial contribution to a more sustainable and dependable energy system. In the future, ongoing research and development efforts will enhance the performance of </w:t>
      </w:r>
      <w:r w:rsidR="00414BCF">
        <w:rPr>
          <w:rFonts w:asciiTheme="majorBidi" w:hAnsiTheme="majorBidi" w:cstheme="majorBidi"/>
        </w:rPr>
        <w:t>ESS</w:t>
      </w:r>
      <w:r w:rsidRPr="00DF1B7C">
        <w:rPr>
          <w:rFonts w:asciiTheme="majorBidi" w:hAnsiTheme="majorBidi" w:cstheme="majorBidi"/>
        </w:rPr>
        <w:t>s, making them a crucial element in their development.</w:t>
      </w:r>
    </w:p>
    <w:p w14:paraId="42F6ED17" w14:textId="42AED993" w:rsidR="00670937" w:rsidRDefault="006F58CF">
      <w:pPr>
        <w:pStyle w:val="Heading3"/>
        <w:numPr>
          <w:ilvl w:val="2"/>
          <w:numId w:val="16"/>
        </w:numPr>
      </w:pPr>
      <w:r>
        <w:t>Lead-acid</w:t>
      </w:r>
      <w:r w:rsidR="00460720">
        <w:t xml:space="preserve"> batteries</w:t>
      </w:r>
    </w:p>
    <w:p w14:paraId="731D0718" w14:textId="7E9038A4" w:rsidR="00460720" w:rsidRDefault="00111BEE" w:rsidP="006352F0">
      <w:pPr>
        <w:spacing w:line="360" w:lineRule="auto"/>
        <w:jc w:val="both"/>
        <w:rPr>
          <w:rtl/>
          <w:lang w:bidi="ar-AE"/>
        </w:rPr>
      </w:pPr>
      <w:r w:rsidRPr="00111BEE">
        <w:rPr>
          <w:lang w:bidi="ar-AE"/>
        </w:rPr>
        <w:lastRenderedPageBreak/>
        <w:t>Lead–acid batteries remain the most widely used type of rechargeable battery, valued for their simplicity and affordability. In a typical configuration, the cathode is composed of lead dioxide (</w:t>
      </w:r>
      <w:proofErr w:type="spellStart"/>
      <w:r w:rsidRPr="00111BEE">
        <w:rPr>
          <w:lang w:bidi="ar-AE"/>
        </w:rPr>
        <w:t>PbO</w:t>
      </w:r>
      <w:proofErr w:type="spellEnd"/>
      <w:r w:rsidRPr="00111BEE">
        <w:rPr>
          <w:lang w:bidi="ar-AE"/>
        </w:rPr>
        <w:t>₂), the anode is metallic lead (Pb), and the electrolyte consists of sulfuric acid. These batteries offer fast response times, low daily self-discharge rates, and moderate cycle efficiencies ranging from 63% to 90%. One of their most appealing features is their relatively low capital cost, estimated between $50 and $600 per kWh. Lead–acid batteries are commonly used in stationary applications such as backup power for data centers and telecommunication infrastructure, as well as for general energy management purposes. They have also been adapted for use in hybrid and fully electric vehicles. Despite their widespread use, lead–acid batteries have seen limited deployment in utility-scale energy storage systems. This is primarily due to limitations such as low cycle life, modest energy density, and low specific energy. Additionally, their performance tends to decline in low-temperature environments, necessitating the use of thermal management systems</w:t>
      </w:r>
      <w:r>
        <w:rPr>
          <w:lang w:bidi="ar-AE"/>
        </w:rPr>
        <w:t xml:space="preserve"> </w:t>
      </w:r>
      <w:r w:rsidR="001B08DB">
        <w:rPr>
          <w:lang w:bidi="ar-AE"/>
        </w:rPr>
        <w:t>which is considered as an</w:t>
      </w:r>
      <w:r w:rsidRPr="00111BEE">
        <w:rPr>
          <w:lang w:bidi="ar-AE"/>
        </w:rPr>
        <w:t xml:space="preserve"> added cost that further hinders their suitability for large-scale grid applications</w:t>
      </w:r>
      <w:r>
        <w:rPr>
          <w:lang w:bidi="ar-AE"/>
        </w:rPr>
        <w:t xml:space="preserve"> </w:t>
      </w:r>
      <w:r w:rsidR="00460720">
        <w:rPr>
          <w:lang w:bidi="ar-AE"/>
        </w:rPr>
        <w:t>[</w:t>
      </w:r>
      <w:r w:rsidR="00A52993">
        <w:rPr>
          <w:lang w:bidi="ar-AE"/>
        </w:rPr>
        <w:t>37</w:t>
      </w:r>
      <w:r w:rsidR="00460720">
        <w:rPr>
          <w:lang w:bidi="ar-AE"/>
        </w:rPr>
        <w:t>].</w:t>
      </w:r>
    </w:p>
    <w:p w14:paraId="69B6239F" w14:textId="5F34ADF9" w:rsidR="00C33F51" w:rsidRDefault="00DA23CA">
      <w:pPr>
        <w:pStyle w:val="Heading3"/>
        <w:numPr>
          <w:ilvl w:val="2"/>
          <w:numId w:val="16"/>
        </w:numPr>
        <w:rPr>
          <w:lang w:bidi="ar-AE"/>
        </w:rPr>
      </w:pPr>
      <w:r>
        <w:rPr>
          <w:lang w:bidi="ar-AE"/>
        </w:rPr>
        <w:t>Ultra-Capacitor</w:t>
      </w:r>
    </w:p>
    <w:p w14:paraId="162D52EB" w14:textId="4D1051EC" w:rsidR="0059680F" w:rsidRDefault="0059680F" w:rsidP="0059680F">
      <w:pPr>
        <w:spacing w:line="360" w:lineRule="auto"/>
        <w:jc w:val="both"/>
        <w:rPr>
          <w:lang w:bidi="ar-AE"/>
        </w:rPr>
      </w:pPr>
      <w:r>
        <w:rPr>
          <w:lang w:bidi="ar-AE"/>
        </w:rPr>
        <w:t>An ultra-</w:t>
      </w:r>
      <w:proofErr w:type="gramStart"/>
      <w:r>
        <w:rPr>
          <w:lang w:bidi="ar-AE"/>
        </w:rPr>
        <w:t>capacitor  is</w:t>
      </w:r>
      <w:proofErr w:type="gramEnd"/>
      <w:r>
        <w:rPr>
          <w:lang w:bidi="ar-AE"/>
        </w:rPr>
        <w:t xml:space="preserve"> an energy storage device characterized by very high capacitance but a relatively low voltage range. It combines features of electrolytic capacitors and secondary batteries, storing 10 to 100 times more energy per volume than typical capacitors and delivering or accepting charge much faster while enduring many more charge-discharge cycles than batteries. Unlike traditional capacitors that use </w:t>
      </w:r>
      <w:proofErr w:type="gramStart"/>
      <w:r>
        <w:rPr>
          <w:lang w:bidi="ar-AE"/>
        </w:rPr>
        <w:t>a solid</w:t>
      </w:r>
      <w:proofErr w:type="gramEnd"/>
      <w:r>
        <w:rPr>
          <w:lang w:bidi="ar-AE"/>
        </w:rPr>
        <w:t xml:space="preserve"> dielectric, UCs utilize an electrolyte and an insulating membrane, replacing metal plates with porous materials. This design creates an electric double layer (EDL) and electrochemical </w:t>
      </w:r>
      <w:proofErr w:type="spellStart"/>
      <w:r>
        <w:rPr>
          <w:lang w:bidi="ar-AE"/>
        </w:rPr>
        <w:t>pseudocapacitance</w:t>
      </w:r>
      <w:proofErr w:type="spellEnd"/>
      <w:r>
        <w:rPr>
          <w:lang w:bidi="ar-AE"/>
        </w:rPr>
        <w:t>, both contributing to the total capacitance.</w:t>
      </w:r>
    </w:p>
    <w:p w14:paraId="63D2CCF9" w14:textId="76ABA397" w:rsidR="0059680F" w:rsidRDefault="0059680F" w:rsidP="0059680F">
      <w:pPr>
        <w:spacing w:line="360" w:lineRule="auto"/>
        <w:jc w:val="both"/>
        <w:rPr>
          <w:lang w:bidi="ar-AE"/>
        </w:rPr>
      </w:pPr>
      <w:r>
        <w:rPr>
          <w:lang w:bidi="ar-AE"/>
        </w:rPr>
        <w:t xml:space="preserve">There are three main types of ultra-capacitors: electric double-layer capacitors (EDLCs), </w:t>
      </w:r>
      <w:proofErr w:type="spellStart"/>
      <w:r>
        <w:rPr>
          <w:lang w:bidi="ar-AE"/>
        </w:rPr>
        <w:t>pseudocapacitors</w:t>
      </w:r>
      <w:proofErr w:type="spellEnd"/>
      <w:r>
        <w:rPr>
          <w:lang w:bidi="ar-AE"/>
        </w:rPr>
        <w:t xml:space="preserve">, and hybrid capacitors (HCs). EDLCs store energy through electrostatic charge separation at the electrode-electrolyte interface, which allows for very long cycle life due to the physical nature of charge storage. EP capacitors, on the other hand, store charge via faradaic redox reactions involving high-energy electrode materials, resulting in higher energy density but shorter lifespan and slower charge/discharge rates compared </w:t>
      </w:r>
      <w:r>
        <w:rPr>
          <w:lang w:bidi="ar-AE"/>
        </w:rPr>
        <w:lastRenderedPageBreak/>
        <w:t>to EDLCs. Hybrid capacitors combine these mechanisms, seeking a balance between energy density, power density, and durability.</w:t>
      </w:r>
    </w:p>
    <w:p w14:paraId="476C2D21" w14:textId="4F2DB32C" w:rsidR="0059680F" w:rsidRDefault="0059680F" w:rsidP="0059680F">
      <w:pPr>
        <w:spacing w:line="360" w:lineRule="auto"/>
        <w:jc w:val="both"/>
        <w:rPr>
          <w:lang w:bidi="ar-AE"/>
        </w:rPr>
      </w:pPr>
      <w:r>
        <w:rPr>
          <w:lang w:bidi="ar-AE"/>
        </w:rPr>
        <w:t>Ultra-capacitors excel at providing short bursts of high power due to their high power-to-energy density ratio and very low internal resistance, enabling rapid charge and discharge. They are ideal for applications with intermittent high-power demands but are less suitable for continuous power supply needs. UCs also have an almost unlimited number of cycles and exhibit slow self-discharge; however, they tend to be more expensive than conventional batteries.</w:t>
      </w:r>
    </w:p>
    <w:p w14:paraId="30D0BFF9" w14:textId="50A68A42" w:rsidR="00BF5D32" w:rsidRDefault="0059680F" w:rsidP="0059680F">
      <w:pPr>
        <w:spacing w:line="360" w:lineRule="auto"/>
        <w:jc w:val="both"/>
        <w:rPr>
          <w:lang w:eastAsia="ar-SA" w:bidi="ar-JO"/>
        </w:rPr>
      </w:pPr>
      <w:r>
        <w:rPr>
          <w:lang w:bidi="ar-AE"/>
        </w:rPr>
        <w:t xml:space="preserve">EDLCs rely on highly porous, conductive carbon-based electrodes, offering excellent cyclic stability and minimal degradation since their charge storage is non-faradaic. EP capacitors deliver higher energy density but suffer from lower power density and fewer cycles due to electrochemical reactions. Hybrid capacitors use combinations of polarized and non-polarized electrodes, achieving improved cycle life and a cost-effective compromise between energy and power performance </w:t>
      </w:r>
      <w:r w:rsidR="00F60478">
        <w:rPr>
          <w:lang w:bidi="ar-AE"/>
        </w:rPr>
        <w:t>[</w:t>
      </w:r>
      <w:r w:rsidR="00A52993">
        <w:rPr>
          <w:lang w:bidi="ar-AE"/>
        </w:rPr>
        <w:t>38</w:t>
      </w:r>
      <w:r w:rsidR="00F60478">
        <w:rPr>
          <w:lang w:bidi="ar-AE"/>
        </w:rPr>
        <w:t>]</w:t>
      </w:r>
      <w:r w:rsidR="00DA23CA">
        <w:rPr>
          <w:lang w:bidi="ar-AE"/>
        </w:rPr>
        <w:t>.</w:t>
      </w:r>
      <w:r w:rsidR="00DA23CA" w:rsidRPr="008874A2">
        <w:rPr>
          <w:lang w:eastAsia="ar-SA" w:bidi="ar-JO"/>
        </w:rPr>
        <w:t xml:space="preserve"> </w:t>
      </w:r>
    </w:p>
    <w:p w14:paraId="476B1346" w14:textId="77777777" w:rsidR="00BF5D32" w:rsidRDefault="00BF5D32">
      <w:pPr>
        <w:spacing w:after="160" w:line="259" w:lineRule="auto"/>
        <w:rPr>
          <w:lang w:eastAsia="ar-SA" w:bidi="ar-JO"/>
        </w:rPr>
      </w:pPr>
      <w:r>
        <w:rPr>
          <w:lang w:eastAsia="ar-SA" w:bidi="ar-JO"/>
        </w:rPr>
        <w:br w:type="page"/>
      </w:r>
    </w:p>
    <w:p w14:paraId="36BD9539" w14:textId="6CEE2D5A" w:rsidR="00DA23CA" w:rsidRDefault="009D4712" w:rsidP="00AF002E">
      <w:pPr>
        <w:pStyle w:val="Heading1"/>
        <w:spacing w:line="360" w:lineRule="auto"/>
        <w:rPr>
          <w:sz w:val="28"/>
          <w:szCs w:val="28"/>
        </w:rPr>
      </w:pPr>
      <w:bookmarkStart w:id="20" w:name="_Toc205672539"/>
      <w:r w:rsidRPr="00AF002E">
        <w:rPr>
          <w:sz w:val="28"/>
          <w:szCs w:val="28"/>
        </w:rPr>
        <w:lastRenderedPageBreak/>
        <w:t xml:space="preserve">Chapter Three: </w:t>
      </w:r>
      <w:r w:rsidR="00AF002E" w:rsidRPr="00AF002E">
        <w:rPr>
          <w:sz w:val="28"/>
          <w:szCs w:val="28"/>
        </w:rPr>
        <w:br/>
      </w:r>
      <w:r w:rsidRPr="00AF002E">
        <w:rPr>
          <w:sz w:val="28"/>
          <w:szCs w:val="28"/>
        </w:rPr>
        <w:t>Current Network Analysis</w:t>
      </w:r>
      <w:bookmarkEnd w:id="20"/>
    </w:p>
    <w:p w14:paraId="4F5499A2" w14:textId="77777777" w:rsidR="00AF002E" w:rsidRPr="00AF002E" w:rsidRDefault="00AF002E" w:rsidP="00AF002E">
      <w:pPr>
        <w:pStyle w:val="Heading1"/>
        <w:spacing w:line="360" w:lineRule="auto"/>
        <w:rPr>
          <w:sz w:val="28"/>
          <w:szCs w:val="28"/>
        </w:rPr>
      </w:pPr>
    </w:p>
    <w:p w14:paraId="61C78D59" w14:textId="1F747AA6" w:rsidR="009D4712" w:rsidRDefault="009D4712">
      <w:pPr>
        <w:pStyle w:val="Heading2"/>
        <w:numPr>
          <w:ilvl w:val="1"/>
          <w:numId w:val="17"/>
        </w:numPr>
        <w:spacing w:line="360" w:lineRule="auto"/>
        <w:rPr>
          <w:lang w:eastAsia="ar-SA" w:bidi="ar-JO"/>
        </w:rPr>
      </w:pPr>
      <w:bookmarkStart w:id="21" w:name="_Toc205672540"/>
      <w:r>
        <w:rPr>
          <w:lang w:eastAsia="ar-SA" w:bidi="ar-JO"/>
        </w:rPr>
        <w:t>Introduction</w:t>
      </w:r>
      <w:bookmarkEnd w:id="21"/>
    </w:p>
    <w:p w14:paraId="3F494D3E" w14:textId="4FAAEB74" w:rsidR="009D4712" w:rsidRPr="0039055D" w:rsidRDefault="009D4712" w:rsidP="00C94B63">
      <w:pPr>
        <w:spacing w:line="360" w:lineRule="auto"/>
        <w:jc w:val="both"/>
        <w:rPr>
          <w:rFonts w:asciiTheme="majorBidi" w:hAnsiTheme="majorBidi" w:cstheme="majorBidi"/>
        </w:rPr>
      </w:pPr>
      <w:r w:rsidRPr="0039055D">
        <w:rPr>
          <w:rFonts w:asciiTheme="majorBidi" w:hAnsiTheme="majorBidi" w:cstheme="majorBidi"/>
        </w:rPr>
        <w:t xml:space="preserve">The electrical network of </w:t>
      </w:r>
      <w:proofErr w:type="spellStart"/>
      <w:r w:rsidRPr="0039055D">
        <w:rPr>
          <w:rFonts w:asciiTheme="majorBidi" w:hAnsiTheme="majorBidi" w:cstheme="majorBidi"/>
        </w:rPr>
        <w:t>Arraba</w:t>
      </w:r>
      <w:proofErr w:type="spellEnd"/>
      <w:r w:rsidRPr="0039055D">
        <w:rPr>
          <w:rFonts w:asciiTheme="majorBidi" w:hAnsiTheme="majorBidi" w:cstheme="majorBidi"/>
        </w:rPr>
        <w:t xml:space="preserve"> village, located in the Jenin district of Palestine, currently operates with a total installed capacity of </w:t>
      </w:r>
      <w:r>
        <w:rPr>
          <w:rFonts w:asciiTheme="majorBidi" w:hAnsiTheme="majorBidi" w:cstheme="majorBidi"/>
        </w:rPr>
        <w:t>1</w:t>
      </w:r>
      <w:r w:rsidRPr="0039055D">
        <w:rPr>
          <w:rFonts w:asciiTheme="majorBidi" w:hAnsiTheme="majorBidi" w:cstheme="majorBidi"/>
        </w:rPr>
        <w:t xml:space="preserve"> MW of </w:t>
      </w:r>
      <w:r w:rsidR="00AA0A35">
        <w:rPr>
          <w:rFonts w:asciiTheme="majorBidi" w:hAnsiTheme="majorBidi" w:cstheme="majorBidi"/>
        </w:rPr>
        <w:t>PV</w:t>
      </w:r>
      <w:r w:rsidRPr="0039055D">
        <w:rPr>
          <w:rFonts w:asciiTheme="majorBidi" w:hAnsiTheme="majorBidi" w:cstheme="majorBidi"/>
        </w:rPr>
        <w:t xml:space="preserve"> panels. This network represents a typical rural electrical system in Palestinian territories, facing challenges related to energy shortages, high dependency on imported electricity, and integration of renewable energy sources. The integration of PV systems in the village is a step toward reducing energy dependency, but several technical and operational challenges persist, particularly in terms of grid stability, energy management, and maximizing renewable energy utilization</w:t>
      </w:r>
      <w:r>
        <w:rPr>
          <w:rFonts w:asciiTheme="majorBidi" w:hAnsiTheme="majorBidi" w:cstheme="majorBidi"/>
        </w:rPr>
        <w:t xml:space="preserve"> [</w:t>
      </w:r>
      <w:r w:rsidR="00A52993">
        <w:rPr>
          <w:rFonts w:asciiTheme="majorBidi" w:hAnsiTheme="majorBidi" w:cstheme="majorBidi"/>
        </w:rPr>
        <w:t>39-40</w:t>
      </w:r>
      <w:r>
        <w:rPr>
          <w:rFonts w:asciiTheme="majorBidi" w:hAnsiTheme="majorBidi" w:cstheme="majorBidi"/>
        </w:rPr>
        <w:t>]</w:t>
      </w:r>
      <w:r w:rsidRPr="0039055D">
        <w:rPr>
          <w:rFonts w:asciiTheme="majorBidi" w:hAnsiTheme="majorBidi" w:cstheme="majorBidi"/>
        </w:rPr>
        <w:t>.</w:t>
      </w:r>
    </w:p>
    <w:p w14:paraId="65300953" w14:textId="77777777" w:rsidR="00611456" w:rsidRDefault="00611456" w:rsidP="00C94B63">
      <w:pPr>
        <w:spacing w:line="360" w:lineRule="auto"/>
        <w:jc w:val="both"/>
        <w:rPr>
          <w:rFonts w:asciiTheme="majorBidi" w:hAnsiTheme="majorBidi" w:cstheme="majorBidi"/>
        </w:rPr>
      </w:pPr>
      <w:r w:rsidRPr="00611456">
        <w:rPr>
          <w:rFonts w:asciiTheme="majorBidi" w:hAnsiTheme="majorBidi" w:cstheme="majorBidi"/>
        </w:rPr>
        <w:t xml:space="preserve">In this chapter, a comprehensive analysis of the current operation of the electrical distribution network of </w:t>
      </w:r>
      <w:proofErr w:type="spellStart"/>
      <w:r w:rsidRPr="00611456">
        <w:rPr>
          <w:rFonts w:asciiTheme="majorBidi" w:hAnsiTheme="majorBidi" w:cstheme="majorBidi"/>
        </w:rPr>
        <w:t>Arraba</w:t>
      </w:r>
      <w:proofErr w:type="spellEnd"/>
      <w:r w:rsidRPr="00611456">
        <w:rPr>
          <w:rFonts w:asciiTheme="majorBidi" w:hAnsiTheme="majorBidi" w:cstheme="majorBidi"/>
        </w:rPr>
        <w:t xml:space="preserve"> village, which is currently tied with a 1 MW grid-connected PV system, is presented. The main aim is to assess the performance of the system in its current configuration in terms of its efficiency, voltage stability, and energy loss characteristics.</w:t>
      </w:r>
    </w:p>
    <w:p w14:paraId="2340F18D" w14:textId="2EF7C2F3" w:rsidR="00C94B63" w:rsidRPr="00611456" w:rsidRDefault="00C94B63" w:rsidP="00C94B63">
      <w:pPr>
        <w:spacing w:line="360" w:lineRule="auto"/>
        <w:jc w:val="both"/>
        <w:rPr>
          <w:rFonts w:asciiTheme="majorBidi" w:hAnsiTheme="majorBidi" w:cstheme="majorBidi"/>
        </w:rPr>
      </w:pPr>
      <w:r w:rsidRPr="00C94B63">
        <w:rPr>
          <w:rFonts w:asciiTheme="majorBidi" w:hAnsiTheme="majorBidi" w:cstheme="majorBidi"/>
        </w:rPr>
        <w:t xml:space="preserve">The location of the solar power plant in the town of </w:t>
      </w:r>
      <w:proofErr w:type="spellStart"/>
      <w:r w:rsidRPr="00C94B63">
        <w:rPr>
          <w:rFonts w:asciiTheme="majorBidi" w:hAnsiTheme="majorBidi" w:cstheme="majorBidi"/>
        </w:rPr>
        <w:t>Arabeh</w:t>
      </w:r>
      <w:proofErr w:type="spellEnd"/>
      <w:r w:rsidRPr="00C94B63">
        <w:rPr>
          <w:rFonts w:asciiTheme="majorBidi" w:hAnsiTheme="majorBidi" w:cstheme="majorBidi"/>
        </w:rPr>
        <w:t xml:space="preserve"> was determined due to technical and logistical considerations related to the characteristics of the local electricity grid in the town. Although the official documents in the agreement signed between the relevant parties focus on the general objectives of the project, an analysis of the technical context indicates that the site is distinguished by its proximity to medium-voltage lines, which reduces transmission losses and grid connection costs. Furthermore, the availability of municipal-owned land facilitates legal aspects and reduces development costs. The site also enjoys high solar radiation levels and suitable geographical conditions for installing and maintaining panels. It also contributes to enhancing energy independence and supporting the local economy through land use returns and infrastructure improvements</w:t>
      </w:r>
      <w:r>
        <w:rPr>
          <w:rFonts w:asciiTheme="majorBidi" w:hAnsiTheme="majorBidi" w:cstheme="majorBidi"/>
        </w:rPr>
        <w:t xml:space="preserve"> [39-40]</w:t>
      </w:r>
      <w:r w:rsidRPr="00C94B63">
        <w:rPr>
          <w:rFonts w:asciiTheme="majorBidi" w:hAnsiTheme="majorBidi" w:cstheme="majorBidi"/>
        </w:rPr>
        <w:t>.</w:t>
      </w:r>
    </w:p>
    <w:p w14:paraId="7EE29EDF" w14:textId="77777777" w:rsidR="00611456" w:rsidRPr="00611456" w:rsidRDefault="00611456" w:rsidP="00C94B63">
      <w:pPr>
        <w:spacing w:line="360" w:lineRule="auto"/>
        <w:jc w:val="both"/>
        <w:rPr>
          <w:rFonts w:asciiTheme="majorBidi" w:hAnsiTheme="majorBidi" w:cstheme="majorBidi"/>
        </w:rPr>
      </w:pPr>
      <w:r w:rsidRPr="00611456">
        <w:rPr>
          <w:rFonts w:asciiTheme="majorBidi" w:hAnsiTheme="majorBidi" w:cstheme="majorBidi"/>
        </w:rPr>
        <w:t xml:space="preserve">The examination starts with an investigation of the levels of voltage on different buses of the power grid. This study is crucial in establishing any differences or drops in voltage </w:t>
      </w:r>
      <w:r w:rsidRPr="00611456">
        <w:rPr>
          <w:rFonts w:asciiTheme="majorBidi" w:hAnsiTheme="majorBidi" w:cstheme="majorBidi"/>
        </w:rPr>
        <w:lastRenderedPageBreak/>
        <w:t>that could undermine system stability or the quality of service. These variations are important in establishing the strength of the grid and its ability to ensure adequate voltage levels during normal loading and generation conditions.</w:t>
      </w:r>
    </w:p>
    <w:p w14:paraId="56F5DC87" w14:textId="77777777" w:rsidR="00611456" w:rsidRPr="00611456" w:rsidRDefault="00611456" w:rsidP="00C94B63">
      <w:pPr>
        <w:spacing w:line="360" w:lineRule="auto"/>
        <w:jc w:val="both"/>
        <w:rPr>
          <w:rFonts w:asciiTheme="majorBidi" w:hAnsiTheme="majorBidi" w:cstheme="majorBidi"/>
        </w:rPr>
      </w:pPr>
      <w:r w:rsidRPr="00611456">
        <w:rPr>
          <w:rFonts w:asciiTheme="majorBidi" w:hAnsiTheme="majorBidi" w:cstheme="majorBidi"/>
        </w:rPr>
        <w:t xml:space="preserve">To further assess system performance, a load flow study is conducted. The simulation provides an understanding of the </w:t>
      </w:r>
      <w:proofErr w:type="gramStart"/>
      <w:r w:rsidRPr="00611456">
        <w:rPr>
          <w:rFonts w:asciiTheme="majorBidi" w:hAnsiTheme="majorBidi" w:cstheme="majorBidi"/>
        </w:rPr>
        <w:t>manner in which</w:t>
      </w:r>
      <w:proofErr w:type="gramEnd"/>
      <w:r w:rsidRPr="00611456">
        <w:rPr>
          <w:rFonts w:asciiTheme="majorBidi" w:hAnsiTheme="majorBidi" w:cstheme="majorBidi"/>
        </w:rPr>
        <w:t xml:space="preserve"> electrical energy is being supplied from the PV system to the end-users in the village. It enables the determination of the areas of </w:t>
      </w:r>
      <w:proofErr w:type="gramStart"/>
      <w:r w:rsidRPr="00611456">
        <w:rPr>
          <w:rFonts w:asciiTheme="majorBidi" w:hAnsiTheme="majorBidi" w:cstheme="majorBidi"/>
        </w:rPr>
        <w:t>high power</w:t>
      </w:r>
      <w:proofErr w:type="gramEnd"/>
      <w:r w:rsidRPr="00611456">
        <w:rPr>
          <w:rFonts w:asciiTheme="majorBidi" w:hAnsiTheme="majorBidi" w:cstheme="majorBidi"/>
        </w:rPr>
        <w:t xml:space="preserve"> losses, specifically those related to transmission inefficiencies and reactive power flows. The study also provides for how effectively the current PV system meets local demand and ensures grid reliability.</w:t>
      </w:r>
    </w:p>
    <w:p w14:paraId="7A25199D" w14:textId="311A0946" w:rsidR="009D4712" w:rsidRDefault="00611456" w:rsidP="00C94B63">
      <w:pPr>
        <w:spacing w:line="360" w:lineRule="auto"/>
        <w:jc w:val="both"/>
        <w:rPr>
          <w:rFonts w:asciiTheme="majorBidi" w:hAnsiTheme="majorBidi" w:cstheme="majorBidi"/>
        </w:rPr>
      </w:pPr>
      <w:r w:rsidRPr="00611456">
        <w:rPr>
          <w:rFonts w:asciiTheme="majorBidi" w:hAnsiTheme="majorBidi" w:cstheme="majorBidi"/>
        </w:rPr>
        <w:t xml:space="preserve">In conclusion, this chapter presents a comprehensive explanation of the existing condition of the electrical network in </w:t>
      </w:r>
      <w:proofErr w:type="spellStart"/>
      <w:r w:rsidRPr="00611456">
        <w:rPr>
          <w:rFonts w:asciiTheme="majorBidi" w:hAnsiTheme="majorBidi" w:cstheme="majorBidi"/>
        </w:rPr>
        <w:t>Arraba</w:t>
      </w:r>
      <w:proofErr w:type="spellEnd"/>
      <w:r w:rsidRPr="00611456">
        <w:rPr>
          <w:rFonts w:asciiTheme="majorBidi" w:hAnsiTheme="majorBidi" w:cstheme="majorBidi"/>
        </w:rPr>
        <w:t xml:space="preserve"> village. It identifies operational inefficiencies and constraints in the system and establishes a foundation for quantifying the benefits of prospective </w:t>
      </w:r>
      <w:proofErr w:type="gramStart"/>
      <w:r w:rsidRPr="00611456">
        <w:rPr>
          <w:rFonts w:asciiTheme="majorBidi" w:hAnsiTheme="majorBidi" w:cstheme="majorBidi"/>
        </w:rPr>
        <w:t>improvements.</w:t>
      </w:r>
      <w:r w:rsidR="009D4712" w:rsidRPr="0039055D">
        <w:rPr>
          <w:rFonts w:asciiTheme="majorBidi" w:hAnsiTheme="majorBidi" w:cstheme="majorBidi"/>
        </w:rPr>
        <w:t>.</w:t>
      </w:r>
      <w:proofErr w:type="gramEnd"/>
    </w:p>
    <w:p w14:paraId="7C5490EC" w14:textId="5C27B243" w:rsidR="009D4712" w:rsidRPr="009D4712" w:rsidRDefault="009D4712" w:rsidP="00C94B63">
      <w:pPr>
        <w:pStyle w:val="Heading2"/>
        <w:numPr>
          <w:ilvl w:val="1"/>
          <w:numId w:val="17"/>
        </w:numPr>
        <w:spacing w:line="360" w:lineRule="auto"/>
        <w:jc w:val="both"/>
        <w:rPr>
          <w:lang w:eastAsia="ar-SA" w:bidi="ar-JO"/>
        </w:rPr>
      </w:pPr>
      <w:bookmarkStart w:id="22" w:name="_Toc205672541"/>
      <w:r w:rsidRPr="009D4712">
        <w:t>Overview of the Current Network</w:t>
      </w:r>
      <w:bookmarkEnd w:id="22"/>
    </w:p>
    <w:p w14:paraId="5348955C" w14:textId="77777777" w:rsidR="009D4712" w:rsidRPr="0039055D" w:rsidRDefault="009D4712" w:rsidP="00C94B63">
      <w:pPr>
        <w:spacing w:line="360" w:lineRule="auto"/>
        <w:jc w:val="both"/>
        <w:rPr>
          <w:rFonts w:asciiTheme="majorBidi" w:hAnsiTheme="majorBidi" w:cstheme="majorBidi"/>
        </w:rPr>
      </w:pPr>
      <w:r w:rsidRPr="0039055D">
        <w:rPr>
          <w:rFonts w:asciiTheme="majorBidi" w:hAnsiTheme="majorBidi" w:cstheme="majorBidi"/>
        </w:rPr>
        <w:t xml:space="preserve">The current electrical network in </w:t>
      </w:r>
      <w:proofErr w:type="spellStart"/>
      <w:r w:rsidRPr="0039055D">
        <w:rPr>
          <w:rFonts w:asciiTheme="majorBidi" w:hAnsiTheme="majorBidi" w:cstheme="majorBidi"/>
        </w:rPr>
        <w:t>Arraba</w:t>
      </w:r>
      <w:proofErr w:type="spellEnd"/>
      <w:r w:rsidRPr="0039055D">
        <w:rPr>
          <w:rFonts w:asciiTheme="majorBidi" w:hAnsiTheme="majorBidi" w:cstheme="majorBidi"/>
        </w:rPr>
        <w:t xml:space="preserve"> is primarily composed of conventional energy sources complemented by the </w:t>
      </w:r>
      <w:r>
        <w:rPr>
          <w:rFonts w:asciiTheme="majorBidi" w:hAnsiTheme="majorBidi" w:cstheme="majorBidi"/>
        </w:rPr>
        <w:t>1</w:t>
      </w:r>
      <w:r w:rsidRPr="0039055D">
        <w:rPr>
          <w:rFonts w:asciiTheme="majorBidi" w:hAnsiTheme="majorBidi" w:cstheme="majorBidi"/>
        </w:rPr>
        <w:t xml:space="preserve"> MW PV panel system. The load flow analysis of the network, as presented in the </w:t>
      </w:r>
      <w:r w:rsidRPr="0039055D">
        <w:rPr>
          <w:rFonts w:asciiTheme="majorBidi" w:hAnsiTheme="majorBidi" w:cstheme="majorBidi"/>
          <w:b/>
          <w:bCs/>
        </w:rPr>
        <w:t>Time Domain Load Flow (TDLF) Results</w:t>
      </w:r>
      <w:r w:rsidRPr="0039055D">
        <w:rPr>
          <w:rFonts w:asciiTheme="majorBidi" w:hAnsiTheme="majorBidi" w:cstheme="majorBidi"/>
        </w:rPr>
        <w:t>, provides insights into how the network performs under different conditions, especially with the integration of PV panels.</w:t>
      </w:r>
    </w:p>
    <w:p w14:paraId="2296CC5B" w14:textId="6AF411D2" w:rsidR="009D4712" w:rsidRPr="009D4712" w:rsidRDefault="009D4712">
      <w:pPr>
        <w:pStyle w:val="Heading3"/>
        <w:numPr>
          <w:ilvl w:val="2"/>
          <w:numId w:val="17"/>
        </w:numPr>
        <w:rPr>
          <w:lang w:eastAsia="ar-SA" w:bidi="ar-JO"/>
        </w:rPr>
      </w:pPr>
      <w:r w:rsidRPr="009D4712">
        <w:rPr>
          <w:rFonts w:cstheme="majorBidi"/>
        </w:rPr>
        <w:t>Electrical Load Distribution</w:t>
      </w:r>
    </w:p>
    <w:p w14:paraId="6624AC55" w14:textId="232CB6AE" w:rsidR="00EF6841" w:rsidRPr="0077156A" w:rsidRDefault="009D4712" w:rsidP="0077156A">
      <w:pPr>
        <w:spacing w:line="360" w:lineRule="auto"/>
        <w:jc w:val="both"/>
        <w:rPr>
          <w:rFonts w:asciiTheme="majorBidi" w:hAnsiTheme="majorBidi" w:cstheme="majorBidi"/>
        </w:rPr>
      </w:pPr>
      <w:r w:rsidRPr="00956C83">
        <w:rPr>
          <w:rFonts w:asciiTheme="majorBidi" w:hAnsiTheme="majorBidi" w:cstheme="majorBidi"/>
        </w:rPr>
        <w:t xml:space="preserve">The one-line diagram from the TDLF results provides a clear representation of the layout and distribution of loads across various buses in the system. </w:t>
      </w:r>
      <w:r w:rsidR="0077156A">
        <w:rPr>
          <w:rFonts w:asciiTheme="majorBidi" w:hAnsiTheme="majorBidi" w:cstheme="majorBidi"/>
        </w:rPr>
        <w:t>Appendix A</w:t>
      </w:r>
      <w:r w:rsidRPr="00956C83">
        <w:rPr>
          <w:rFonts w:asciiTheme="majorBidi" w:hAnsiTheme="majorBidi" w:cstheme="majorBidi"/>
        </w:rPr>
        <w:t xml:space="preserve"> illustrates the network's components, detailing the arrangement of transformers, cables, and buses. The diagram reveals that the village is supported by a series of transformers with capacities ranging from 400 kVA to 630 kVA, which are responsible for feeding multiple loads. Each bus in the network is connected to a specific transformer, with power distribution monitored at various nodes. These nodes offer detailed insights into voltage levels, active power in megawatts (MW), and reactive power in </w:t>
      </w:r>
      <w:proofErr w:type="spellStart"/>
      <w:r w:rsidRPr="00956C83">
        <w:rPr>
          <w:rFonts w:asciiTheme="majorBidi" w:hAnsiTheme="majorBidi" w:cstheme="majorBidi"/>
        </w:rPr>
        <w:t>megavars</w:t>
      </w:r>
      <w:proofErr w:type="spellEnd"/>
      <w:r w:rsidRPr="00956C83">
        <w:rPr>
          <w:rFonts w:asciiTheme="majorBidi" w:hAnsiTheme="majorBidi" w:cstheme="majorBidi"/>
        </w:rPr>
        <w:t xml:space="preserve"> (</w:t>
      </w:r>
      <w:proofErr w:type="spellStart"/>
      <w:r w:rsidRPr="00956C83">
        <w:rPr>
          <w:rFonts w:asciiTheme="majorBidi" w:hAnsiTheme="majorBidi" w:cstheme="majorBidi"/>
        </w:rPr>
        <w:t>Mvar</w:t>
      </w:r>
      <w:proofErr w:type="spellEnd"/>
      <w:r w:rsidRPr="00956C83">
        <w:rPr>
          <w:rFonts w:asciiTheme="majorBidi" w:hAnsiTheme="majorBidi" w:cstheme="majorBidi"/>
        </w:rPr>
        <w:t xml:space="preserve">) across the network. While the voltage levels at the buses generally remain stable and close to 100%, minor </w:t>
      </w:r>
      <w:r w:rsidRPr="00956C83">
        <w:rPr>
          <w:rFonts w:asciiTheme="majorBidi" w:hAnsiTheme="majorBidi" w:cstheme="majorBidi"/>
        </w:rPr>
        <w:lastRenderedPageBreak/>
        <w:t>voltage drops are observed at the farthest buses, such as Bus 37 and Bus 30, which suggests that these areas may experience slightly reduced power quality.</w:t>
      </w:r>
    </w:p>
    <w:p w14:paraId="03F0ACBB" w14:textId="124E7D96" w:rsidR="009D4712" w:rsidRPr="00554922" w:rsidRDefault="009D4712">
      <w:pPr>
        <w:pStyle w:val="Heading3"/>
        <w:numPr>
          <w:ilvl w:val="2"/>
          <w:numId w:val="17"/>
        </w:numPr>
        <w:rPr>
          <w:lang w:eastAsia="ar-SA" w:bidi="ar-JO"/>
        </w:rPr>
      </w:pPr>
      <w:r w:rsidRPr="00554922">
        <w:rPr>
          <w:rFonts w:cstheme="majorBidi"/>
        </w:rPr>
        <w:t>Performance of the PV System</w:t>
      </w:r>
    </w:p>
    <w:p w14:paraId="4BB9BC57" w14:textId="0FD1B4C4" w:rsidR="00253FD8" w:rsidRDefault="009D4712" w:rsidP="00253FD8">
      <w:pPr>
        <w:spacing w:line="360" w:lineRule="auto"/>
        <w:jc w:val="both"/>
        <w:rPr>
          <w:rFonts w:asciiTheme="majorBidi" w:hAnsiTheme="majorBidi" w:cstheme="majorBidi"/>
        </w:rPr>
      </w:pPr>
      <w:r w:rsidRPr="0039055D">
        <w:rPr>
          <w:rFonts w:asciiTheme="majorBidi" w:hAnsiTheme="majorBidi" w:cstheme="majorBidi"/>
        </w:rPr>
        <w:t xml:space="preserve">The integration of </w:t>
      </w:r>
      <w:r>
        <w:rPr>
          <w:rFonts w:asciiTheme="majorBidi" w:hAnsiTheme="majorBidi" w:cstheme="majorBidi"/>
        </w:rPr>
        <w:t>1</w:t>
      </w:r>
      <w:r w:rsidRPr="0039055D">
        <w:rPr>
          <w:rFonts w:asciiTheme="majorBidi" w:hAnsiTheme="majorBidi" w:cstheme="majorBidi"/>
        </w:rPr>
        <w:t xml:space="preserve"> MW of PV panels into the network has been beneficial in reducing the reliance on imported electricity, especially during daylight hours. However, the intermittent nature of solar energy poses challenges to grid stability, particularly during periods of low irradiance or at night. </w:t>
      </w:r>
      <w:r w:rsidRPr="0039055D">
        <w:rPr>
          <w:rFonts w:asciiTheme="majorBidi" w:hAnsiTheme="majorBidi" w:cstheme="majorBidi"/>
          <w:b/>
          <w:bCs/>
        </w:rPr>
        <w:t xml:space="preserve">Figure </w:t>
      </w:r>
      <w:r w:rsidR="00704B8C">
        <w:rPr>
          <w:rFonts w:asciiTheme="majorBidi" w:hAnsiTheme="majorBidi" w:cstheme="majorBidi"/>
          <w:b/>
          <w:bCs/>
        </w:rPr>
        <w:t>2</w:t>
      </w:r>
      <w:r w:rsidRPr="0039055D">
        <w:rPr>
          <w:rFonts w:asciiTheme="majorBidi" w:hAnsiTheme="majorBidi" w:cstheme="majorBidi"/>
        </w:rPr>
        <w:t xml:space="preserve"> shows the contribution of the PV system to the overall power supply</w:t>
      </w:r>
      <w:r w:rsidR="00E40054">
        <w:rPr>
          <w:rFonts w:asciiTheme="majorBidi" w:hAnsiTheme="majorBidi" w:cstheme="majorBidi"/>
        </w:rPr>
        <w:t xml:space="preserve"> in 19/1/2023 where the power demand was at its maximum level</w:t>
      </w:r>
      <w:r w:rsidRPr="0039055D">
        <w:rPr>
          <w:rFonts w:asciiTheme="majorBidi" w:hAnsiTheme="majorBidi" w:cstheme="majorBidi"/>
        </w:rPr>
        <w:t>, which peaks during the midday hours but drops significantly in the evening.</w:t>
      </w:r>
    </w:p>
    <w:p w14:paraId="3A41EA81" w14:textId="77777777" w:rsidR="00253FD8" w:rsidRPr="0039055D" w:rsidRDefault="00253FD8" w:rsidP="00253FD8">
      <w:pPr>
        <w:spacing w:line="360" w:lineRule="auto"/>
        <w:jc w:val="both"/>
        <w:rPr>
          <w:rFonts w:asciiTheme="majorBidi" w:hAnsiTheme="majorBidi" w:cstheme="majorBidi"/>
        </w:rPr>
      </w:pPr>
    </w:p>
    <w:p w14:paraId="0DCE2BE9" w14:textId="77777777" w:rsidR="00253FD8" w:rsidRPr="00554922" w:rsidRDefault="00253FD8">
      <w:pPr>
        <w:pStyle w:val="Heading2"/>
        <w:numPr>
          <w:ilvl w:val="1"/>
          <w:numId w:val="17"/>
        </w:numPr>
        <w:spacing w:line="360" w:lineRule="auto"/>
        <w:rPr>
          <w:lang w:eastAsia="ar-SA" w:bidi="ar-JO"/>
        </w:rPr>
      </w:pPr>
      <w:bookmarkStart w:id="23" w:name="_Toc205672542"/>
      <w:r w:rsidRPr="00554922">
        <w:t>Challenges in the Current Network</w:t>
      </w:r>
      <w:bookmarkEnd w:id="23"/>
    </w:p>
    <w:p w14:paraId="39774357" w14:textId="77777777" w:rsidR="00253FD8" w:rsidRPr="0039055D" w:rsidRDefault="00253FD8" w:rsidP="00253FD8">
      <w:pPr>
        <w:spacing w:line="360" w:lineRule="auto"/>
        <w:jc w:val="both"/>
        <w:rPr>
          <w:rFonts w:asciiTheme="majorBidi" w:hAnsiTheme="majorBidi" w:cstheme="majorBidi"/>
        </w:rPr>
      </w:pPr>
      <w:r w:rsidRPr="0039055D">
        <w:rPr>
          <w:rFonts w:asciiTheme="majorBidi" w:hAnsiTheme="majorBidi" w:cstheme="majorBidi"/>
        </w:rPr>
        <w:t xml:space="preserve">The current configuration of the </w:t>
      </w:r>
      <w:proofErr w:type="spellStart"/>
      <w:r w:rsidRPr="0039055D">
        <w:rPr>
          <w:rFonts w:asciiTheme="majorBidi" w:hAnsiTheme="majorBidi" w:cstheme="majorBidi"/>
        </w:rPr>
        <w:t>Arraba</w:t>
      </w:r>
      <w:proofErr w:type="spellEnd"/>
      <w:r w:rsidRPr="0039055D">
        <w:rPr>
          <w:rFonts w:asciiTheme="majorBidi" w:hAnsiTheme="majorBidi" w:cstheme="majorBidi"/>
        </w:rPr>
        <w:t xml:space="preserve"> village electrical network faces several challenges, despite the benefits provided by the PV system. These challenges include:</w:t>
      </w:r>
    </w:p>
    <w:p w14:paraId="2F5F3533" w14:textId="77777777" w:rsidR="00253FD8" w:rsidRPr="0039055D" w:rsidRDefault="00253FD8">
      <w:pPr>
        <w:numPr>
          <w:ilvl w:val="0"/>
          <w:numId w:val="9"/>
        </w:numPr>
        <w:spacing w:after="160" w:line="360" w:lineRule="auto"/>
        <w:jc w:val="both"/>
        <w:rPr>
          <w:rFonts w:asciiTheme="majorBidi" w:hAnsiTheme="majorBidi" w:cstheme="majorBidi"/>
        </w:rPr>
      </w:pPr>
      <w:r w:rsidRPr="0039055D">
        <w:rPr>
          <w:rFonts w:asciiTheme="majorBidi" w:hAnsiTheme="majorBidi" w:cstheme="majorBidi"/>
          <w:b/>
          <w:bCs/>
        </w:rPr>
        <w:t>Intermittent PV Generation</w:t>
      </w:r>
      <w:r w:rsidRPr="0039055D">
        <w:rPr>
          <w:rFonts w:asciiTheme="majorBidi" w:hAnsiTheme="majorBidi" w:cstheme="majorBidi"/>
        </w:rPr>
        <w:t>: Solar energy is variable, and without proper storage solutions, the grid cannot fully utilize the energy generated during peak sunshine hours. This intermittency causes fluctuations in power supply, especially during periods of low solar irradiance.</w:t>
      </w:r>
    </w:p>
    <w:p w14:paraId="7288C223" w14:textId="77777777" w:rsidR="00253FD8" w:rsidRPr="0039055D" w:rsidRDefault="00253FD8">
      <w:pPr>
        <w:numPr>
          <w:ilvl w:val="0"/>
          <w:numId w:val="9"/>
        </w:numPr>
        <w:spacing w:after="160" w:line="360" w:lineRule="auto"/>
        <w:jc w:val="both"/>
        <w:rPr>
          <w:rFonts w:asciiTheme="majorBidi" w:hAnsiTheme="majorBidi" w:cstheme="majorBidi"/>
        </w:rPr>
      </w:pPr>
      <w:r w:rsidRPr="0039055D">
        <w:rPr>
          <w:rFonts w:asciiTheme="majorBidi" w:hAnsiTheme="majorBidi" w:cstheme="majorBidi"/>
          <w:b/>
          <w:bCs/>
        </w:rPr>
        <w:t>Voltage Fluctuations</w:t>
      </w:r>
      <w:r w:rsidRPr="0039055D">
        <w:rPr>
          <w:rFonts w:asciiTheme="majorBidi" w:hAnsiTheme="majorBidi" w:cstheme="majorBidi"/>
        </w:rPr>
        <w:t>: Although voltage levels remain generally stable, some buses experience voltage drops, particularly during peak demand periods. These drops, if not addressed, can lead to reduced power quality and potential outages in the long term.</w:t>
      </w:r>
    </w:p>
    <w:p w14:paraId="038CA60A" w14:textId="77777777" w:rsidR="00253FD8" w:rsidRPr="0039055D" w:rsidRDefault="00253FD8">
      <w:pPr>
        <w:numPr>
          <w:ilvl w:val="0"/>
          <w:numId w:val="9"/>
        </w:numPr>
        <w:spacing w:after="160" w:line="360" w:lineRule="auto"/>
        <w:jc w:val="both"/>
        <w:rPr>
          <w:rFonts w:asciiTheme="majorBidi" w:hAnsiTheme="majorBidi" w:cstheme="majorBidi"/>
        </w:rPr>
      </w:pPr>
      <w:r w:rsidRPr="0039055D">
        <w:rPr>
          <w:rFonts w:asciiTheme="majorBidi" w:hAnsiTheme="majorBidi" w:cstheme="majorBidi"/>
          <w:b/>
          <w:bCs/>
        </w:rPr>
        <w:t>Power Losses</w:t>
      </w:r>
      <w:r w:rsidRPr="0039055D">
        <w:rPr>
          <w:rFonts w:asciiTheme="majorBidi" w:hAnsiTheme="majorBidi" w:cstheme="majorBidi"/>
        </w:rPr>
        <w:t>: The network experiences noticeable power losses, particularly in reactive power, due to long transmission distances and the lack of reactive power compensation. These losses reduce the overall efficiency of the system and increase the cost of energy supply.</w:t>
      </w:r>
    </w:p>
    <w:p w14:paraId="7BCB1DC4" w14:textId="1EF8289A" w:rsidR="00253FD8" w:rsidRPr="00E40054" w:rsidRDefault="00253FD8" w:rsidP="00E40054">
      <w:pPr>
        <w:pStyle w:val="ListParagraph"/>
        <w:numPr>
          <w:ilvl w:val="0"/>
          <w:numId w:val="9"/>
        </w:numPr>
        <w:spacing w:line="360" w:lineRule="auto"/>
        <w:jc w:val="both"/>
        <w:rPr>
          <w:rFonts w:asciiTheme="majorBidi" w:hAnsiTheme="majorBidi" w:cstheme="majorBidi"/>
        </w:rPr>
      </w:pPr>
      <w:r w:rsidRPr="00E40054">
        <w:rPr>
          <w:rFonts w:asciiTheme="majorBidi" w:hAnsiTheme="majorBidi" w:cstheme="majorBidi"/>
          <w:b/>
          <w:bCs/>
        </w:rPr>
        <w:t>Lack of Energy Storage</w:t>
      </w:r>
      <w:r w:rsidRPr="00E40054">
        <w:rPr>
          <w:rFonts w:asciiTheme="majorBidi" w:hAnsiTheme="majorBidi" w:cstheme="majorBidi"/>
        </w:rPr>
        <w:t xml:space="preserve">: Without an </w:t>
      </w:r>
      <w:r w:rsidR="00414BCF" w:rsidRPr="00E40054">
        <w:rPr>
          <w:rFonts w:asciiTheme="majorBidi" w:hAnsiTheme="majorBidi" w:cstheme="majorBidi"/>
        </w:rPr>
        <w:t>ESS</w:t>
      </w:r>
      <w:r w:rsidRPr="00E40054">
        <w:rPr>
          <w:rFonts w:asciiTheme="majorBidi" w:hAnsiTheme="majorBidi" w:cstheme="majorBidi"/>
        </w:rPr>
        <w:t xml:space="preserve">, the grid cannot store excess energy generated by the PV panels during the day for use during peak demand periods in the evening. This results in </w:t>
      </w:r>
      <w:r w:rsidR="00E40054" w:rsidRPr="00E40054">
        <w:rPr>
          <w:rFonts w:asciiTheme="majorBidi" w:hAnsiTheme="majorBidi" w:cstheme="majorBidi"/>
        </w:rPr>
        <w:t>the utilization</w:t>
      </w:r>
      <w:r w:rsidRPr="00E40054">
        <w:rPr>
          <w:rFonts w:asciiTheme="majorBidi" w:hAnsiTheme="majorBidi" w:cstheme="majorBidi"/>
        </w:rPr>
        <w:t xml:space="preserve"> of renewable energy and continued reliance on imported electricity during critical hours</w:t>
      </w:r>
    </w:p>
    <w:p w14:paraId="23180D8B" w14:textId="429FD7A2" w:rsidR="00F17451" w:rsidRPr="00F17451" w:rsidRDefault="00F17451" w:rsidP="00F17451">
      <w:pPr>
        <w:pStyle w:val="Caption"/>
        <w:keepNext/>
        <w:rPr>
          <w:color w:val="auto"/>
          <w:sz w:val="22"/>
          <w:szCs w:val="22"/>
        </w:rPr>
      </w:pPr>
      <w:bookmarkStart w:id="24" w:name="_Toc201839280"/>
      <w:r w:rsidRPr="00F17451">
        <w:rPr>
          <w:b/>
          <w:bCs/>
          <w:i w:val="0"/>
          <w:iCs w:val="0"/>
          <w:color w:val="auto"/>
          <w:sz w:val="22"/>
          <w:szCs w:val="22"/>
        </w:rPr>
        <w:lastRenderedPageBreak/>
        <w:t xml:space="preserve">Figure </w:t>
      </w:r>
      <w:r w:rsidR="00704B8C">
        <w:rPr>
          <w:b/>
          <w:bCs/>
          <w:i w:val="0"/>
          <w:iCs w:val="0"/>
          <w:color w:val="auto"/>
          <w:sz w:val="22"/>
          <w:szCs w:val="22"/>
        </w:rPr>
        <w:t>2</w:t>
      </w:r>
      <w:r w:rsidRPr="00F17451">
        <w:rPr>
          <w:color w:val="auto"/>
          <w:sz w:val="22"/>
          <w:szCs w:val="22"/>
        </w:rPr>
        <w:br/>
        <w:t>PV Generation Output</w:t>
      </w:r>
      <w:bookmarkEnd w:id="24"/>
    </w:p>
    <w:p w14:paraId="5EF0C195" w14:textId="753CE6FB" w:rsidR="009D4712" w:rsidRPr="0039055D" w:rsidRDefault="009D4712" w:rsidP="00253FD8">
      <w:pPr>
        <w:spacing w:line="360" w:lineRule="auto"/>
        <w:jc w:val="both"/>
        <w:rPr>
          <w:rFonts w:asciiTheme="majorBidi" w:hAnsiTheme="majorBidi" w:cstheme="majorBidi"/>
        </w:rPr>
      </w:pPr>
      <w:r w:rsidRPr="009D4712">
        <w:rPr>
          <w:noProof/>
        </w:rPr>
        <w:drawing>
          <wp:inline distT="0" distB="0" distL="0" distR="0" wp14:anchorId="19AFEDAF" wp14:editId="682828EE">
            <wp:extent cx="5334000" cy="3381375"/>
            <wp:effectExtent l="0" t="0" r="0" b="9525"/>
            <wp:docPr id="608063044" name="Chart 1">
              <a:extLst xmlns:a="http://schemas.openxmlformats.org/drawingml/2006/main">
                <a:ext uri="{FF2B5EF4-FFF2-40B4-BE49-F238E27FC236}">
                  <a16:creationId xmlns:a16="http://schemas.microsoft.com/office/drawing/2014/main" id="{503C72AF-270D-4DEE-9F77-A17BE38A61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53F492B" w14:textId="73E5FC8E" w:rsidR="009D4712" w:rsidRPr="00554922" w:rsidRDefault="009D4712">
      <w:pPr>
        <w:pStyle w:val="Heading2"/>
        <w:numPr>
          <w:ilvl w:val="1"/>
          <w:numId w:val="17"/>
        </w:numPr>
        <w:spacing w:line="360" w:lineRule="auto"/>
        <w:rPr>
          <w:lang w:eastAsia="ar-SA" w:bidi="ar-JO"/>
        </w:rPr>
      </w:pPr>
      <w:bookmarkStart w:id="25" w:name="_Toc205672543"/>
      <w:r w:rsidRPr="00554922">
        <w:t>Scope of the Thesis</w:t>
      </w:r>
      <w:bookmarkEnd w:id="25"/>
    </w:p>
    <w:p w14:paraId="77E6E0DE" w14:textId="50AAA35B" w:rsidR="009D4712" w:rsidRPr="0039055D" w:rsidRDefault="009D4712" w:rsidP="009D4712">
      <w:pPr>
        <w:spacing w:line="360" w:lineRule="auto"/>
        <w:jc w:val="both"/>
        <w:rPr>
          <w:rFonts w:asciiTheme="majorBidi" w:hAnsiTheme="majorBidi" w:cstheme="majorBidi"/>
        </w:rPr>
      </w:pPr>
      <w:r w:rsidRPr="0039055D">
        <w:rPr>
          <w:rFonts w:asciiTheme="majorBidi" w:hAnsiTheme="majorBidi" w:cstheme="majorBidi"/>
        </w:rPr>
        <w:t xml:space="preserve">This thesis aims to address the </w:t>
      </w:r>
      <w:r w:rsidR="0038351F" w:rsidRPr="0039055D">
        <w:rPr>
          <w:rFonts w:asciiTheme="majorBidi" w:hAnsiTheme="majorBidi" w:cstheme="majorBidi"/>
        </w:rPr>
        <w:t>challenges</w:t>
      </w:r>
      <w:r w:rsidRPr="0039055D">
        <w:rPr>
          <w:rFonts w:asciiTheme="majorBidi" w:hAnsiTheme="majorBidi" w:cstheme="majorBidi"/>
        </w:rPr>
        <w:t xml:space="preserve"> by proposing a comprehensive techno-economic study for the implementation of an ESS in the </w:t>
      </w:r>
      <w:proofErr w:type="spellStart"/>
      <w:r w:rsidRPr="0039055D">
        <w:rPr>
          <w:rFonts w:asciiTheme="majorBidi" w:hAnsiTheme="majorBidi" w:cstheme="majorBidi"/>
        </w:rPr>
        <w:t>Arraba</w:t>
      </w:r>
      <w:proofErr w:type="spellEnd"/>
      <w:r w:rsidRPr="0039055D">
        <w:rPr>
          <w:rFonts w:asciiTheme="majorBidi" w:hAnsiTheme="majorBidi" w:cstheme="majorBidi"/>
        </w:rPr>
        <w:t xml:space="preserve"> village electrical grid. The primary focus will be on optimizing the use of renewable energy, improving grid stability, and reducing the reliance on imported electricity. The following sections outline the key components of the thesis:</w:t>
      </w:r>
    </w:p>
    <w:p w14:paraId="6F4D9437" w14:textId="3DDE1D52" w:rsidR="009D4712" w:rsidRPr="00554922" w:rsidRDefault="009D4712">
      <w:pPr>
        <w:pStyle w:val="Heading3"/>
        <w:numPr>
          <w:ilvl w:val="2"/>
          <w:numId w:val="17"/>
        </w:numPr>
        <w:rPr>
          <w:lang w:eastAsia="ar-SA" w:bidi="ar-JO"/>
        </w:rPr>
      </w:pPr>
      <w:r w:rsidRPr="00554922">
        <w:rPr>
          <w:rFonts w:cstheme="majorBidi"/>
        </w:rPr>
        <w:t>Grid Performance with ESS</w:t>
      </w:r>
    </w:p>
    <w:p w14:paraId="29F42C1C" w14:textId="3D32824E" w:rsidR="005F31CE" w:rsidRPr="005F31CE" w:rsidRDefault="005F31CE" w:rsidP="005F31CE">
      <w:pPr>
        <w:spacing w:after="160" w:line="360" w:lineRule="auto"/>
        <w:jc w:val="both"/>
        <w:rPr>
          <w:rFonts w:asciiTheme="majorBidi" w:hAnsiTheme="majorBidi" w:cstheme="majorBidi"/>
        </w:rPr>
      </w:pPr>
      <w:r w:rsidRPr="005F31CE">
        <w:rPr>
          <w:rFonts w:asciiTheme="majorBidi" w:hAnsiTheme="majorBidi" w:cstheme="majorBidi"/>
        </w:rPr>
        <w:t xml:space="preserve">Simulations are run to analyze the effect of adding an ESS on the overall performance of the grid. This study concentrates on various technical and economic metrics that indicate the system's efficiency and reliability enhancement </w:t>
      </w:r>
      <w:proofErr w:type="gramStart"/>
      <w:r w:rsidRPr="005F31CE">
        <w:rPr>
          <w:rFonts w:asciiTheme="majorBidi" w:hAnsiTheme="majorBidi" w:cstheme="majorBidi"/>
        </w:rPr>
        <w:t>as a result of</w:t>
      </w:r>
      <w:proofErr w:type="gramEnd"/>
      <w:r w:rsidRPr="005F31CE">
        <w:rPr>
          <w:rFonts w:asciiTheme="majorBidi" w:hAnsiTheme="majorBidi" w:cstheme="majorBidi"/>
        </w:rPr>
        <w:t xml:space="preserve"> storage integration.</w:t>
      </w:r>
    </w:p>
    <w:p w14:paraId="013C0CA3" w14:textId="506123FF" w:rsidR="005F31CE" w:rsidRPr="005F31CE" w:rsidRDefault="005F31CE" w:rsidP="005F31CE">
      <w:pPr>
        <w:spacing w:after="160" w:line="360" w:lineRule="auto"/>
        <w:jc w:val="both"/>
        <w:rPr>
          <w:rFonts w:asciiTheme="majorBidi" w:hAnsiTheme="majorBidi" w:cstheme="majorBidi"/>
        </w:rPr>
      </w:pPr>
      <w:r w:rsidRPr="005F31CE">
        <w:rPr>
          <w:rFonts w:asciiTheme="majorBidi" w:hAnsiTheme="majorBidi" w:cstheme="majorBidi"/>
        </w:rPr>
        <w:t xml:space="preserve">One of the primary subjects that are examined is voltage regulation, where the role of the ESS is examined according to its ability to stabilize voltage levels within the network. </w:t>
      </w:r>
      <w:proofErr w:type="gramStart"/>
      <w:r w:rsidRPr="005F31CE">
        <w:rPr>
          <w:rFonts w:asciiTheme="majorBidi" w:hAnsiTheme="majorBidi" w:cstheme="majorBidi"/>
        </w:rPr>
        <w:t>Particular emphasis</w:t>
      </w:r>
      <w:proofErr w:type="gramEnd"/>
      <w:r w:rsidRPr="005F31CE">
        <w:rPr>
          <w:rFonts w:asciiTheme="majorBidi" w:hAnsiTheme="majorBidi" w:cstheme="majorBidi"/>
        </w:rPr>
        <w:t xml:space="preserve"> is given to buses that have been noted to experience voltage drops </w:t>
      </w:r>
      <w:r w:rsidRPr="005F31CE">
        <w:rPr>
          <w:rFonts w:asciiTheme="majorBidi" w:hAnsiTheme="majorBidi" w:cstheme="majorBidi"/>
        </w:rPr>
        <w:lastRenderedPageBreak/>
        <w:t>under normal loading conditions, as the ESS will need to provide or take up power according to real-time voltage excursions, thereby enhancing voltage stability.</w:t>
      </w:r>
    </w:p>
    <w:p w14:paraId="3AB60BDD" w14:textId="3C1C977D" w:rsidR="005F31CE" w:rsidRPr="005F31CE" w:rsidRDefault="005F31CE" w:rsidP="005F31CE">
      <w:pPr>
        <w:spacing w:after="160" w:line="360" w:lineRule="auto"/>
        <w:jc w:val="both"/>
        <w:rPr>
          <w:rFonts w:asciiTheme="majorBidi" w:hAnsiTheme="majorBidi" w:cstheme="majorBidi"/>
        </w:rPr>
      </w:pPr>
      <w:r w:rsidRPr="005F31CE">
        <w:rPr>
          <w:rFonts w:asciiTheme="majorBidi" w:hAnsiTheme="majorBidi" w:cstheme="majorBidi"/>
        </w:rPr>
        <w:t>Apart from voltage performance, the study investigates the reduction of energy loss, specifically reactive power loss reduction, which can be mitigated by optimized energy dispatch and load balancing facilitated by the ESS. With power flow smoothing and peak to off-peak load shifting, the ESS is anticipated to improve overall energy efficiency and decrease transmission and distribution losses.</w:t>
      </w:r>
    </w:p>
    <w:p w14:paraId="245D26A0" w14:textId="74F1F121" w:rsidR="003D4467" w:rsidRPr="0039055D" w:rsidRDefault="005F31CE" w:rsidP="005F31CE">
      <w:pPr>
        <w:spacing w:after="160" w:line="360" w:lineRule="auto"/>
        <w:jc w:val="both"/>
        <w:rPr>
          <w:rFonts w:asciiTheme="majorBidi" w:hAnsiTheme="majorBidi" w:cstheme="majorBidi"/>
        </w:rPr>
      </w:pPr>
      <w:r w:rsidRPr="005F31CE">
        <w:rPr>
          <w:rFonts w:asciiTheme="majorBidi" w:hAnsiTheme="majorBidi" w:cstheme="majorBidi"/>
        </w:rPr>
        <w:t>Besides, the financial performance of the ESS setups is analyzed in a dedicated financial analysis. This includes a study of such indicators as capital investment requirements, operating costs, and long-term financial returns. The aim is to determine the cost-effectiveness and financial feasibility of each ESS scenario so that technical improvements are supported by economic justification.</w:t>
      </w:r>
    </w:p>
    <w:p w14:paraId="14B8CD2B" w14:textId="5BC66E07" w:rsidR="009D4712" w:rsidRPr="00554922" w:rsidRDefault="009D4712">
      <w:pPr>
        <w:pStyle w:val="Heading3"/>
        <w:numPr>
          <w:ilvl w:val="2"/>
          <w:numId w:val="17"/>
        </w:numPr>
        <w:rPr>
          <w:lang w:eastAsia="ar-SA" w:bidi="ar-JO"/>
        </w:rPr>
      </w:pPr>
      <w:r w:rsidRPr="00554922">
        <w:rPr>
          <w:rFonts w:cstheme="majorBidi"/>
        </w:rPr>
        <w:t>Optimization of Renewable Energy Utilization</w:t>
      </w:r>
    </w:p>
    <w:p w14:paraId="3C3F25BA" w14:textId="5C2FB2C6" w:rsidR="00C275F3" w:rsidRPr="00611456" w:rsidRDefault="009D4712" w:rsidP="00611456">
      <w:pPr>
        <w:spacing w:line="360" w:lineRule="auto"/>
        <w:jc w:val="both"/>
        <w:rPr>
          <w:rFonts w:asciiTheme="majorBidi" w:hAnsiTheme="majorBidi" w:cstheme="majorBidi"/>
        </w:rPr>
      </w:pPr>
      <w:r w:rsidRPr="0039055D">
        <w:rPr>
          <w:rFonts w:asciiTheme="majorBidi" w:hAnsiTheme="majorBidi" w:cstheme="majorBidi"/>
        </w:rPr>
        <w:t xml:space="preserve">The ESS will also be evaluated in terms of its ability to maximize the use of renewable energy by storing excess solar power during peak generation periods. This will help reduce the reliance on imported electricity, especially during high-demand periods in the evening and winter months when solar generation is low. </w:t>
      </w:r>
      <w:bookmarkStart w:id="26" w:name="_Hlk187757248"/>
    </w:p>
    <w:p w14:paraId="4A8A1C99" w14:textId="3B881280" w:rsidR="00BA03DA" w:rsidRPr="00BA03DA" w:rsidRDefault="00BA03DA" w:rsidP="00611456">
      <w:pPr>
        <w:pStyle w:val="Heading2"/>
        <w:numPr>
          <w:ilvl w:val="1"/>
          <w:numId w:val="17"/>
        </w:numPr>
        <w:spacing w:line="360" w:lineRule="auto"/>
        <w:jc w:val="both"/>
      </w:pPr>
      <w:bookmarkStart w:id="27" w:name="_Toc205672544"/>
      <w:bookmarkEnd w:id="26"/>
      <w:r w:rsidRPr="003245C4">
        <w:t>Single line diagram of the network</w:t>
      </w:r>
      <w:bookmarkEnd w:id="27"/>
    </w:p>
    <w:p w14:paraId="76F862E4" w14:textId="32939E83" w:rsidR="00F7776D" w:rsidRPr="00F7776D" w:rsidRDefault="00F7776D" w:rsidP="0077156A">
      <w:pPr>
        <w:spacing w:line="360" w:lineRule="auto"/>
        <w:jc w:val="both"/>
        <w:rPr>
          <w:rFonts w:asciiTheme="majorBidi" w:hAnsiTheme="majorBidi" w:cstheme="majorBidi"/>
        </w:rPr>
      </w:pPr>
      <w:r w:rsidRPr="00F7776D">
        <w:rPr>
          <w:rFonts w:asciiTheme="majorBidi" w:hAnsiTheme="majorBidi" w:cstheme="majorBidi"/>
        </w:rPr>
        <w:t xml:space="preserve">The electrical network in </w:t>
      </w:r>
      <w:proofErr w:type="spellStart"/>
      <w:r w:rsidRPr="00F7776D">
        <w:rPr>
          <w:rFonts w:asciiTheme="majorBidi" w:hAnsiTheme="majorBidi" w:cstheme="majorBidi"/>
        </w:rPr>
        <w:t>Arraba</w:t>
      </w:r>
      <w:proofErr w:type="spellEnd"/>
      <w:r w:rsidRPr="00F7776D">
        <w:rPr>
          <w:rFonts w:asciiTheme="majorBidi" w:hAnsiTheme="majorBidi" w:cstheme="majorBidi"/>
        </w:rPr>
        <w:t xml:space="preserve"> village, located in the Jenin district of Palestine, operates as a grid-connected system with an integrated 1 MW PV system. This solar integration offers substantial potential for meeting the village's electricity needs but introduces challenges related to energy loss and power quality. These issues are explored in detail throughout this thesis, focusing on ways to enhance system efficiency. </w:t>
      </w:r>
      <w:r w:rsidR="00F13588">
        <w:rPr>
          <w:rFonts w:asciiTheme="majorBidi" w:hAnsiTheme="majorBidi" w:cstheme="majorBidi"/>
        </w:rPr>
        <w:t xml:space="preserve">Figure </w:t>
      </w:r>
      <w:r w:rsidR="00704B8C">
        <w:rPr>
          <w:rFonts w:asciiTheme="majorBidi" w:hAnsiTheme="majorBidi" w:cstheme="majorBidi"/>
        </w:rPr>
        <w:t>3</w:t>
      </w:r>
      <w:r w:rsidR="00F13588">
        <w:rPr>
          <w:rFonts w:asciiTheme="majorBidi" w:hAnsiTheme="majorBidi" w:cstheme="majorBidi"/>
        </w:rPr>
        <w:t xml:space="preserve"> shows </w:t>
      </w:r>
      <w:r w:rsidR="00F13588" w:rsidRPr="00956C83">
        <w:rPr>
          <w:rFonts w:asciiTheme="majorBidi" w:hAnsiTheme="majorBidi" w:cstheme="majorBidi"/>
        </w:rPr>
        <w:t xml:space="preserve">the </w:t>
      </w:r>
      <w:r w:rsidR="00F13588">
        <w:rPr>
          <w:rFonts w:asciiTheme="majorBidi" w:hAnsiTheme="majorBidi" w:cstheme="majorBidi"/>
        </w:rPr>
        <w:t>results of ETAP simulation at maximum load point.</w:t>
      </w:r>
      <w:r w:rsidR="00F13588" w:rsidRPr="00F7776D">
        <w:rPr>
          <w:rFonts w:asciiTheme="majorBidi" w:hAnsiTheme="majorBidi" w:cstheme="majorBidi"/>
        </w:rPr>
        <w:t xml:space="preserve"> </w:t>
      </w:r>
      <w:r w:rsidRPr="00F7776D">
        <w:rPr>
          <w:rFonts w:asciiTheme="majorBidi" w:hAnsiTheme="majorBidi" w:cstheme="majorBidi"/>
        </w:rPr>
        <w:t xml:space="preserve">A significant issue identified in the current network is the energy loss amounting to 0.629 MWh, representing around 17% of the total system generation. This high energy loss is primarily caused by the lack of an </w:t>
      </w:r>
      <w:r w:rsidR="00414BCF">
        <w:rPr>
          <w:rFonts w:asciiTheme="majorBidi" w:hAnsiTheme="majorBidi" w:cstheme="majorBidi"/>
        </w:rPr>
        <w:t>ESS</w:t>
      </w:r>
      <w:r w:rsidRPr="00F7776D">
        <w:rPr>
          <w:rFonts w:asciiTheme="majorBidi" w:hAnsiTheme="majorBidi" w:cstheme="majorBidi"/>
        </w:rPr>
        <w:t xml:space="preserve"> and reverse power flows from the PV system to the grid during periods of low demand. This will be an essential focus </w:t>
      </w:r>
      <w:r w:rsidR="00F13588" w:rsidRPr="00F7776D">
        <w:rPr>
          <w:rFonts w:asciiTheme="majorBidi" w:hAnsiTheme="majorBidi" w:cstheme="majorBidi"/>
        </w:rPr>
        <w:t>for</w:t>
      </w:r>
      <w:r w:rsidRPr="00F7776D">
        <w:rPr>
          <w:rFonts w:asciiTheme="majorBidi" w:hAnsiTheme="majorBidi" w:cstheme="majorBidi"/>
        </w:rPr>
        <w:t xml:space="preserve"> future system improvements. </w:t>
      </w:r>
      <w:proofErr w:type="spellStart"/>
      <w:r w:rsidR="0077156A">
        <w:rPr>
          <w:rFonts w:asciiTheme="majorBidi" w:hAnsiTheme="majorBidi" w:cstheme="majorBidi"/>
        </w:rPr>
        <w:t>Appindex</w:t>
      </w:r>
      <w:proofErr w:type="spellEnd"/>
      <w:r w:rsidR="0077156A">
        <w:rPr>
          <w:rFonts w:asciiTheme="majorBidi" w:hAnsiTheme="majorBidi" w:cstheme="majorBidi"/>
        </w:rPr>
        <w:t xml:space="preserve"> A</w:t>
      </w:r>
      <w:r w:rsidRPr="00F7776D">
        <w:rPr>
          <w:rFonts w:asciiTheme="majorBidi" w:hAnsiTheme="majorBidi" w:cstheme="majorBidi"/>
        </w:rPr>
        <w:t xml:space="preserve"> visually represents this loss, clearly indicating the inefficiency in the current system that will be targeted with the introduction of the ESS.</w:t>
      </w:r>
    </w:p>
    <w:p w14:paraId="053D4635" w14:textId="31F6CED9" w:rsidR="00BA03DA" w:rsidRDefault="00F7776D" w:rsidP="00F7776D">
      <w:pPr>
        <w:spacing w:line="360" w:lineRule="auto"/>
        <w:jc w:val="both"/>
        <w:rPr>
          <w:rFonts w:asciiTheme="majorBidi" w:hAnsiTheme="majorBidi" w:cstheme="majorBidi"/>
        </w:rPr>
      </w:pPr>
      <w:r w:rsidRPr="00F7776D">
        <w:rPr>
          <w:rFonts w:asciiTheme="majorBidi" w:hAnsiTheme="majorBidi" w:cstheme="majorBidi"/>
        </w:rPr>
        <w:lastRenderedPageBreak/>
        <w:t xml:space="preserve">As highlighted in the Time Domain Load Flow System Summary, the total daily energy demand of </w:t>
      </w:r>
      <w:proofErr w:type="spellStart"/>
      <w:r w:rsidRPr="00F7776D">
        <w:rPr>
          <w:rFonts w:asciiTheme="majorBidi" w:hAnsiTheme="majorBidi" w:cstheme="majorBidi"/>
        </w:rPr>
        <w:t>Arraba</w:t>
      </w:r>
      <w:proofErr w:type="spellEnd"/>
      <w:r w:rsidRPr="00F7776D">
        <w:rPr>
          <w:rFonts w:asciiTheme="majorBidi" w:hAnsiTheme="majorBidi" w:cstheme="majorBidi"/>
        </w:rPr>
        <w:t xml:space="preserve"> village is approximately 40.0556 MWh. The PV system contributes around 6.72 MWh of this demand, while the remainder, approximately 33.96 MWh, is supplied by external alternating current (AC) sources. This reliance on external sources reflects the limitations of the current PV contribution.</w:t>
      </w:r>
    </w:p>
    <w:p w14:paraId="7A352782" w14:textId="5912A927" w:rsidR="00F17451" w:rsidRPr="00F17451" w:rsidRDefault="00F17451" w:rsidP="00F17451">
      <w:pPr>
        <w:pStyle w:val="Caption"/>
        <w:keepNext/>
        <w:rPr>
          <w:color w:val="auto"/>
          <w:sz w:val="22"/>
          <w:szCs w:val="22"/>
        </w:rPr>
      </w:pPr>
      <w:bookmarkStart w:id="28" w:name="_Toc201839282"/>
      <w:r w:rsidRPr="00F17451">
        <w:rPr>
          <w:b/>
          <w:bCs/>
          <w:i w:val="0"/>
          <w:iCs w:val="0"/>
          <w:color w:val="auto"/>
          <w:sz w:val="22"/>
          <w:szCs w:val="22"/>
        </w:rPr>
        <w:t xml:space="preserve">Figure </w:t>
      </w:r>
      <w:r w:rsidR="00704B8C">
        <w:rPr>
          <w:b/>
          <w:bCs/>
          <w:i w:val="0"/>
          <w:iCs w:val="0"/>
          <w:color w:val="auto"/>
          <w:sz w:val="22"/>
          <w:szCs w:val="22"/>
        </w:rPr>
        <w:t>3</w:t>
      </w:r>
      <w:r w:rsidRPr="00F17451">
        <w:rPr>
          <w:color w:val="auto"/>
          <w:sz w:val="22"/>
          <w:szCs w:val="22"/>
        </w:rPr>
        <w:br/>
        <w:t>Energy Loss Profile in the Network</w:t>
      </w:r>
      <w:bookmarkEnd w:id="28"/>
    </w:p>
    <w:p w14:paraId="3E75A9CF" w14:textId="0380069A" w:rsidR="00BE281D" w:rsidRPr="00E9387B" w:rsidRDefault="00BE281D" w:rsidP="000A7FB8">
      <w:pPr>
        <w:spacing w:line="360" w:lineRule="auto"/>
        <w:jc w:val="center"/>
        <w:rPr>
          <w:i/>
          <w:iCs/>
          <w:color w:val="44546A" w:themeColor="text2"/>
          <w:sz w:val="18"/>
          <w:szCs w:val="18"/>
        </w:rPr>
      </w:pPr>
      <w:r>
        <w:rPr>
          <w:noProof/>
        </w:rPr>
        <w:drawing>
          <wp:inline distT="0" distB="0" distL="0" distR="0" wp14:anchorId="5CCD8905" wp14:editId="4548CBBE">
            <wp:extent cx="5394960" cy="2796540"/>
            <wp:effectExtent l="0" t="0" r="15240" b="3810"/>
            <wp:docPr id="794209433" name="Chart 1">
              <a:extLst xmlns:a="http://schemas.openxmlformats.org/drawingml/2006/main">
                <a:ext uri="{FF2B5EF4-FFF2-40B4-BE49-F238E27FC236}">
                  <a16:creationId xmlns:a16="http://schemas.microsoft.com/office/drawing/2014/main" id="{0CED6941-4F00-4430-82C2-BDA481A964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8DDCC3B" w14:textId="7FAC5AE4" w:rsidR="00BE281D" w:rsidRPr="003245C4" w:rsidRDefault="00BE281D" w:rsidP="00BE281D">
      <w:pPr>
        <w:spacing w:line="360" w:lineRule="auto"/>
        <w:jc w:val="both"/>
        <w:rPr>
          <w:rFonts w:asciiTheme="majorBidi" w:hAnsiTheme="majorBidi" w:cstheme="majorBidi"/>
        </w:rPr>
      </w:pPr>
      <w:r w:rsidRPr="003245C4">
        <w:rPr>
          <w:rFonts w:asciiTheme="majorBidi" w:hAnsiTheme="majorBidi" w:cstheme="majorBidi"/>
        </w:rPr>
        <w:t xml:space="preserve">The electrical infrastructure of </w:t>
      </w:r>
      <w:proofErr w:type="spellStart"/>
      <w:r w:rsidRPr="003245C4">
        <w:rPr>
          <w:rFonts w:asciiTheme="majorBidi" w:hAnsiTheme="majorBidi" w:cstheme="majorBidi"/>
        </w:rPr>
        <w:t>Arraba</w:t>
      </w:r>
      <w:proofErr w:type="spellEnd"/>
      <w:r w:rsidRPr="003245C4">
        <w:rPr>
          <w:rFonts w:asciiTheme="majorBidi" w:hAnsiTheme="majorBidi" w:cstheme="majorBidi"/>
        </w:rPr>
        <w:t xml:space="preserve"> village is complex, comprising key elements such as transformers, buses, and cables that distribute power across various areas. Figure </w:t>
      </w:r>
      <w:r w:rsidR="000A7FB8">
        <w:rPr>
          <w:rFonts w:asciiTheme="majorBidi" w:hAnsiTheme="majorBidi" w:cstheme="majorBidi"/>
        </w:rPr>
        <w:t>1</w:t>
      </w:r>
      <w:r w:rsidR="00F13588">
        <w:rPr>
          <w:rFonts w:asciiTheme="majorBidi" w:hAnsiTheme="majorBidi" w:cstheme="majorBidi"/>
        </w:rPr>
        <w:t>3</w:t>
      </w:r>
      <w:r w:rsidRPr="003245C4">
        <w:rPr>
          <w:rFonts w:asciiTheme="majorBidi" w:hAnsiTheme="majorBidi" w:cstheme="majorBidi"/>
        </w:rPr>
        <w:t xml:space="preserve"> illustrates the one-line diagram of the village’s distribution network, detailing transformer capacities ranging from 400 kVA to 630 kVA. These transformers facilitate the efficient transfer of energy from the central grid to individual network nodes.</w:t>
      </w:r>
    </w:p>
    <w:p w14:paraId="05DA12C4" w14:textId="50C6CA6A" w:rsidR="00BE281D" w:rsidRPr="003245C4" w:rsidRDefault="00BE281D" w:rsidP="00BE281D">
      <w:pPr>
        <w:spacing w:line="360" w:lineRule="auto"/>
        <w:jc w:val="both"/>
        <w:rPr>
          <w:rFonts w:asciiTheme="majorBidi" w:hAnsiTheme="majorBidi" w:cstheme="majorBidi"/>
        </w:rPr>
      </w:pPr>
      <w:r w:rsidRPr="003245C4">
        <w:rPr>
          <w:rFonts w:asciiTheme="majorBidi" w:hAnsiTheme="majorBidi" w:cstheme="majorBidi"/>
        </w:rPr>
        <w:t>A focused load flow analysis was performed on the current network configuration, to analyze only the current situation without considering variations in load (minimum, maximum, or intermediate). This analysis utilized ETAP software to simulate the electrical network's behavior under existing conditions, helping identify voltage drops, power losses, and potential points of instability</w:t>
      </w:r>
      <w:r w:rsidR="002F68B4">
        <w:rPr>
          <w:rFonts w:asciiTheme="majorBidi" w:hAnsiTheme="majorBidi" w:cstheme="majorBidi"/>
        </w:rPr>
        <w:t>, f</w:t>
      </w:r>
      <w:r w:rsidR="002F68B4" w:rsidRPr="002F68B4">
        <w:rPr>
          <w:rFonts w:asciiTheme="majorBidi" w:hAnsiTheme="majorBidi" w:cstheme="majorBidi"/>
        </w:rPr>
        <w:t xml:space="preserve">or more detailed information, </w:t>
      </w:r>
      <w:proofErr w:type="gramStart"/>
      <w:r w:rsidR="002F68B4" w:rsidRPr="002F68B4">
        <w:rPr>
          <w:rFonts w:asciiTheme="majorBidi" w:hAnsiTheme="majorBidi" w:cstheme="majorBidi"/>
        </w:rPr>
        <w:t>refer</w:t>
      </w:r>
      <w:proofErr w:type="gramEnd"/>
      <w:r w:rsidR="002F68B4" w:rsidRPr="002F68B4">
        <w:rPr>
          <w:rFonts w:asciiTheme="majorBidi" w:hAnsiTheme="majorBidi" w:cstheme="majorBidi"/>
        </w:rPr>
        <w:t xml:space="preserve"> to Appendix </w:t>
      </w:r>
      <w:r w:rsidR="002F68B4">
        <w:rPr>
          <w:rFonts w:asciiTheme="majorBidi" w:hAnsiTheme="majorBidi" w:cstheme="majorBidi"/>
        </w:rPr>
        <w:t>A</w:t>
      </w:r>
      <w:r w:rsidRPr="003245C4">
        <w:rPr>
          <w:rFonts w:asciiTheme="majorBidi" w:hAnsiTheme="majorBidi" w:cstheme="majorBidi"/>
        </w:rPr>
        <w:t>.</w:t>
      </w:r>
    </w:p>
    <w:p w14:paraId="1A0EA6DF" w14:textId="605BC1EB" w:rsidR="00BE281D" w:rsidRDefault="00BE281D" w:rsidP="00BE281D">
      <w:pPr>
        <w:spacing w:line="360" w:lineRule="auto"/>
        <w:jc w:val="both"/>
        <w:rPr>
          <w:rFonts w:asciiTheme="majorBidi" w:hAnsiTheme="majorBidi" w:cstheme="majorBidi"/>
        </w:rPr>
      </w:pPr>
      <w:r w:rsidRPr="003245C4">
        <w:rPr>
          <w:rFonts w:asciiTheme="majorBidi" w:hAnsiTheme="majorBidi" w:cstheme="majorBidi"/>
        </w:rPr>
        <w:lastRenderedPageBreak/>
        <w:t xml:space="preserve">Each bus within the network serves a specific load point, with voltage levels across different buses generally stable, albeit with minor drops at buses farthest from the primary power source. Buses 37 and 30, for instance, exhibit slight voltage reductions, which could impact stability under high load. These voltage distributions are depicted in Figure </w:t>
      </w:r>
      <w:r w:rsidR="00704B8C">
        <w:rPr>
          <w:rFonts w:asciiTheme="majorBidi" w:hAnsiTheme="majorBidi" w:cstheme="majorBidi"/>
        </w:rPr>
        <w:t>4</w:t>
      </w:r>
      <w:r w:rsidRPr="003245C4">
        <w:rPr>
          <w:rFonts w:asciiTheme="majorBidi" w:hAnsiTheme="majorBidi" w:cstheme="majorBidi"/>
        </w:rPr>
        <w:t>, where minor deviations from ideal voltage levels are noted.</w:t>
      </w:r>
    </w:p>
    <w:p w14:paraId="3F659655" w14:textId="06A3A2E6" w:rsidR="00BC2F0A" w:rsidRPr="00BC2F0A" w:rsidRDefault="00BC2F0A" w:rsidP="00BC2F0A">
      <w:pPr>
        <w:pStyle w:val="Caption"/>
        <w:keepNext/>
        <w:rPr>
          <w:color w:val="auto"/>
          <w:sz w:val="22"/>
          <w:szCs w:val="22"/>
        </w:rPr>
      </w:pPr>
      <w:bookmarkStart w:id="29" w:name="_Toc201839283"/>
      <w:r w:rsidRPr="00BC2F0A">
        <w:rPr>
          <w:b/>
          <w:bCs/>
          <w:i w:val="0"/>
          <w:iCs w:val="0"/>
          <w:color w:val="auto"/>
          <w:sz w:val="22"/>
          <w:szCs w:val="22"/>
        </w:rPr>
        <w:t xml:space="preserve">Figure </w:t>
      </w:r>
      <w:r w:rsidR="00704B8C">
        <w:rPr>
          <w:b/>
          <w:bCs/>
          <w:i w:val="0"/>
          <w:iCs w:val="0"/>
          <w:color w:val="auto"/>
          <w:sz w:val="22"/>
          <w:szCs w:val="22"/>
        </w:rPr>
        <w:t>4</w:t>
      </w:r>
      <w:r w:rsidRPr="00BC2F0A">
        <w:rPr>
          <w:color w:val="auto"/>
          <w:sz w:val="22"/>
          <w:szCs w:val="22"/>
        </w:rPr>
        <w:br/>
        <w:t>Voltage Profile Comparison Across Network Buses</w:t>
      </w:r>
      <w:bookmarkEnd w:id="29"/>
    </w:p>
    <w:p w14:paraId="4ED2D693" w14:textId="1D5C997A" w:rsidR="00BE281D" w:rsidRDefault="00BE281D" w:rsidP="000A7FB8">
      <w:pPr>
        <w:spacing w:line="360" w:lineRule="auto"/>
        <w:jc w:val="center"/>
        <w:rPr>
          <w:i/>
          <w:iCs/>
          <w:color w:val="44546A" w:themeColor="text2"/>
          <w:sz w:val="18"/>
          <w:szCs w:val="18"/>
        </w:rPr>
      </w:pPr>
      <w:r w:rsidRPr="003245C4">
        <w:rPr>
          <w:rFonts w:asciiTheme="majorBidi" w:hAnsiTheme="majorBidi" w:cstheme="majorBidi"/>
          <w:noProof/>
        </w:rPr>
        <w:drawing>
          <wp:inline distT="0" distB="0" distL="0" distR="0" wp14:anchorId="393B3F00" wp14:editId="213E3932">
            <wp:extent cx="5501640" cy="3000375"/>
            <wp:effectExtent l="0" t="0" r="3810" b="9525"/>
            <wp:docPr id="1755036644" name="Chart 1">
              <a:extLst xmlns:a="http://schemas.openxmlformats.org/drawingml/2006/main">
                <a:ext uri="{FF2B5EF4-FFF2-40B4-BE49-F238E27FC236}">
                  <a16:creationId xmlns:a16="http://schemas.microsoft.com/office/drawing/2014/main" id="{6D01563C-1A86-40C2-9A67-C207FD28C5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59F378E" w14:textId="06643395" w:rsidR="00F13588" w:rsidRPr="003245C4" w:rsidRDefault="00F13588" w:rsidP="00F13588">
      <w:pPr>
        <w:spacing w:line="360" w:lineRule="auto"/>
        <w:jc w:val="both"/>
        <w:rPr>
          <w:rFonts w:asciiTheme="majorBidi" w:hAnsiTheme="majorBidi" w:cstheme="majorBidi"/>
        </w:rPr>
      </w:pPr>
      <w:r w:rsidRPr="003245C4">
        <w:rPr>
          <w:rFonts w:asciiTheme="majorBidi" w:hAnsiTheme="majorBidi" w:cstheme="majorBidi"/>
        </w:rPr>
        <w:t xml:space="preserve">The PV system can reach peak outputs of approximately 993.5 kW, while the maximum external AC generation capacity is 2657.1 kW. Figure </w:t>
      </w:r>
      <w:r w:rsidR="00704B8C">
        <w:rPr>
          <w:rFonts w:asciiTheme="majorBidi" w:hAnsiTheme="majorBidi" w:cstheme="majorBidi"/>
        </w:rPr>
        <w:t>5</w:t>
      </w:r>
      <w:r w:rsidRPr="003245C4">
        <w:rPr>
          <w:rFonts w:asciiTheme="majorBidi" w:hAnsiTheme="majorBidi" w:cstheme="majorBidi"/>
        </w:rPr>
        <w:t xml:space="preserve"> demonstrates the active power distribution from PV, grid, and net sources over a 24-hour period, highlighting the intermittent nature of solar generation and the critical role of the AC grid in balancing the village’s energy requirements. The net power levels illustrate the reliance on external sources and underscore the potential benefits of an ESS to bridge the energy gap, particularly during peak solar production times.</w:t>
      </w:r>
    </w:p>
    <w:p w14:paraId="339E4BF7" w14:textId="33633731" w:rsidR="00BC2F0A" w:rsidRPr="00BC2F0A" w:rsidRDefault="00BC2F0A" w:rsidP="00BC2F0A">
      <w:pPr>
        <w:pStyle w:val="Caption"/>
        <w:keepNext/>
        <w:rPr>
          <w:color w:val="auto"/>
          <w:sz w:val="22"/>
          <w:szCs w:val="22"/>
        </w:rPr>
      </w:pPr>
      <w:bookmarkStart w:id="30" w:name="_Toc201839284"/>
      <w:r w:rsidRPr="00BC2F0A">
        <w:rPr>
          <w:b/>
          <w:bCs/>
          <w:i w:val="0"/>
          <w:iCs w:val="0"/>
          <w:color w:val="auto"/>
          <w:sz w:val="22"/>
          <w:szCs w:val="22"/>
        </w:rPr>
        <w:lastRenderedPageBreak/>
        <w:t xml:space="preserve">Figure </w:t>
      </w:r>
      <w:r w:rsidR="00704B8C">
        <w:rPr>
          <w:b/>
          <w:bCs/>
          <w:i w:val="0"/>
          <w:iCs w:val="0"/>
          <w:color w:val="auto"/>
          <w:sz w:val="22"/>
          <w:szCs w:val="22"/>
        </w:rPr>
        <w:t>5</w:t>
      </w:r>
      <w:r w:rsidRPr="00BC2F0A">
        <w:rPr>
          <w:color w:val="auto"/>
          <w:sz w:val="22"/>
          <w:szCs w:val="22"/>
        </w:rPr>
        <w:br/>
        <w:t>Active Power Distribution Across Solar, Grid, and P-net Sources Over a 24-Hour Period</w:t>
      </w:r>
      <w:bookmarkEnd w:id="30"/>
    </w:p>
    <w:p w14:paraId="07F9CA3F" w14:textId="5C7AC34A" w:rsidR="005756C0" w:rsidRDefault="00BE281D" w:rsidP="005756C0">
      <w:pPr>
        <w:spacing w:line="360" w:lineRule="auto"/>
        <w:jc w:val="center"/>
        <w:rPr>
          <w:rFonts w:asciiTheme="majorBidi" w:hAnsiTheme="majorBidi" w:cstheme="majorBidi"/>
        </w:rPr>
      </w:pPr>
      <w:r w:rsidRPr="003245C4">
        <w:rPr>
          <w:rFonts w:asciiTheme="majorBidi" w:hAnsiTheme="majorBidi" w:cstheme="majorBidi"/>
          <w:noProof/>
        </w:rPr>
        <w:drawing>
          <wp:inline distT="0" distB="0" distL="0" distR="0" wp14:anchorId="06C76241" wp14:editId="7F388874">
            <wp:extent cx="5455920" cy="3067050"/>
            <wp:effectExtent l="0" t="0" r="11430" b="0"/>
            <wp:docPr id="1203223739" name="Chart 1">
              <a:extLst xmlns:a="http://schemas.openxmlformats.org/drawingml/2006/main">
                <a:ext uri="{FF2B5EF4-FFF2-40B4-BE49-F238E27FC236}">
                  <a16:creationId xmlns:a16="http://schemas.microsoft.com/office/drawing/2014/main" id="{448CFF02-B89A-48E7-83B6-238E9E687F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3245C4">
        <w:rPr>
          <w:rFonts w:asciiTheme="majorBidi" w:hAnsiTheme="majorBidi" w:cstheme="majorBidi"/>
        </w:rPr>
        <w:br/>
      </w:r>
    </w:p>
    <w:p w14:paraId="1C17F011" w14:textId="4035FC37" w:rsidR="00762447" w:rsidRDefault="00762447" w:rsidP="0054400C">
      <w:pPr>
        <w:spacing w:line="360" w:lineRule="auto"/>
        <w:jc w:val="both"/>
        <w:rPr>
          <w:rFonts w:asciiTheme="majorBidi" w:hAnsiTheme="majorBidi" w:cstheme="majorBidi"/>
        </w:rPr>
      </w:pPr>
      <w:r>
        <w:rPr>
          <w:rFonts w:asciiTheme="majorBidi" w:hAnsiTheme="majorBidi" w:cstheme="majorBidi"/>
        </w:rPr>
        <w:br w:type="page"/>
      </w:r>
    </w:p>
    <w:p w14:paraId="6B5F7A16" w14:textId="79F759EE" w:rsidR="006C6E56" w:rsidRDefault="006C6E56" w:rsidP="00AF002E">
      <w:pPr>
        <w:pStyle w:val="Heading1"/>
        <w:spacing w:line="360" w:lineRule="auto"/>
        <w:ind w:left="820" w:firstLine="0"/>
        <w:rPr>
          <w:sz w:val="28"/>
          <w:szCs w:val="28"/>
        </w:rPr>
      </w:pPr>
      <w:bookmarkStart w:id="31" w:name="_Toc205672545"/>
      <w:r w:rsidRPr="00AF002E">
        <w:rPr>
          <w:sz w:val="28"/>
          <w:szCs w:val="28"/>
        </w:rPr>
        <w:lastRenderedPageBreak/>
        <w:t xml:space="preserve">Chapter </w:t>
      </w:r>
      <w:r w:rsidR="00611456">
        <w:rPr>
          <w:sz w:val="28"/>
          <w:szCs w:val="28"/>
        </w:rPr>
        <w:t>Four</w:t>
      </w:r>
      <w:r w:rsidRPr="00AF002E">
        <w:rPr>
          <w:sz w:val="28"/>
          <w:szCs w:val="28"/>
        </w:rPr>
        <w:t xml:space="preserve">: </w:t>
      </w:r>
      <w:r w:rsidRPr="00AF002E">
        <w:rPr>
          <w:sz w:val="28"/>
          <w:szCs w:val="28"/>
        </w:rPr>
        <w:br/>
        <w:t>Results and Discussion</w:t>
      </w:r>
      <w:bookmarkEnd w:id="31"/>
    </w:p>
    <w:p w14:paraId="7366440A" w14:textId="77777777" w:rsidR="00AF002E" w:rsidRPr="00AF002E" w:rsidRDefault="00AF002E" w:rsidP="00AF002E">
      <w:pPr>
        <w:pStyle w:val="Heading1"/>
        <w:spacing w:line="360" w:lineRule="auto"/>
        <w:ind w:left="820" w:firstLine="0"/>
        <w:rPr>
          <w:sz w:val="28"/>
          <w:szCs w:val="28"/>
          <w:rtl/>
          <w:lang w:bidi="ar-EG"/>
        </w:rPr>
      </w:pPr>
    </w:p>
    <w:p w14:paraId="48DB94E7" w14:textId="777BB59C" w:rsidR="006C6E56" w:rsidRDefault="006C6E56" w:rsidP="00611456">
      <w:pPr>
        <w:pStyle w:val="Heading2"/>
        <w:numPr>
          <w:ilvl w:val="1"/>
          <w:numId w:val="35"/>
        </w:numPr>
        <w:spacing w:line="360" w:lineRule="auto"/>
        <w:jc w:val="both"/>
        <w:rPr>
          <w:rtl/>
        </w:rPr>
      </w:pPr>
      <w:bookmarkStart w:id="32" w:name="_Toc205672546"/>
      <w:r>
        <w:rPr>
          <w:lang w:val="tr-TR"/>
        </w:rPr>
        <w:t>Introduction</w:t>
      </w:r>
      <w:bookmarkEnd w:id="32"/>
      <w:r>
        <w:rPr>
          <w:lang w:val="tr-TR"/>
        </w:rPr>
        <w:tab/>
      </w:r>
    </w:p>
    <w:p w14:paraId="2AEC45F3" w14:textId="66B9A432" w:rsidR="006C6E56" w:rsidRDefault="003C0010" w:rsidP="006C6E56">
      <w:pPr>
        <w:spacing w:line="360" w:lineRule="auto"/>
      </w:pPr>
      <w:r w:rsidRPr="003C0010">
        <w:t xml:space="preserve">This chapter presents the simulation results for the </w:t>
      </w:r>
      <w:proofErr w:type="spellStart"/>
      <w:r w:rsidRPr="003C0010">
        <w:t>Arraba</w:t>
      </w:r>
      <w:proofErr w:type="spellEnd"/>
      <w:r w:rsidRPr="003C0010">
        <w:t xml:space="preserve"> village electrical network under four scenarios, analyzing key performance indicators such as voltage stability, power losses, load distribution, and renewable energy utilization.</w:t>
      </w:r>
      <w:r w:rsidR="006C6E56">
        <w:t>:</w:t>
      </w:r>
    </w:p>
    <w:p w14:paraId="4544418F" w14:textId="77777777" w:rsidR="006C6E56" w:rsidRDefault="006C6E56">
      <w:pPr>
        <w:pStyle w:val="ListParagraph"/>
        <w:numPr>
          <w:ilvl w:val="0"/>
          <w:numId w:val="13"/>
        </w:numPr>
        <w:spacing w:line="360" w:lineRule="auto"/>
      </w:pPr>
      <w:r w:rsidRPr="00BA03DA">
        <w:rPr>
          <w:b/>
          <w:bCs/>
        </w:rPr>
        <w:t>Case 0:</w:t>
      </w:r>
      <w:r>
        <w:t xml:space="preserve"> Current network configuration with 1 MW PV system and no energy storage.</w:t>
      </w:r>
    </w:p>
    <w:p w14:paraId="6693F353" w14:textId="10AC1CB7" w:rsidR="006C6E56" w:rsidRDefault="006C6E56">
      <w:pPr>
        <w:pStyle w:val="ListParagraph"/>
        <w:numPr>
          <w:ilvl w:val="0"/>
          <w:numId w:val="13"/>
        </w:numPr>
        <w:spacing w:line="360" w:lineRule="auto"/>
      </w:pPr>
      <w:r w:rsidRPr="00BA03DA">
        <w:rPr>
          <w:b/>
          <w:bCs/>
        </w:rPr>
        <w:t>Case 1:</w:t>
      </w:r>
      <w:r>
        <w:t xml:space="preserve"> 1 MW PV system with a 17% penetration level and integrated </w:t>
      </w:r>
      <w:r w:rsidR="00414BCF">
        <w:t>ESS</w:t>
      </w:r>
      <w:r>
        <w:t>.</w:t>
      </w:r>
    </w:p>
    <w:p w14:paraId="54EA91F7" w14:textId="77777777" w:rsidR="006C6E56" w:rsidRDefault="006C6E56">
      <w:pPr>
        <w:pStyle w:val="ListParagraph"/>
        <w:numPr>
          <w:ilvl w:val="0"/>
          <w:numId w:val="13"/>
        </w:numPr>
        <w:spacing w:line="360" w:lineRule="auto"/>
      </w:pPr>
      <w:r w:rsidRPr="00BA03DA">
        <w:rPr>
          <w:b/>
          <w:bCs/>
        </w:rPr>
        <w:t>Case 2:</w:t>
      </w:r>
      <w:r>
        <w:t xml:space="preserve"> 3 MW PV system with a 50% penetration level and integrated ESS.</w:t>
      </w:r>
    </w:p>
    <w:p w14:paraId="45EE9044" w14:textId="77777777" w:rsidR="006C6E56" w:rsidRDefault="006C6E56">
      <w:pPr>
        <w:pStyle w:val="ListParagraph"/>
        <w:numPr>
          <w:ilvl w:val="0"/>
          <w:numId w:val="13"/>
        </w:numPr>
        <w:spacing w:line="360" w:lineRule="auto"/>
      </w:pPr>
      <w:r w:rsidRPr="00BA03DA">
        <w:rPr>
          <w:b/>
          <w:bCs/>
        </w:rPr>
        <w:t>Case 3:</w:t>
      </w:r>
      <w:r>
        <w:t xml:space="preserve"> 6 MW PV system with a 100% penetration level and integrated ESS.</w:t>
      </w:r>
    </w:p>
    <w:p w14:paraId="4673B6A8" w14:textId="12E803DB" w:rsidR="005756C0" w:rsidRPr="005756C0" w:rsidRDefault="006C6E56" w:rsidP="005756C0">
      <w:pPr>
        <w:spacing w:line="360" w:lineRule="auto"/>
      </w:pPr>
      <w:r>
        <w:t>Each case is analyzed for key performance indicators, including voltage stability, power losses, load distribution, and renewable energy utilization</w:t>
      </w:r>
    </w:p>
    <w:p w14:paraId="603315CF" w14:textId="67DAB951" w:rsidR="005756C0" w:rsidRPr="005756C0" w:rsidRDefault="005756C0" w:rsidP="00611456">
      <w:pPr>
        <w:pStyle w:val="Heading2"/>
        <w:numPr>
          <w:ilvl w:val="1"/>
          <w:numId w:val="35"/>
        </w:numPr>
      </w:pPr>
      <w:bookmarkStart w:id="33" w:name="_Toc175482353"/>
      <w:bookmarkStart w:id="34" w:name="_Toc205672547"/>
      <w:r w:rsidRPr="0038351F">
        <w:t xml:space="preserve">Load </w:t>
      </w:r>
      <w:bookmarkStart w:id="35" w:name="_Hlk174007178"/>
      <w:r w:rsidRPr="0038351F">
        <w:t>flow analysis</w:t>
      </w:r>
      <w:bookmarkEnd w:id="33"/>
      <w:bookmarkEnd w:id="34"/>
      <w:r w:rsidRPr="0038351F">
        <w:t xml:space="preserve"> </w:t>
      </w:r>
      <w:bookmarkStart w:id="36" w:name="_Hlk173942552"/>
      <w:bookmarkEnd w:id="35"/>
    </w:p>
    <w:p w14:paraId="5856EA14" w14:textId="381508CC" w:rsidR="00B56D65" w:rsidRPr="00B56D65" w:rsidRDefault="00B56D65" w:rsidP="00B56D65">
      <w:pPr>
        <w:tabs>
          <w:tab w:val="left" w:pos="7930"/>
        </w:tabs>
        <w:spacing w:line="360" w:lineRule="auto"/>
        <w:jc w:val="both"/>
        <w:rPr>
          <w:rFonts w:asciiTheme="majorBidi" w:hAnsiTheme="majorBidi" w:cstheme="majorBidi"/>
        </w:rPr>
      </w:pPr>
      <w:r w:rsidRPr="00B56D65">
        <w:rPr>
          <w:rFonts w:asciiTheme="majorBidi" w:hAnsiTheme="majorBidi" w:cstheme="majorBidi"/>
        </w:rPr>
        <w:t xml:space="preserve">This chapter presents a simulation-based analysis of the present performance of the electrical network of </w:t>
      </w:r>
      <w:proofErr w:type="spellStart"/>
      <w:r w:rsidRPr="00B56D65">
        <w:rPr>
          <w:rFonts w:asciiTheme="majorBidi" w:hAnsiTheme="majorBidi" w:cstheme="majorBidi"/>
        </w:rPr>
        <w:t>Arraba</w:t>
      </w:r>
      <w:proofErr w:type="spellEnd"/>
      <w:r w:rsidRPr="00B56D65">
        <w:rPr>
          <w:rFonts w:asciiTheme="majorBidi" w:hAnsiTheme="majorBidi" w:cstheme="majorBidi"/>
        </w:rPr>
        <w:t xml:space="preserve"> village through the ETAP (Electrical Transient Analyzer Program). The study is concerned with the operational effects of the presently operational 1 MW grid-connected solar photovoltaic system. Through the simulation of the network under normal operating conditions, the study seeks to evaluate voltage regulation, energy distribution, and power loss due to the varying nature of solar output over daytime hours.</w:t>
      </w:r>
    </w:p>
    <w:p w14:paraId="695B71B5" w14:textId="19FF5021" w:rsidR="00B56D65" w:rsidRPr="00B56D65" w:rsidRDefault="00B56D65" w:rsidP="00B56D65">
      <w:pPr>
        <w:tabs>
          <w:tab w:val="left" w:pos="7930"/>
        </w:tabs>
        <w:spacing w:line="360" w:lineRule="auto"/>
        <w:jc w:val="both"/>
        <w:rPr>
          <w:rFonts w:asciiTheme="majorBidi" w:hAnsiTheme="majorBidi" w:cstheme="majorBidi"/>
        </w:rPr>
      </w:pPr>
      <w:r w:rsidRPr="00B56D65">
        <w:rPr>
          <w:rFonts w:asciiTheme="majorBidi" w:hAnsiTheme="majorBidi" w:cstheme="majorBidi"/>
        </w:rPr>
        <w:t xml:space="preserve">Load flow study gives a clear picture of power distribution over the network and voltage level maintenance at different buses. </w:t>
      </w:r>
      <w:proofErr w:type="gramStart"/>
      <w:r w:rsidRPr="00B56D65">
        <w:rPr>
          <w:rFonts w:asciiTheme="majorBidi" w:hAnsiTheme="majorBidi" w:cstheme="majorBidi"/>
        </w:rPr>
        <w:t>Particular emphasis</w:t>
      </w:r>
      <w:proofErr w:type="gramEnd"/>
      <w:r w:rsidRPr="00B56D65">
        <w:rPr>
          <w:rFonts w:asciiTheme="majorBidi" w:hAnsiTheme="majorBidi" w:cstheme="majorBidi"/>
        </w:rPr>
        <w:t xml:space="preserve"> is placed on assessing to what extent the PV system supports voltage and whether specific parts of the network are confronted with significant deviations from nominal values. Such simulations give a complete analysis of energy transfer efficiency and capability of existing infrastructure for integrating variable renewable generation.</w:t>
      </w:r>
    </w:p>
    <w:p w14:paraId="1D9DFE1F" w14:textId="7882EB6F" w:rsidR="00C77FF1" w:rsidRPr="00C77FF1" w:rsidRDefault="00B56D65" w:rsidP="00C77FF1">
      <w:pPr>
        <w:tabs>
          <w:tab w:val="left" w:pos="7930"/>
        </w:tabs>
        <w:spacing w:line="360" w:lineRule="auto"/>
        <w:rPr>
          <w:rFonts w:asciiTheme="majorBidi" w:hAnsiTheme="majorBidi" w:cstheme="majorBidi"/>
        </w:rPr>
      </w:pPr>
      <w:r w:rsidRPr="00B56D65">
        <w:rPr>
          <w:rFonts w:asciiTheme="majorBidi" w:hAnsiTheme="majorBidi" w:cstheme="majorBidi"/>
        </w:rPr>
        <w:t xml:space="preserve">The results from this analysis are that voltage levels throughout </w:t>
      </w:r>
      <w:proofErr w:type="gramStart"/>
      <w:r w:rsidRPr="00B56D65">
        <w:rPr>
          <w:rFonts w:asciiTheme="majorBidi" w:hAnsiTheme="majorBidi" w:cstheme="majorBidi"/>
        </w:rPr>
        <w:t>the majority of</w:t>
      </w:r>
      <w:proofErr w:type="gramEnd"/>
      <w:r w:rsidRPr="00B56D65">
        <w:rPr>
          <w:rFonts w:asciiTheme="majorBidi" w:hAnsiTheme="majorBidi" w:cstheme="majorBidi"/>
        </w:rPr>
        <w:t xml:space="preserve"> the network are within acceptable limits, and this suggests a well-controlled system by and </w:t>
      </w:r>
      <w:r w:rsidRPr="00B56D65">
        <w:rPr>
          <w:rFonts w:asciiTheme="majorBidi" w:hAnsiTheme="majorBidi" w:cstheme="majorBidi"/>
        </w:rPr>
        <w:lastRenderedPageBreak/>
        <w:t xml:space="preserve">large. There are tiny anomalies at certain buses, however, which may perhaps need closer inspection considering future innovations or in the introduction of storage possibilities. </w:t>
      </w:r>
    </w:p>
    <w:p w14:paraId="1525F608" w14:textId="0141C987" w:rsidR="00024447" w:rsidRPr="00024447" w:rsidRDefault="00024447" w:rsidP="00024447">
      <w:pPr>
        <w:spacing w:line="360" w:lineRule="auto"/>
        <w:jc w:val="both"/>
        <w:rPr>
          <w:rFonts w:asciiTheme="majorBidi" w:hAnsiTheme="majorBidi" w:cstheme="majorBidi"/>
          <w:b/>
          <w:bCs/>
        </w:rPr>
      </w:pPr>
      <w:r w:rsidRPr="00024447">
        <w:rPr>
          <w:rFonts w:asciiTheme="majorBidi" w:hAnsiTheme="majorBidi" w:cstheme="majorBidi"/>
          <w:b/>
          <w:bCs/>
        </w:rPr>
        <w:t xml:space="preserve">Load Flow Analysis – Case 0 </w:t>
      </w:r>
    </w:p>
    <w:p w14:paraId="7391C8E3" w14:textId="3EA3DDEE" w:rsidR="00617450" w:rsidRDefault="00617450" w:rsidP="00011664">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The unbalanced load flow results for Case 0 give a notion of phase-wise voltage magnitudes, active/reactive power, and power factor at the essential buses. Bus 1, being near the principal utility source, has a balanced three-phase voltage of 100% magnitude, and generates </w:t>
      </w:r>
      <w:r w:rsidR="00BC533B">
        <w:rPr>
          <w:rFonts w:asciiTheme="majorBidi" w:hAnsiTheme="majorBidi" w:cstheme="majorBidi"/>
        </w:rPr>
        <w:t xml:space="preserve">1.68 </w:t>
      </w:r>
      <w:r w:rsidRPr="00617450">
        <w:rPr>
          <w:rFonts w:asciiTheme="majorBidi" w:hAnsiTheme="majorBidi" w:cstheme="majorBidi"/>
        </w:rPr>
        <w:t>MW. The delivered power at downstream nodes has a high-power factor in all the phases, representing nearly purely active power flow with insignificant capacitive nature as per Table 1.</w:t>
      </w:r>
    </w:p>
    <w:p w14:paraId="7AB678B4" w14:textId="7D7E7CED" w:rsidR="005931B7" w:rsidRPr="00F7327F" w:rsidRDefault="00011664" w:rsidP="005931B7">
      <w:pPr>
        <w:tabs>
          <w:tab w:val="left" w:pos="7930"/>
        </w:tabs>
        <w:spacing w:line="240" w:lineRule="auto"/>
        <w:jc w:val="both"/>
        <w:rPr>
          <w:rFonts w:asciiTheme="majorBidi" w:hAnsiTheme="majorBidi" w:cstheme="majorBidi"/>
          <w:b/>
          <w:bCs/>
          <w:sz w:val="22"/>
          <w:szCs w:val="22"/>
        </w:rPr>
      </w:pPr>
      <w:r w:rsidRPr="00F7327F">
        <w:rPr>
          <w:rFonts w:asciiTheme="majorBidi" w:hAnsiTheme="majorBidi" w:cstheme="majorBidi"/>
          <w:b/>
          <w:bCs/>
          <w:sz w:val="22"/>
          <w:szCs w:val="22"/>
        </w:rPr>
        <w:t xml:space="preserve">Table </w:t>
      </w:r>
      <w:r w:rsidR="005931B7" w:rsidRPr="00F7327F">
        <w:rPr>
          <w:rFonts w:asciiTheme="majorBidi" w:hAnsiTheme="majorBidi" w:cstheme="majorBidi"/>
          <w:b/>
          <w:bCs/>
          <w:sz w:val="22"/>
          <w:szCs w:val="22"/>
        </w:rPr>
        <w:t>1</w:t>
      </w:r>
    </w:p>
    <w:p w14:paraId="7BC956E0" w14:textId="3F74B0FC" w:rsidR="00011664" w:rsidRPr="00F7327F" w:rsidRDefault="00011664" w:rsidP="005931B7">
      <w:pPr>
        <w:tabs>
          <w:tab w:val="left" w:pos="7930"/>
        </w:tabs>
        <w:spacing w:line="240" w:lineRule="auto"/>
        <w:jc w:val="both"/>
        <w:rPr>
          <w:rFonts w:asciiTheme="majorBidi" w:hAnsiTheme="majorBidi" w:cstheme="majorBidi"/>
          <w:sz w:val="22"/>
          <w:szCs w:val="22"/>
        </w:rPr>
      </w:pPr>
      <w:r w:rsidRPr="00F7327F">
        <w:rPr>
          <w:i/>
          <w:iCs/>
          <w:sz w:val="22"/>
          <w:szCs w:val="22"/>
        </w:rPr>
        <w:t>Load flow results for Case 0</w:t>
      </w:r>
    </w:p>
    <w:tbl>
      <w:tblPr>
        <w:tblStyle w:val="PlainTable3"/>
        <w:tblW w:w="8614" w:type="dxa"/>
        <w:tblLook w:val="04A0" w:firstRow="1" w:lastRow="0" w:firstColumn="1" w:lastColumn="0" w:noHBand="0" w:noVBand="1"/>
      </w:tblPr>
      <w:tblGrid>
        <w:gridCol w:w="1023"/>
        <w:gridCol w:w="1453"/>
        <w:gridCol w:w="2086"/>
        <w:gridCol w:w="1993"/>
        <w:gridCol w:w="2059"/>
      </w:tblGrid>
      <w:tr w:rsidR="00011664" w:rsidRPr="00F7327F" w14:paraId="16ED9635" w14:textId="49BE2DDE" w:rsidTr="00F7327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23" w:type="dxa"/>
            <w:vAlign w:val="bottom"/>
            <w:hideMark/>
          </w:tcPr>
          <w:p w14:paraId="7C913F3E" w14:textId="77777777" w:rsidR="00011664" w:rsidRPr="00F7327F" w:rsidRDefault="00011664"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Bus</w:t>
            </w:r>
          </w:p>
        </w:tc>
        <w:tc>
          <w:tcPr>
            <w:tcW w:w="1453" w:type="dxa"/>
            <w:vAlign w:val="bottom"/>
            <w:hideMark/>
          </w:tcPr>
          <w:p w14:paraId="6B341D3D" w14:textId="77777777" w:rsidR="00011664" w:rsidRPr="00F7327F" w:rsidRDefault="00011664"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(kV)</w:t>
            </w:r>
          </w:p>
        </w:tc>
        <w:tc>
          <w:tcPr>
            <w:tcW w:w="2086" w:type="dxa"/>
            <w:vAlign w:val="bottom"/>
            <w:hideMark/>
          </w:tcPr>
          <w:p w14:paraId="02D4A5EB" w14:textId="77777777" w:rsidR="00011664" w:rsidRPr="00F7327F" w:rsidRDefault="00011664"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Magn. (%)</w:t>
            </w:r>
          </w:p>
        </w:tc>
        <w:tc>
          <w:tcPr>
            <w:tcW w:w="1993" w:type="dxa"/>
            <w:vAlign w:val="bottom"/>
            <w:hideMark/>
          </w:tcPr>
          <w:p w14:paraId="67ED1E77" w14:textId="77777777" w:rsidR="00011664" w:rsidRPr="00F7327F" w:rsidRDefault="00011664"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Generation (MW)</w:t>
            </w:r>
          </w:p>
        </w:tc>
        <w:tc>
          <w:tcPr>
            <w:tcW w:w="2059" w:type="dxa"/>
            <w:vAlign w:val="bottom"/>
          </w:tcPr>
          <w:p w14:paraId="1FF26D60" w14:textId="344BFF49" w:rsidR="00011664" w:rsidRPr="00F7327F" w:rsidRDefault="00011664"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lang w:val="en-GB"/>
              </w:rPr>
            </w:pPr>
            <w:r w:rsidRPr="00F7327F">
              <w:rPr>
                <w:rFonts w:asciiTheme="majorBidi" w:hAnsiTheme="majorBidi" w:cstheme="majorBidi"/>
                <w:sz w:val="22"/>
                <w:szCs w:val="22"/>
                <w:lang w:val="tr-TR"/>
              </w:rPr>
              <w:t xml:space="preserve">Power Factor </w:t>
            </w:r>
            <w:r w:rsidRPr="00F7327F">
              <w:rPr>
                <w:rFonts w:asciiTheme="majorBidi" w:hAnsiTheme="majorBidi" w:cstheme="majorBidi"/>
                <w:sz w:val="22"/>
                <w:szCs w:val="22"/>
                <w:lang w:val="en-GB"/>
              </w:rPr>
              <w:t>(%)</w:t>
            </w:r>
          </w:p>
        </w:tc>
      </w:tr>
      <w:tr w:rsidR="00011664" w:rsidRPr="00F7327F" w14:paraId="4D8A2899" w14:textId="325AB98B"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3" w:type="dxa"/>
            <w:hideMark/>
          </w:tcPr>
          <w:p w14:paraId="33A838E9" w14:textId="77777777" w:rsidR="00011664" w:rsidRPr="00F7327F" w:rsidRDefault="00011664" w:rsidP="00C77FF1">
            <w:pPr>
              <w:tabs>
                <w:tab w:val="left" w:pos="7930"/>
              </w:tabs>
              <w:spacing w:line="360" w:lineRule="auto"/>
              <w:rPr>
                <w:rFonts w:asciiTheme="majorBidi" w:hAnsiTheme="majorBidi" w:cstheme="majorBidi"/>
                <w:sz w:val="22"/>
                <w:szCs w:val="22"/>
              </w:rPr>
            </w:pPr>
            <w:r w:rsidRPr="00F7327F">
              <w:rPr>
                <w:rFonts w:asciiTheme="majorBidi" w:hAnsiTheme="majorBidi" w:cstheme="majorBidi"/>
                <w:sz w:val="22"/>
                <w:szCs w:val="22"/>
              </w:rPr>
              <w:t>Bus 1</w:t>
            </w:r>
          </w:p>
        </w:tc>
        <w:tc>
          <w:tcPr>
            <w:tcW w:w="1453" w:type="dxa"/>
            <w:hideMark/>
          </w:tcPr>
          <w:p w14:paraId="579C0B53" w14:textId="77777777" w:rsidR="00011664" w:rsidRPr="00F7327F" w:rsidRDefault="00011664" w:rsidP="00C77FF1">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2086" w:type="dxa"/>
            <w:hideMark/>
          </w:tcPr>
          <w:p w14:paraId="67F5BD45" w14:textId="77777777" w:rsidR="00011664" w:rsidRPr="00F7327F" w:rsidRDefault="00011664" w:rsidP="00C77FF1">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100.00</w:t>
            </w:r>
          </w:p>
        </w:tc>
        <w:tc>
          <w:tcPr>
            <w:tcW w:w="1993" w:type="dxa"/>
            <w:hideMark/>
          </w:tcPr>
          <w:p w14:paraId="75DCCC6E" w14:textId="7A3F8947" w:rsidR="00011664" w:rsidRPr="00F7327F" w:rsidRDefault="00BC533B" w:rsidP="00C77FF1">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1.68</w:t>
            </w:r>
          </w:p>
        </w:tc>
        <w:tc>
          <w:tcPr>
            <w:tcW w:w="2059" w:type="dxa"/>
          </w:tcPr>
          <w:p w14:paraId="5D8CCFC7" w14:textId="402E485B" w:rsidR="00011664" w:rsidRPr="00F7327F" w:rsidRDefault="00011664" w:rsidP="00C77FF1">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99.9</w:t>
            </w:r>
          </w:p>
        </w:tc>
      </w:tr>
      <w:tr w:rsidR="00011664" w:rsidRPr="00F7327F" w14:paraId="56A7EF91" w14:textId="79EF5D0A" w:rsidTr="00F7327F">
        <w:tc>
          <w:tcPr>
            <w:cnfStyle w:val="001000000000" w:firstRow="0" w:lastRow="0" w:firstColumn="1" w:lastColumn="0" w:oddVBand="0" w:evenVBand="0" w:oddHBand="0" w:evenHBand="0" w:firstRowFirstColumn="0" w:firstRowLastColumn="0" w:lastRowFirstColumn="0" w:lastRowLastColumn="0"/>
            <w:tcW w:w="1023" w:type="dxa"/>
            <w:hideMark/>
          </w:tcPr>
          <w:p w14:paraId="5AA8A9D1" w14:textId="77777777" w:rsidR="00011664" w:rsidRPr="00F7327F" w:rsidRDefault="00011664" w:rsidP="00C77FF1">
            <w:pPr>
              <w:tabs>
                <w:tab w:val="left" w:pos="7930"/>
              </w:tabs>
              <w:spacing w:line="360" w:lineRule="auto"/>
              <w:rPr>
                <w:rFonts w:asciiTheme="majorBidi" w:hAnsiTheme="majorBidi" w:cstheme="majorBidi"/>
                <w:sz w:val="22"/>
                <w:szCs w:val="22"/>
              </w:rPr>
            </w:pPr>
            <w:r w:rsidRPr="00F7327F">
              <w:rPr>
                <w:rFonts w:asciiTheme="majorBidi" w:hAnsiTheme="majorBidi" w:cstheme="majorBidi"/>
                <w:sz w:val="22"/>
                <w:szCs w:val="22"/>
              </w:rPr>
              <w:t>Bus 39</w:t>
            </w:r>
          </w:p>
        </w:tc>
        <w:tc>
          <w:tcPr>
            <w:tcW w:w="1453" w:type="dxa"/>
            <w:hideMark/>
          </w:tcPr>
          <w:p w14:paraId="13879BEF" w14:textId="77777777" w:rsidR="00011664" w:rsidRPr="00F7327F" w:rsidRDefault="00011664" w:rsidP="00C77FF1">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2086" w:type="dxa"/>
            <w:hideMark/>
          </w:tcPr>
          <w:p w14:paraId="465D8C79" w14:textId="77777777" w:rsidR="00011664" w:rsidRPr="00F7327F" w:rsidRDefault="00011664" w:rsidP="00C77FF1">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102.13</w:t>
            </w:r>
          </w:p>
        </w:tc>
        <w:tc>
          <w:tcPr>
            <w:tcW w:w="1993" w:type="dxa"/>
            <w:hideMark/>
          </w:tcPr>
          <w:p w14:paraId="535DB4B1" w14:textId="77777777" w:rsidR="00011664" w:rsidRPr="00F7327F" w:rsidRDefault="00011664" w:rsidP="00C77FF1">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2059" w:type="dxa"/>
          </w:tcPr>
          <w:p w14:paraId="6ED13354" w14:textId="13FB487A" w:rsidR="00011664" w:rsidRPr="00F7327F" w:rsidRDefault="00011664" w:rsidP="00C77FF1">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bl>
    <w:p w14:paraId="46D92CC7" w14:textId="77777777" w:rsidR="00C77FF1" w:rsidRPr="00024447" w:rsidRDefault="00C77FF1" w:rsidP="00C77FF1">
      <w:pPr>
        <w:tabs>
          <w:tab w:val="left" w:pos="7930"/>
        </w:tabs>
        <w:spacing w:line="360" w:lineRule="auto"/>
        <w:jc w:val="both"/>
        <w:rPr>
          <w:rFonts w:asciiTheme="majorBidi" w:hAnsiTheme="majorBidi" w:cstheme="majorBidi"/>
        </w:rPr>
      </w:pPr>
    </w:p>
    <w:p w14:paraId="17B81DCE" w14:textId="4FEEEA61" w:rsidR="00617450" w:rsidRDefault="00617450" w:rsidP="00B56D65">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Yet, Bus 39, which is nearest to the PV, has a voltage magnitude </w:t>
      </w:r>
      <w:proofErr w:type="gramStart"/>
      <w:r w:rsidRPr="00617450">
        <w:rPr>
          <w:rFonts w:asciiTheme="majorBidi" w:hAnsiTheme="majorBidi" w:cstheme="majorBidi"/>
        </w:rPr>
        <w:t>of as</w:t>
      </w:r>
      <w:proofErr w:type="gramEnd"/>
      <w:r w:rsidRPr="00617450">
        <w:rPr>
          <w:rFonts w:asciiTheme="majorBidi" w:hAnsiTheme="majorBidi" w:cstheme="majorBidi"/>
        </w:rPr>
        <w:t xml:space="preserve"> 102.13%, slightly greater than Bus 1. Although it has no local load or generation, power is received from Bus 38 </w:t>
      </w:r>
      <w:r w:rsidR="00BC533B">
        <w:rPr>
          <w:rFonts w:asciiTheme="majorBidi" w:hAnsiTheme="majorBidi" w:cstheme="majorBidi"/>
        </w:rPr>
        <w:t>shows</w:t>
      </w:r>
      <w:r w:rsidRPr="00617450">
        <w:rPr>
          <w:rFonts w:asciiTheme="majorBidi" w:hAnsiTheme="majorBidi" w:cstheme="majorBidi"/>
        </w:rPr>
        <w:t xml:space="preserve"> a power factor close to 100%, indicating ideal purely active flow.</w:t>
      </w:r>
    </w:p>
    <w:p w14:paraId="7D020896" w14:textId="4173EF82" w:rsidR="005756C0" w:rsidRDefault="00B56D65" w:rsidP="00B56D65">
      <w:pPr>
        <w:tabs>
          <w:tab w:val="left" w:pos="7930"/>
        </w:tabs>
        <w:spacing w:line="360" w:lineRule="auto"/>
        <w:jc w:val="both"/>
        <w:rPr>
          <w:rFonts w:asciiTheme="majorBidi" w:hAnsiTheme="majorBidi" w:cstheme="majorBidi"/>
        </w:rPr>
      </w:pPr>
      <w:r w:rsidRPr="00B56D65">
        <w:rPr>
          <w:rFonts w:asciiTheme="majorBidi" w:hAnsiTheme="majorBidi" w:cstheme="majorBidi"/>
        </w:rPr>
        <w:t xml:space="preserve">This evaluation provides a preliminary overview of the technical operation of the current photovoltaic-integrated system in </w:t>
      </w:r>
      <w:proofErr w:type="spellStart"/>
      <w:r w:rsidRPr="00B56D65">
        <w:rPr>
          <w:rFonts w:asciiTheme="majorBidi" w:hAnsiTheme="majorBidi" w:cstheme="majorBidi"/>
        </w:rPr>
        <w:t>Arraba</w:t>
      </w:r>
      <w:proofErr w:type="spellEnd"/>
      <w:r w:rsidRPr="00B56D65">
        <w:rPr>
          <w:rFonts w:asciiTheme="majorBidi" w:hAnsiTheme="majorBidi" w:cstheme="majorBidi"/>
        </w:rPr>
        <w:t>. It establishes a baseline for measuring gains made by energy storage systems in the later chapters, especially in terms of grid stability and operational efficiency</w:t>
      </w:r>
      <w:r w:rsidR="005756C0">
        <w:rPr>
          <w:rFonts w:asciiTheme="majorBidi" w:hAnsiTheme="majorBidi" w:cstheme="majorBidi"/>
        </w:rPr>
        <w:t>.</w:t>
      </w:r>
    </w:p>
    <w:p w14:paraId="53A2F116" w14:textId="0BB0B3FE" w:rsidR="00024447" w:rsidRPr="00024447" w:rsidRDefault="00024447" w:rsidP="00024447">
      <w:pPr>
        <w:spacing w:line="360" w:lineRule="auto"/>
        <w:jc w:val="both"/>
        <w:rPr>
          <w:rFonts w:asciiTheme="majorBidi" w:hAnsiTheme="majorBidi" w:cstheme="majorBidi"/>
          <w:b/>
          <w:bCs/>
        </w:rPr>
      </w:pPr>
      <w:r w:rsidRPr="00024447">
        <w:rPr>
          <w:rFonts w:asciiTheme="majorBidi" w:hAnsiTheme="majorBidi" w:cstheme="majorBidi"/>
          <w:b/>
          <w:bCs/>
        </w:rPr>
        <w:t xml:space="preserve">Load Flow Analysis – Case </w:t>
      </w:r>
      <w:r>
        <w:rPr>
          <w:rFonts w:asciiTheme="majorBidi" w:hAnsiTheme="majorBidi" w:cstheme="majorBidi"/>
          <w:b/>
          <w:bCs/>
        </w:rPr>
        <w:t>1</w:t>
      </w:r>
    </w:p>
    <w:p w14:paraId="6A0E519C" w14:textId="77777777" w:rsidR="00617450" w:rsidRPr="00617450"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For Case 1, the ESS modes of operation at Bus 39 being considered are charging and </w:t>
      </w:r>
      <w:proofErr w:type="gramStart"/>
      <w:r w:rsidRPr="00617450">
        <w:rPr>
          <w:rFonts w:asciiTheme="majorBidi" w:hAnsiTheme="majorBidi" w:cstheme="majorBidi"/>
        </w:rPr>
        <w:t>discharging</w:t>
      </w:r>
      <w:proofErr w:type="gramEnd"/>
      <w:r w:rsidRPr="00617450">
        <w:rPr>
          <w:rFonts w:asciiTheme="majorBidi" w:hAnsiTheme="majorBidi" w:cstheme="majorBidi"/>
        </w:rPr>
        <w:t>. These scenarios reflect how the ESS affects grid power flow, voltage level, and generation in the upstream zone.</w:t>
      </w:r>
    </w:p>
    <w:p w14:paraId="425DB586" w14:textId="7EB4B4F0" w:rsidR="00617450" w:rsidRPr="00617450"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lastRenderedPageBreak/>
        <w:t xml:space="preserve">Under ESS charging, Bus 1 has increased generation to </w:t>
      </w:r>
      <w:r w:rsidR="00BC533B">
        <w:rPr>
          <w:rFonts w:asciiTheme="majorBidi" w:hAnsiTheme="majorBidi" w:cstheme="majorBidi"/>
        </w:rPr>
        <w:t>2</w:t>
      </w:r>
      <w:r w:rsidR="00BC533B" w:rsidRPr="00BC533B">
        <w:rPr>
          <w:rFonts w:asciiTheme="majorBidi" w:hAnsiTheme="majorBidi" w:cstheme="majorBidi"/>
        </w:rPr>
        <w:t>.66</w:t>
      </w:r>
      <w:r w:rsidR="00BC533B">
        <w:rPr>
          <w:rFonts w:asciiTheme="majorBidi" w:hAnsiTheme="majorBidi" w:cstheme="majorBidi"/>
        </w:rPr>
        <w:t xml:space="preserve"> </w:t>
      </w:r>
      <w:r w:rsidRPr="00617450">
        <w:rPr>
          <w:rFonts w:asciiTheme="majorBidi" w:hAnsiTheme="majorBidi" w:cstheme="majorBidi"/>
        </w:rPr>
        <w:t>MW, with power going to downstream loads. The voltage remains unchanged at 100%, while power factor is maintained close to 99.7%, indicating highly efficient power transfer. At Bus 39, the voltage is reduced to 99.88%. Although no load or generation is directly allocated to Bus 39 in this mode, power injection to the storage system can be clearly observed.</w:t>
      </w:r>
    </w:p>
    <w:p w14:paraId="2D07A891" w14:textId="4C95A4E2" w:rsidR="00024447"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When it discharges, Bus 1 generation drops to </w:t>
      </w:r>
      <w:r w:rsidR="00904F9F" w:rsidRPr="00904F9F">
        <w:rPr>
          <w:rFonts w:asciiTheme="majorBidi" w:hAnsiTheme="majorBidi" w:cstheme="majorBidi"/>
        </w:rPr>
        <w:t>1.94</w:t>
      </w:r>
      <w:r w:rsidRPr="00617450">
        <w:rPr>
          <w:rFonts w:asciiTheme="majorBidi" w:hAnsiTheme="majorBidi" w:cstheme="majorBidi"/>
        </w:rPr>
        <w:t xml:space="preserve"> MW</w:t>
      </w:r>
      <w:r w:rsidR="00904F9F">
        <w:rPr>
          <w:rFonts w:asciiTheme="majorBidi" w:hAnsiTheme="majorBidi" w:cstheme="majorBidi"/>
        </w:rPr>
        <w:t xml:space="preserve">, </w:t>
      </w:r>
      <w:r w:rsidRPr="00617450">
        <w:rPr>
          <w:rFonts w:asciiTheme="majorBidi" w:hAnsiTheme="majorBidi" w:cstheme="majorBidi"/>
        </w:rPr>
        <w:t>reflecting reduced grid demand. Bus 39 voltage rises to 101.65%, and power flows out from the ESS to Bus 38. The system again reflects almost perfect power factor conditions</w:t>
      </w:r>
      <w:r w:rsidR="00904F9F">
        <w:rPr>
          <w:rFonts w:asciiTheme="majorBidi" w:hAnsiTheme="majorBidi" w:cstheme="majorBidi"/>
        </w:rPr>
        <w:t>.</w:t>
      </w:r>
      <w:r w:rsidR="005931B7">
        <w:rPr>
          <w:rFonts w:asciiTheme="majorBidi" w:hAnsiTheme="majorBidi" w:cstheme="majorBidi"/>
        </w:rPr>
        <w:t xml:space="preserve"> The results for case 1 are summarized in table 2.</w:t>
      </w:r>
    </w:p>
    <w:p w14:paraId="3305DF21" w14:textId="59C55B0B" w:rsidR="005931B7" w:rsidRPr="00F7327F" w:rsidRDefault="00002859" w:rsidP="005931B7">
      <w:pPr>
        <w:tabs>
          <w:tab w:val="left" w:pos="7930"/>
        </w:tabs>
        <w:spacing w:line="240" w:lineRule="auto"/>
        <w:jc w:val="both"/>
        <w:rPr>
          <w:rFonts w:asciiTheme="majorBidi" w:hAnsiTheme="majorBidi" w:cstheme="majorBidi"/>
          <w:b/>
          <w:bCs/>
          <w:sz w:val="22"/>
          <w:szCs w:val="22"/>
        </w:rPr>
      </w:pPr>
      <w:r w:rsidRPr="00F7327F">
        <w:rPr>
          <w:rFonts w:asciiTheme="majorBidi" w:hAnsiTheme="majorBidi" w:cstheme="majorBidi"/>
          <w:b/>
          <w:bCs/>
          <w:sz w:val="22"/>
          <w:szCs w:val="22"/>
        </w:rPr>
        <w:t xml:space="preserve">Table </w:t>
      </w:r>
      <w:r w:rsidR="005931B7" w:rsidRPr="00F7327F">
        <w:rPr>
          <w:rFonts w:asciiTheme="majorBidi" w:hAnsiTheme="majorBidi" w:cstheme="majorBidi"/>
          <w:b/>
          <w:bCs/>
          <w:sz w:val="22"/>
          <w:szCs w:val="22"/>
        </w:rPr>
        <w:t>2</w:t>
      </w:r>
    </w:p>
    <w:p w14:paraId="0E76D290" w14:textId="48990FF4" w:rsidR="00002859" w:rsidRPr="00F7327F" w:rsidRDefault="00011664" w:rsidP="005931B7">
      <w:pPr>
        <w:tabs>
          <w:tab w:val="left" w:pos="7930"/>
        </w:tabs>
        <w:spacing w:line="240" w:lineRule="auto"/>
        <w:jc w:val="both"/>
        <w:rPr>
          <w:rFonts w:asciiTheme="majorBidi" w:hAnsiTheme="majorBidi" w:cstheme="majorBidi"/>
          <w:sz w:val="22"/>
          <w:szCs w:val="22"/>
        </w:rPr>
      </w:pPr>
      <w:r w:rsidRPr="00F7327F">
        <w:rPr>
          <w:i/>
          <w:iCs/>
          <w:sz w:val="22"/>
          <w:szCs w:val="22"/>
        </w:rPr>
        <w:t xml:space="preserve">Load flow results for </w:t>
      </w:r>
      <w:r w:rsidR="00002859" w:rsidRPr="00F7327F">
        <w:rPr>
          <w:i/>
          <w:iCs/>
          <w:sz w:val="22"/>
          <w:szCs w:val="22"/>
        </w:rPr>
        <w:t>Case 1</w:t>
      </w:r>
    </w:p>
    <w:tbl>
      <w:tblPr>
        <w:tblStyle w:val="PlainTable3"/>
        <w:tblW w:w="8614" w:type="dxa"/>
        <w:tblLayout w:type="fixed"/>
        <w:tblLook w:val="04A0" w:firstRow="1" w:lastRow="0" w:firstColumn="1" w:lastColumn="0" w:noHBand="0" w:noVBand="1"/>
      </w:tblPr>
      <w:tblGrid>
        <w:gridCol w:w="1886"/>
        <w:gridCol w:w="928"/>
        <w:gridCol w:w="1388"/>
        <w:gridCol w:w="1388"/>
        <w:gridCol w:w="1817"/>
        <w:gridCol w:w="1207"/>
      </w:tblGrid>
      <w:tr w:rsidR="007971B1" w:rsidRPr="00F7327F" w14:paraId="32BCD173" w14:textId="77777777" w:rsidTr="00F7327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86" w:type="dxa"/>
            <w:vAlign w:val="bottom"/>
          </w:tcPr>
          <w:p w14:paraId="0D0092DB" w14:textId="4B712737" w:rsidR="007971B1" w:rsidRPr="00F7327F" w:rsidRDefault="007971B1"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Mode</w:t>
            </w:r>
          </w:p>
        </w:tc>
        <w:tc>
          <w:tcPr>
            <w:tcW w:w="928" w:type="dxa"/>
            <w:vAlign w:val="bottom"/>
            <w:hideMark/>
          </w:tcPr>
          <w:p w14:paraId="19DA98C5" w14:textId="5F1D9596" w:rsidR="007971B1" w:rsidRPr="00F7327F" w:rsidRDefault="007971B1"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w:t>
            </w:r>
          </w:p>
        </w:tc>
        <w:tc>
          <w:tcPr>
            <w:tcW w:w="1388" w:type="dxa"/>
            <w:vAlign w:val="bottom"/>
            <w:hideMark/>
          </w:tcPr>
          <w:p w14:paraId="72238C17" w14:textId="77777777" w:rsidR="007971B1" w:rsidRPr="00F7327F" w:rsidRDefault="007971B1"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(kV)</w:t>
            </w:r>
          </w:p>
        </w:tc>
        <w:tc>
          <w:tcPr>
            <w:tcW w:w="1388" w:type="dxa"/>
            <w:vAlign w:val="bottom"/>
            <w:hideMark/>
          </w:tcPr>
          <w:p w14:paraId="2D9DC01E" w14:textId="77777777" w:rsidR="007971B1" w:rsidRPr="00F7327F" w:rsidRDefault="007971B1"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Magn. (%)</w:t>
            </w:r>
          </w:p>
        </w:tc>
        <w:tc>
          <w:tcPr>
            <w:tcW w:w="1817" w:type="dxa"/>
            <w:vAlign w:val="bottom"/>
            <w:hideMark/>
          </w:tcPr>
          <w:p w14:paraId="17E001E3" w14:textId="77777777" w:rsidR="007971B1" w:rsidRPr="00F7327F" w:rsidRDefault="007971B1"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Generation (MW)</w:t>
            </w:r>
          </w:p>
        </w:tc>
        <w:tc>
          <w:tcPr>
            <w:tcW w:w="1207" w:type="dxa"/>
            <w:vAlign w:val="bottom"/>
          </w:tcPr>
          <w:p w14:paraId="4B2A599E" w14:textId="77777777" w:rsidR="007971B1" w:rsidRPr="00F7327F" w:rsidRDefault="007971B1"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lang w:val="en-GB"/>
              </w:rPr>
            </w:pPr>
            <w:r w:rsidRPr="00F7327F">
              <w:rPr>
                <w:rFonts w:asciiTheme="majorBidi" w:hAnsiTheme="majorBidi" w:cstheme="majorBidi"/>
                <w:sz w:val="22"/>
                <w:szCs w:val="22"/>
                <w:lang w:val="tr-TR"/>
              </w:rPr>
              <w:t xml:space="preserve">Power Factor </w:t>
            </w:r>
            <w:r w:rsidRPr="00F7327F">
              <w:rPr>
                <w:rFonts w:asciiTheme="majorBidi" w:hAnsiTheme="majorBidi" w:cstheme="majorBidi"/>
                <w:sz w:val="22"/>
                <w:szCs w:val="22"/>
                <w:lang w:val="en-GB"/>
              </w:rPr>
              <w:t>(%)</w:t>
            </w:r>
          </w:p>
        </w:tc>
      </w:tr>
      <w:tr w:rsidR="00F7327F" w:rsidRPr="00F7327F" w14:paraId="709B5BC5"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tcPr>
          <w:p w14:paraId="4D9A6688" w14:textId="0E4D4200" w:rsidR="007971B1" w:rsidRPr="00F7327F" w:rsidRDefault="007971B1" w:rsidP="00F7327F">
            <w:pPr>
              <w:tabs>
                <w:tab w:val="left" w:pos="7930"/>
              </w:tabs>
              <w:spacing w:line="360" w:lineRule="auto"/>
              <w:rPr>
                <w:rFonts w:asciiTheme="majorBidi" w:hAnsiTheme="majorBidi" w:cstheme="majorBidi"/>
                <w:sz w:val="22"/>
                <w:szCs w:val="22"/>
              </w:rPr>
            </w:pPr>
            <w:r w:rsidRPr="00F7327F">
              <w:rPr>
                <w:rFonts w:asciiTheme="majorBidi" w:hAnsiTheme="majorBidi" w:cstheme="majorBidi"/>
                <w:sz w:val="22"/>
                <w:szCs w:val="22"/>
              </w:rPr>
              <w:t>Charging</w:t>
            </w:r>
          </w:p>
        </w:tc>
        <w:tc>
          <w:tcPr>
            <w:tcW w:w="928" w:type="dxa"/>
            <w:hideMark/>
          </w:tcPr>
          <w:p w14:paraId="10BBF475" w14:textId="6A0E9C98" w:rsidR="007971B1" w:rsidRPr="00F7327F" w:rsidRDefault="007971B1" w:rsidP="007971B1">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hideMark/>
          </w:tcPr>
          <w:p w14:paraId="159DF184" w14:textId="77777777" w:rsidR="007971B1" w:rsidRPr="00F7327F" w:rsidRDefault="007971B1"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hideMark/>
          </w:tcPr>
          <w:p w14:paraId="2CC7825D" w14:textId="053A87D4" w:rsidR="007971B1" w:rsidRPr="00F7327F" w:rsidRDefault="007971B1"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hideMark/>
          </w:tcPr>
          <w:p w14:paraId="7CE102F2" w14:textId="777E9932" w:rsidR="007971B1" w:rsidRPr="00F7327F" w:rsidRDefault="007971B1"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2.66</w:t>
            </w:r>
          </w:p>
        </w:tc>
        <w:tc>
          <w:tcPr>
            <w:tcW w:w="1207" w:type="dxa"/>
          </w:tcPr>
          <w:p w14:paraId="7613CC8E" w14:textId="4DC4D17A" w:rsidR="007971B1" w:rsidRPr="00F7327F" w:rsidRDefault="007971B1"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w:t>
            </w:r>
            <w:r w:rsidR="00002859" w:rsidRPr="00F7327F">
              <w:rPr>
                <w:rFonts w:asciiTheme="majorBidi" w:hAnsiTheme="majorBidi" w:cstheme="majorBidi"/>
                <w:sz w:val="22"/>
                <w:szCs w:val="22"/>
              </w:rPr>
              <w:t>7</w:t>
            </w:r>
          </w:p>
        </w:tc>
      </w:tr>
      <w:tr w:rsidR="007971B1" w:rsidRPr="00F7327F" w14:paraId="38A8E180"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tcPr>
          <w:p w14:paraId="6D94C379" w14:textId="77777777" w:rsidR="007971B1" w:rsidRPr="00F7327F" w:rsidRDefault="007971B1" w:rsidP="00F7327F">
            <w:pPr>
              <w:tabs>
                <w:tab w:val="left" w:pos="7930"/>
              </w:tabs>
              <w:spacing w:line="360" w:lineRule="auto"/>
              <w:rPr>
                <w:rFonts w:asciiTheme="majorBidi" w:hAnsiTheme="majorBidi" w:cstheme="majorBidi"/>
                <w:sz w:val="22"/>
                <w:szCs w:val="22"/>
              </w:rPr>
            </w:pPr>
          </w:p>
        </w:tc>
        <w:tc>
          <w:tcPr>
            <w:tcW w:w="928" w:type="dxa"/>
            <w:hideMark/>
          </w:tcPr>
          <w:p w14:paraId="342D9074" w14:textId="375C5E27" w:rsidR="007971B1" w:rsidRPr="00F7327F" w:rsidRDefault="007971B1" w:rsidP="007971B1">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hideMark/>
          </w:tcPr>
          <w:p w14:paraId="530B82FD" w14:textId="77777777" w:rsidR="007971B1" w:rsidRPr="00F7327F" w:rsidRDefault="007971B1"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hideMark/>
          </w:tcPr>
          <w:p w14:paraId="36812112" w14:textId="31797B1A" w:rsidR="007971B1" w:rsidRPr="00F7327F" w:rsidRDefault="00002859"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99.88</w:t>
            </w:r>
          </w:p>
        </w:tc>
        <w:tc>
          <w:tcPr>
            <w:tcW w:w="1817" w:type="dxa"/>
            <w:hideMark/>
          </w:tcPr>
          <w:p w14:paraId="12DE7740" w14:textId="77777777" w:rsidR="007971B1" w:rsidRPr="00F7327F" w:rsidRDefault="007971B1"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tcPr>
          <w:p w14:paraId="17C9ED7F" w14:textId="77777777" w:rsidR="007971B1" w:rsidRPr="00F7327F" w:rsidRDefault="007971B1"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r w:rsidR="00F7327F" w:rsidRPr="00F7327F" w14:paraId="17D5F8DC"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tcPr>
          <w:p w14:paraId="6F4C4A66" w14:textId="6C369AC5" w:rsidR="00002859" w:rsidRPr="00F7327F" w:rsidRDefault="00002859" w:rsidP="00F7327F">
            <w:pPr>
              <w:tabs>
                <w:tab w:val="left" w:pos="7930"/>
              </w:tabs>
              <w:spacing w:line="360" w:lineRule="auto"/>
              <w:rPr>
                <w:rFonts w:asciiTheme="majorBidi" w:hAnsiTheme="majorBidi" w:cstheme="majorBidi"/>
                <w:sz w:val="22"/>
                <w:szCs w:val="22"/>
              </w:rPr>
            </w:pPr>
            <w:r w:rsidRPr="00F7327F">
              <w:rPr>
                <w:rFonts w:asciiTheme="majorBidi" w:hAnsiTheme="majorBidi" w:cstheme="majorBidi"/>
                <w:sz w:val="22"/>
                <w:szCs w:val="22"/>
              </w:rPr>
              <w:t>Discharging</w:t>
            </w:r>
          </w:p>
        </w:tc>
        <w:tc>
          <w:tcPr>
            <w:tcW w:w="928" w:type="dxa"/>
          </w:tcPr>
          <w:p w14:paraId="10C85DC6" w14:textId="675BFAA2" w:rsidR="00002859" w:rsidRPr="00F7327F" w:rsidRDefault="00002859" w:rsidP="00002859">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tcPr>
          <w:p w14:paraId="71C227A7" w14:textId="4EAB118F" w:rsidR="00002859" w:rsidRPr="00F7327F" w:rsidRDefault="00002859" w:rsidP="00002859">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tcPr>
          <w:p w14:paraId="5DF2EB9F" w14:textId="1AE92E41" w:rsidR="00002859" w:rsidRPr="00F7327F" w:rsidRDefault="00002859" w:rsidP="00002859">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tcPr>
          <w:p w14:paraId="4B46239A" w14:textId="4AA9B752" w:rsidR="00002859" w:rsidRPr="00F7327F" w:rsidRDefault="00002859" w:rsidP="00002859">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1.94</w:t>
            </w:r>
          </w:p>
        </w:tc>
        <w:tc>
          <w:tcPr>
            <w:tcW w:w="1207" w:type="dxa"/>
          </w:tcPr>
          <w:p w14:paraId="4E792039" w14:textId="360D9C8A" w:rsidR="00002859" w:rsidRPr="00F7327F" w:rsidRDefault="00002859" w:rsidP="00002859">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99.8</w:t>
            </w:r>
          </w:p>
        </w:tc>
      </w:tr>
      <w:tr w:rsidR="00002859" w:rsidRPr="00F7327F" w14:paraId="2F89B803"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tcPr>
          <w:p w14:paraId="12DDD32D" w14:textId="77777777" w:rsidR="00002859" w:rsidRPr="00F7327F" w:rsidRDefault="00002859" w:rsidP="00002859">
            <w:pPr>
              <w:tabs>
                <w:tab w:val="left" w:pos="7930"/>
              </w:tabs>
              <w:spacing w:line="360" w:lineRule="auto"/>
              <w:jc w:val="both"/>
              <w:rPr>
                <w:rFonts w:asciiTheme="majorBidi" w:hAnsiTheme="majorBidi" w:cstheme="majorBidi"/>
                <w:sz w:val="22"/>
                <w:szCs w:val="22"/>
              </w:rPr>
            </w:pPr>
          </w:p>
        </w:tc>
        <w:tc>
          <w:tcPr>
            <w:tcW w:w="928" w:type="dxa"/>
          </w:tcPr>
          <w:p w14:paraId="06B8D4B6" w14:textId="1304443B" w:rsidR="00002859" w:rsidRPr="00F7327F" w:rsidRDefault="00002859" w:rsidP="00002859">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tcPr>
          <w:p w14:paraId="7BC4F3D9" w14:textId="25BA4C53" w:rsidR="00002859" w:rsidRPr="00F7327F" w:rsidRDefault="00002859" w:rsidP="00002859">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tcPr>
          <w:p w14:paraId="1F5F1B6F" w14:textId="1851F322" w:rsidR="00002859" w:rsidRPr="00F7327F" w:rsidRDefault="00002859" w:rsidP="00002859">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102.65</w:t>
            </w:r>
          </w:p>
        </w:tc>
        <w:tc>
          <w:tcPr>
            <w:tcW w:w="1817" w:type="dxa"/>
          </w:tcPr>
          <w:p w14:paraId="1EAC3536" w14:textId="0D95013F" w:rsidR="00002859" w:rsidRPr="00F7327F" w:rsidRDefault="00002859" w:rsidP="00002859">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tcPr>
          <w:p w14:paraId="4E5860E3" w14:textId="285D9273" w:rsidR="00002859" w:rsidRPr="00F7327F" w:rsidRDefault="00002859" w:rsidP="00002859">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bl>
    <w:p w14:paraId="05C9E800" w14:textId="77777777" w:rsidR="00024447" w:rsidRDefault="00024447" w:rsidP="00024447">
      <w:pPr>
        <w:tabs>
          <w:tab w:val="left" w:pos="7930"/>
        </w:tabs>
        <w:spacing w:line="360" w:lineRule="auto"/>
        <w:jc w:val="both"/>
        <w:rPr>
          <w:rFonts w:asciiTheme="majorBidi" w:hAnsiTheme="majorBidi" w:cstheme="majorBidi"/>
        </w:rPr>
      </w:pPr>
    </w:p>
    <w:p w14:paraId="771912F2" w14:textId="4AA0789A" w:rsidR="0004558A" w:rsidRPr="00024447" w:rsidRDefault="0004558A" w:rsidP="0004558A">
      <w:pPr>
        <w:spacing w:line="360" w:lineRule="auto"/>
        <w:jc w:val="both"/>
        <w:rPr>
          <w:rFonts w:asciiTheme="majorBidi" w:hAnsiTheme="majorBidi" w:cstheme="majorBidi"/>
          <w:b/>
          <w:bCs/>
        </w:rPr>
      </w:pPr>
      <w:r w:rsidRPr="00024447">
        <w:rPr>
          <w:rFonts w:asciiTheme="majorBidi" w:hAnsiTheme="majorBidi" w:cstheme="majorBidi"/>
          <w:b/>
          <w:bCs/>
        </w:rPr>
        <w:t xml:space="preserve">Load Flow Analysis – Case </w:t>
      </w:r>
      <w:r>
        <w:rPr>
          <w:rFonts w:asciiTheme="majorBidi" w:hAnsiTheme="majorBidi" w:cstheme="majorBidi"/>
          <w:b/>
          <w:bCs/>
        </w:rPr>
        <w:t>2</w:t>
      </w:r>
    </w:p>
    <w:p w14:paraId="440157BC" w14:textId="314BC484" w:rsidR="00617450" w:rsidRPr="00617450" w:rsidRDefault="00617450" w:rsidP="00904F9F">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In Case 2, the ESS at Bus 39 operates in both charging and discharging modes to subject the system response to more dynamic power transfer conditions. As previously stated, charging in Case 2 is more stringent than in Case 1, Bus 1 sends out </w:t>
      </w:r>
      <w:r w:rsidR="00904F9F">
        <w:rPr>
          <w:rFonts w:asciiTheme="majorBidi" w:hAnsiTheme="majorBidi" w:cstheme="majorBidi"/>
        </w:rPr>
        <w:t>2.66</w:t>
      </w:r>
      <w:r w:rsidRPr="00617450">
        <w:rPr>
          <w:rFonts w:asciiTheme="majorBidi" w:hAnsiTheme="majorBidi" w:cstheme="majorBidi"/>
        </w:rPr>
        <w:t xml:space="preserve"> MW with a power factor of 99.5%, and Bus 39 witnesses a slight rise in voltage to 100.26%.</w:t>
      </w:r>
    </w:p>
    <w:p w14:paraId="028FB2C0" w14:textId="4493E21D" w:rsidR="00617450" w:rsidRPr="00617450" w:rsidRDefault="00617450" w:rsidP="005931B7">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In this setup, the ESS </w:t>
      </w:r>
      <w:proofErr w:type="spellStart"/>
      <w:r w:rsidRPr="00617450">
        <w:rPr>
          <w:rFonts w:asciiTheme="majorBidi" w:hAnsiTheme="majorBidi" w:cstheme="majorBidi"/>
        </w:rPr>
        <w:t>backfeeds</w:t>
      </w:r>
      <w:proofErr w:type="spellEnd"/>
      <w:r w:rsidRPr="00617450">
        <w:rPr>
          <w:rFonts w:asciiTheme="majorBidi" w:hAnsiTheme="majorBidi" w:cstheme="majorBidi"/>
        </w:rPr>
        <w:t xml:space="preserve"> 0.489 MW per phase onto the grid at Bus 39, resulting in a local rise in voltage to </w:t>
      </w:r>
      <w:r w:rsidR="00904F9F" w:rsidRPr="00617450">
        <w:rPr>
          <w:rFonts w:asciiTheme="majorBidi" w:hAnsiTheme="majorBidi" w:cstheme="majorBidi"/>
        </w:rPr>
        <w:t>100.63%</w:t>
      </w:r>
      <w:r w:rsidR="005931B7" w:rsidRPr="00617450">
        <w:rPr>
          <w:rFonts w:asciiTheme="majorBidi" w:hAnsiTheme="majorBidi" w:cstheme="majorBidi"/>
        </w:rPr>
        <w:t>, the</w:t>
      </w:r>
      <w:r w:rsidRPr="00617450">
        <w:rPr>
          <w:rFonts w:asciiTheme="majorBidi" w:hAnsiTheme="majorBidi" w:cstheme="majorBidi"/>
        </w:rPr>
        <w:t xml:space="preserve"> highest to date. Upstream generation at Bus 1 reduces to </w:t>
      </w:r>
      <w:r w:rsidR="005931B7">
        <w:rPr>
          <w:rFonts w:asciiTheme="majorBidi" w:hAnsiTheme="majorBidi" w:cstheme="majorBidi"/>
        </w:rPr>
        <w:t>1.2</w:t>
      </w:r>
      <w:r w:rsidRPr="00617450">
        <w:rPr>
          <w:rFonts w:asciiTheme="majorBidi" w:hAnsiTheme="majorBidi" w:cstheme="majorBidi"/>
        </w:rPr>
        <w:t xml:space="preserve"> MW, and current passing to Bus 3 reduces in proportion. The power factor </w:t>
      </w:r>
      <w:r w:rsidRPr="00617450">
        <w:rPr>
          <w:rFonts w:asciiTheme="majorBidi" w:hAnsiTheme="majorBidi" w:cstheme="majorBidi"/>
        </w:rPr>
        <w:lastRenderedPageBreak/>
        <w:t xml:space="preserve">at Bus 1 is still good at -99.1% despite such </w:t>
      </w:r>
      <w:r w:rsidR="005931B7" w:rsidRPr="00617450">
        <w:rPr>
          <w:rFonts w:asciiTheme="majorBidi" w:hAnsiTheme="majorBidi" w:cstheme="majorBidi"/>
        </w:rPr>
        <w:t>back feeding</w:t>
      </w:r>
      <w:r w:rsidRPr="00617450">
        <w:rPr>
          <w:rFonts w:asciiTheme="majorBidi" w:hAnsiTheme="majorBidi" w:cstheme="majorBidi"/>
        </w:rPr>
        <w:t>, whereas system balance is maintained.</w:t>
      </w:r>
    </w:p>
    <w:p w14:paraId="2F23D80C" w14:textId="1F8F29A3" w:rsidR="0004558A"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This bidirectional operation reflects the function of the ESS in flattening the load profile and supporting grid efficiency. The most critical phase-averaged indicators for both buses under both ESS modes are presented in Table </w:t>
      </w:r>
      <w:r w:rsidR="005931B7">
        <w:rPr>
          <w:rFonts w:asciiTheme="majorBidi" w:hAnsiTheme="majorBidi" w:cstheme="majorBidi"/>
        </w:rPr>
        <w:t>3</w:t>
      </w:r>
      <w:r w:rsidR="0004558A" w:rsidRPr="0004558A">
        <w:rPr>
          <w:rFonts w:asciiTheme="majorBidi" w:hAnsiTheme="majorBidi" w:cstheme="majorBidi"/>
        </w:rPr>
        <w:t>.</w:t>
      </w:r>
    </w:p>
    <w:p w14:paraId="74C4EB06" w14:textId="24E2E4B3" w:rsidR="005931B7" w:rsidRPr="00F7327F" w:rsidRDefault="0004558A" w:rsidP="005931B7">
      <w:pPr>
        <w:tabs>
          <w:tab w:val="left" w:pos="7930"/>
        </w:tabs>
        <w:spacing w:line="240" w:lineRule="auto"/>
        <w:jc w:val="both"/>
        <w:rPr>
          <w:rFonts w:asciiTheme="majorBidi" w:hAnsiTheme="majorBidi" w:cstheme="majorBidi"/>
          <w:b/>
          <w:bCs/>
          <w:sz w:val="22"/>
          <w:szCs w:val="22"/>
        </w:rPr>
      </w:pPr>
      <w:r w:rsidRPr="00F7327F">
        <w:rPr>
          <w:rFonts w:asciiTheme="majorBidi" w:hAnsiTheme="majorBidi" w:cstheme="majorBidi"/>
          <w:b/>
          <w:bCs/>
          <w:sz w:val="22"/>
          <w:szCs w:val="22"/>
        </w:rPr>
        <w:t xml:space="preserve">Table </w:t>
      </w:r>
      <w:r w:rsidR="005931B7" w:rsidRPr="00F7327F">
        <w:rPr>
          <w:rFonts w:asciiTheme="majorBidi" w:hAnsiTheme="majorBidi" w:cstheme="majorBidi"/>
          <w:b/>
          <w:bCs/>
          <w:sz w:val="22"/>
          <w:szCs w:val="22"/>
        </w:rPr>
        <w:t>3</w:t>
      </w:r>
      <w:r w:rsidRPr="00F7327F">
        <w:rPr>
          <w:rFonts w:asciiTheme="majorBidi" w:hAnsiTheme="majorBidi" w:cstheme="majorBidi"/>
          <w:b/>
          <w:bCs/>
          <w:sz w:val="22"/>
          <w:szCs w:val="22"/>
        </w:rPr>
        <w:t xml:space="preserve"> </w:t>
      </w:r>
    </w:p>
    <w:p w14:paraId="0D23FEE2" w14:textId="4A7B3C4B" w:rsidR="0004558A" w:rsidRPr="00F7327F" w:rsidRDefault="00011664" w:rsidP="005931B7">
      <w:pPr>
        <w:tabs>
          <w:tab w:val="left" w:pos="7930"/>
        </w:tabs>
        <w:spacing w:line="240" w:lineRule="auto"/>
        <w:jc w:val="both"/>
        <w:rPr>
          <w:i/>
          <w:iCs/>
          <w:sz w:val="22"/>
          <w:szCs w:val="22"/>
        </w:rPr>
      </w:pPr>
      <w:bookmarkStart w:id="37" w:name="_Hlk197990913"/>
      <w:r w:rsidRPr="00F7327F">
        <w:rPr>
          <w:i/>
          <w:iCs/>
          <w:sz w:val="22"/>
          <w:szCs w:val="22"/>
        </w:rPr>
        <w:t>Load flow results for Case 2</w:t>
      </w:r>
    </w:p>
    <w:tbl>
      <w:tblPr>
        <w:tblStyle w:val="PlainTable3"/>
        <w:tblW w:w="8614" w:type="dxa"/>
        <w:tblLayout w:type="fixed"/>
        <w:tblLook w:val="04A0" w:firstRow="1" w:lastRow="0" w:firstColumn="1" w:lastColumn="0" w:noHBand="0" w:noVBand="1"/>
      </w:tblPr>
      <w:tblGrid>
        <w:gridCol w:w="1886"/>
        <w:gridCol w:w="928"/>
        <w:gridCol w:w="1388"/>
        <w:gridCol w:w="1388"/>
        <w:gridCol w:w="1817"/>
        <w:gridCol w:w="1207"/>
      </w:tblGrid>
      <w:tr w:rsidR="0004558A" w:rsidRPr="00F7327F" w14:paraId="48200ABB" w14:textId="77777777" w:rsidTr="00F7327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86" w:type="dxa"/>
            <w:vAlign w:val="bottom"/>
          </w:tcPr>
          <w:bookmarkEnd w:id="37"/>
          <w:p w14:paraId="38F5D242" w14:textId="77777777" w:rsidR="0004558A" w:rsidRPr="00F7327F" w:rsidRDefault="0004558A"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Mode</w:t>
            </w:r>
          </w:p>
        </w:tc>
        <w:tc>
          <w:tcPr>
            <w:tcW w:w="928" w:type="dxa"/>
            <w:vAlign w:val="bottom"/>
            <w:hideMark/>
          </w:tcPr>
          <w:p w14:paraId="4990039F" w14:textId="77777777" w:rsidR="0004558A" w:rsidRPr="00F7327F" w:rsidRDefault="0004558A"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w:t>
            </w:r>
          </w:p>
        </w:tc>
        <w:tc>
          <w:tcPr>
            <w:tcW w:w="1388" w:type="dxa"/>
            <w:vAlign w:val="bottom"/>
            <w:hideMark/>
          </w:tcPr>
          <w:p w14:paraId="34E7B5D7" w14:textId="77777777" w:rsidR="0004558A" w:rsidRPr="00F7327F" w:rsidRDefault="0004558A"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(kV)</w:t>
            </w:r>
          </w:p>
        </w:tc>
        <w:tc>
          <w:tcPr>
            <w:tcW w:w="1388" w:type="dxa"/>
            <w:vAlign w:val="bottom"/>
            <w:hideMark/>
          </w:tcPr>
          <w:p w14:paraId="3837D318" w14:textId="77777777" w:rsidR="0004558A" w:rsidRPr="00F7327F" w:rsidRDefault="0004558A"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Magn. (%)</w:t>
            </w:r>
          </w:p>
        </w:tc>
        <w:tc>
          <w:tcPr>
            <w:tcW w:w="1817" w:type="dxa"/>
            <w:vAlign w:val="bottom"/>
            <w:hideMark/>
          </w:tcPr>
          <w:p w14:paraId="50AA1F54" w14:textId="77777777" w:rsidR="0004558A" w:rsidRPr="00F7327F" w:rsidRDefault="0004558A"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Generation (MW)</w:t>
            </w:r>
          </w:p>
        </w:tc>
        <w:tc>
          <w:tcPr>
            <w:tcW w:w="1207" w:type="dxa"/>
            <w:vAlign w:val="bottom"/>
          </w:tcPr>
          <w:p w14:paraId="2980AAAA" w14:textId="77777777" w:rsidR="0004558A" w:rsidRPr="00F7327F" w:rsidRDefault="0004558A"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lang w:val="en-GB"/>
              </w:rPr>
            </w:pPr>
            <w:r w:rsidRPr="00F7327F">
              <w:rPr>
                <w:rFonts w:asciiTheme="majorBidi" w:hAnsiTheme="majorBidi" w:cstheme="majorBidi"/>
                <w:sz w:val="22"/>
                <w:szCs w:val="22"/>
                <w:lang w:val="tr-TR"/>
              </w:rPr>
              <w:t xml:space="preserve">Power Factor </w:t>
            </w:r>
            <w:r w:rsidRPr="00F7327F">
              <w:rPr>
                <w:rFonts w:asciiTheme="majorBidi" w:hAnsiTheme="majorBidi" w:cstheme="majorBidi"/>
                <w:sz w:val="22"/>
                <w:szCs w:val="22"/>
                <w:lang w:val="en-GB"/>
              </w:rPr>
              <w:t>(%)</w:t>
            </w:r>
          </w:p>
        </w:tc>
      </w:tr>
      <w:tr w:rsidR="00F7327F" w:rsidRPr="00F7327F" w14:paraId="74DB4F1B"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tcPr>
          <w:p w14:paraId="10489302" w14:textId="77777777" w:rsidR="0004558A" w:rsidRPr="00F7327F" w:rsidRDefault="0004558A" w:rsidP="007D1597">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Charging</w:t>
            </w:r>
          </w:p>
        </w:tc>
        <w:tc>
          <w:tcPr>
            <w:tcW w:w="928" w:type="dxa"/>
            <w:hideMark/>
          </w:tcPr>
          <w:p w14:paraId="4B3C7CDB"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hideMark/>
          </w:tcPr>
          <w:p w14:paraId="6A8EC22F"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hideMark/>
          </w:tcPr>
          <w:p w14:paraId="01BC831C"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hideMark/>
          </w:tcPr>
          <w:p w14:paraId="37FE6A37"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2.66</w:t>
            </w:r>
          </w:p>
        </w:tc>
        <w:tc>
          <w:tcPr>
            <w:tcW w:w="1207" w:type="dxa"/>
          </w:tcPr>
          <w:p w14:paraId="363D9DCB" w14:textId="70F3FD5F"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99.5</w:t>
            </w:r>
          </w:p>
        </w:tc>
      </w:tr>
      <w:tr w:rsidR="0004558A" w:rsidRPr="00F7327F" w14:paraId="4401E714"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tcPr>
          <w:p w14:paraId="1C76C143" w14:textId="77777777" w:rsidR="0004558A" w:rsidRPr="00F7327F" w:rsidRDefault="0004558A" w:rsidP="007D1597">
            <w:pPr>
              <w:tabs>
                <w:tab w:val="left" w:pos="7930"/>
              </w:tabs>
              <w:spacing w:line="360" w:lineRule="auto"/>
              <w:rPr>
                <w:rFonts w:asciiTheme="majorBidi" w:hAnsiTheme="majorBidi" w:cstheme="majorBidi"/>
                <w:sz w:val="22"/>
                <w:szCs w:val="22"/>
              </w:rPr>
            </w:pPr>
          </w:p>
        </w:tc>
        <w:tc>
          <w:tcPr>
            <w:tcW w:w="928" w:type="dxa"/>
            <w:hideMark/>
          </w:tcPr>
          <w:p w14:paraId="12E0E3F6"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hideMark/>
          </w:tcPr>
          <w:p w14:paraId="589605D2"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hideMark/>
          </w:tcPr>
          <w:p w14:paraId="0E6A1EA3" w14:textId="7874BF28"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100.26</w:t>
            </w:r>
          </w:p>
        </w:tc>
        <w:tc>
          <w:tcPr>
            <w:tcW w:w="1817" w:type="dxa"/>
            <w:hideMark/>
          </w:tcPr>
          <w:p w14:paraId="1826026C"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tcPr>
          <w:p w14:paraId="0537AD59"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r w:rsidR="00F7327F" w:rsidRPr="00F7327F" w14:paraId="4B5F7A35"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tcPr>
          <w:p w14:paraId="180AC981" w14:textId="77777777" w:rsidR="0004558A" w:rsidRPr="00F7327F" w:rsidRDefault="0004558A" w:rsidP="007D1597">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Discharging</w:t>
            </w:r>
          </w:p>
        </w:tc>
        <w:tc>
          <w:tcPr>
            <w:tcW w:w="928" w:type="dxa"/>
          </w:tcPr>
          <w:p w14:paraId="70E1082B"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tcPr>
          <w:p w14:paraId="04033D34"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tcPr>
          <w:p w14:paraId="0B4FB6CE" w14:textId="77777777"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tcPr>
          <w:p w14:paraId="0C24B82F" w14:textId="44D0BE4A"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1.2</w:t>
            </w:r>
          </w:p>
        </w:tc>
        <w:tc>
          <w:tcPr>
            <w:tcW w:w="1207" w:type="dxa"/>
          </w:tcPr>
          <w:p w14:paraId="77BA9127" w14:textId="3899F8DE" w:rsidR="0004558A" w:rsidRPr="00F7327F" w:rsidRDefault="0004558A" w:rsidP="007D1597">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99.1</w:t>
            </w:r>
          </w:p>
        </w:tc>
      </w:tr>
      <w:tr w:rsidR="0004558A" w:rsidRPr="00F7327F" w14:paraId="2F784A1E"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tcPr>
          <w:p w14:paraId="28E0129B" w14:textId="77777777" w:rsidR="0004558A" w:rsidRPr="00F7327F" w:rsidRDefault="0004558A" w:rsidP="007D1597">
            <w:pPr>
              <w:tabs>
                <w:tab w:val="left" w:pos="7930"/>
              </w:tabs>
              <w:spacing w:line="360" w:lineRule="auto"/>
              <w:jc w:val="both"/>
              <w:rPr>
                <w:rFonts w:asciiTheme="majorBidi" w:hAnsiTheme="majorBidi" w:cstheme="majorBidi"/>
                <w:sz w:val="22"/>
                <w:szCs w:val="22"/>
              </w:rPr>
            </w:pPr>
          </w:p>
        </w:tc>
        <w:tc>
          <w:tcPr>
            <w:tcW w:w="928" w:type="dxa"/>
          </w:tcPr>
          <w:p w14:paraId="3736857F"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tcPr>
          <w:p w14:paraId="41AC3406"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tcPr>
          <w:p w14:paraId="0654B0AF" w14:textId="708FFBFF"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100.63</w:t>
            </w:r>
          </w:p>
        </w:tc>
        <w:tc>
          <w:tcPr>
            <w:tcW w:w="1817" w:type="dxa"/>
          </w:tcPr>
          <w:p w14:paraId="7A0AEFA1"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tcPr>
          <w:p w14:paraId="1097ED53" w14:textId="77777777" w:rsidR="0004558A" w:rsidRPr="00F7327F" w:rsidRDefault="0004558A" w:rsidP="007D1597">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bl>
    <w:p w14:paraId="1BDFE320" w14:textId="77777777" w:rsidR="0004558A" w:rsidRDefault="0004558A" w:rsidP="00024447">
      <w:pPr>
        <w:tabs>
          <w:tab w:val="left" w:pos="7930"/>
        </w:tabs>
        <w:spacing w:line="360" w:lineRule="auto"/>
        <w:jc w:val="both"/>
        <w:rPr>
          <w:rFonts w:asciiTheme="majorBidi" w:hAnsiTheme="majorBidi" w:cstheme="majorBidi"/>
        </w:rPr>
      </w:pPr>
    </w:p>
    <w:p w14:paraId="09C36915" w14:textId="6CE7FB57" w:rsidR="00F7660B" w:rsidRPr="00024447" w:rsidRDefault="00F7660B" w:rsidP="00F7660B">
      <w:pPr>
        <w:spacing w:line="360" w:lineRule="auto"/>
        <w:jc w:val="both"/>
        <w:rPr>
          <w:rFonts w:asciiTheme="majorBidi" w:hAnsiTheme="majorBidi" w:cstheme="majorBidi"/>
          <w:b/>
          <w:bCs/>
        </w:rPr>
      </w:pPr>
      <w:r w:rsidRPr="00024447">
        <w:rPr>
          <w:rFonts w:asciiTheme="majorBidi" w:hAnsiTheme="majorBidi" w:cstheme="majorBidi"/>
          <w:b/>
          <w:bCs/>
        </w:rPr>
        <w:t xml:space="preserve">Load Flow Analysis – Case </w:t>
      </w:r>
      <w:r>
        <w:rPr>
          <w:rFonts w:asciiTheme="majorBidi" w:hAnsiTheme="majorBidi" w:cstheme="majorBidi"/>
          <w:b/>
          <w:bCs/>
        </w:rPr>
        <w:t>3</w:t>
      </w:r>
    </w:p>
    <w:p w14:paraId="44EB3415" w14:textId="3DB4F82D" w:rsidR="00617450" w:rsidRPr="00617450"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t xml:space="preserve">In Case 3, the system is operating in </w:t>
      </w:r>
      <w:r w:rsidR="005931B7" w:rsidRPr="00617450">
        <w:rPr>
          <w:rFonts w:asciiTheme="majorBidi" w:hAnsiTheme="majorBidi" w:cstheme="majorBidi"/>
        </w:rPr>
        <w:t>maximum</w:t>
      </w:r>
      <w:r w:rsidRPr="00617450">
        <w:rPr>
          <w:rFonts w:asciiTheme="majorBidi" w:hAnsiTheme="majorBidi" w:cstheme="majorBidi"/>
        </w:rPr>
        <w:t xml:space="preserve"> penetration mode with the ESS and PV system fully operational. There are two modes of operation that are considered: charging and discharging, which offers valuable insight into bidirectional power flow and how it affects grid stability.</w:t>
      </w:r>
    </w:p>
    <w:p w14:paraId="0E39E5A5" w14:textId="77777777" w:rsidR="00617450" w:rsidRPr="00617450" w:rsidRDefault="00617450" w:rsidP="00617450">
      <w:pPr>
        <w:tabs>
          <w:tab w:val="left" w:pos="7930"/>
        </w:tabs>
        <w:spacing w:line="360" w:lineRule="auto"/>
        <w:jc w:val="both"/>
        <w:rPr>
          <w:rFonts w:asciiTheme="majorBidi" w:hAnsiTheme="majorBidi" w:cstheme="majorBidi"/>
        </w:rPr>
      </w:pPr>
      <w:r w:rsidRPr="00617450">
        <w:rPr>
          <w:rFonts w:asciiTheme="majorBidi" w:hAnsiTheme="majorBidi" w:cstheme="majorBidi"/>
        </w:rPr>
        <w:t>With ESS charging, there is large power consumption at the low-voltage node Bus 39, with each phase consuming 1.205 MW through Con1, while 1.975 MW per phase is being delivered by the grid through Con2. Voltage at Bus 39 rises to 100.64%, and the system is operating at a near-perfect power factor (±100%).</w:t>
      </w:r>
    </w:p>
    <w:p w14:paraId="5E2BA083" w14:textId="3948D0A4" w:rsidR="00617450" w:rsidRPr="00617450" w:rsidRDefault="00617450" w:rsidP="005931B7">
      <w:pPr>
        <w:tabs>
          <w:tab w:val="left" w:pos="7930"/>
        </w:tabs>
        <w:spacing w:line="360" w:lineRule="auto"/>
        <w:jc w:val="both"/>
        <w:rPr>
          <w:rFonts w:asciiTheme="majorBidi" w:hAnsiTheme="majorBidi" w:cstheme="majorBidi"/>
        </w:rPr>
      </w:pPr>
      <w:r w:rsidRPr="00617450">
        <w:rPr>
          <w:rFonts w:asciiTheme="majorBidi" w:hAnsiTheme="majorBidi" w:cstheme="majorBidi"/>
        </w:rPr>
        <w:t>Meanwhile, Bus 1 contributes only</w:t>
      </w:r>
      <w:r w:rsidR="005931B7">
        <w:rPr>
          <w:rFonts w:asciiTheme="majorBidi" w:hAnsiTheme="majorBidi" w:cstheme="majorBidi"/>
        </w:rPr>
        <w:t xml:space="preserve">0.359 </w:t>
      </w:r>
      <w:r w:rsidRPr="00617450">
        <w:rPr>
          <w:rFonts w:asciiTheme="majorBidi" w:hAnsiTheme="majorBidi" w:cstheme="majorBidi"/>
        </w:rPr>
        <w:t>MW</w:t>
      </w:r>
      <w:r w:rsidR="005931B7">
        <w:rPr>
          <w:rFonts w:asciiTheme="majorBidi" w:hAnsiTheme="majorBidi" w:cstheme="majorBidi"/>
        </w:rPr>
        <w:t xml:space="preserve">, </w:t>
      </w:r>
      <w:r w:rsidRPr="00617450">
        <w:rPr>
          <w:rFonts w:asciiTheme="majorBidi" w:hAnsiTheme="majorBidi" w:cstheme="majorBidi"/>
        </w:rPr>
        <w:t>indicating that most of the demand is being locally met from distributed sources.</w:t>
      </w:r>
    </w:p>
    <w:p w14:paraId="53253F62" w14:textId="7274DFA7" w:rsidR="00617450" w:rsidRDefault="00617450" w:rsidP="005931B7">
      <w:pPr>
        <w:tabs>
          <w:tab w:val="left" w:pos="7930"/>
        </w:tabs>
        <w:spacing w:line="360" w:lineRule="auto"/>
        <w:jc w:val="both"/>
        <w:rPr>
          <w:rFonts w:asciiTheme="majorBidi" w:hAnsiTheme="majorBidi" w:cstheme="majorBidi"/>
        </w:rPr>
      </w:pPr>
      <w:r w:rsidRPr="00617450">
        <w:rPr>
          <w:rFonts w:asciiTheme="majorBidi" w:hAnsiTheme="majorBidi" w:cstheme="majorBidi"/>
        </w:rPr>
        <w:lastRenderedPageBreak/>
        <w:t xml:space="preserve">In discharge mode, </w:t>
      </w:r>
      <w:r w:rsidR="005931B7">
        <w:rPr>
          <w:rFonts w:asciiTheme="majorBidi" w:hAnsiTheme="majorBidi" w:cstheme="majorBidi"/>
        </w:rPr>
        <w:t>a</w:t>
      </w:r>
      <w:r w:rsidRPr="00617450">
        <w:rPr>
          <w:rFonts w:asciiTheme="majorBidi" w:hAnsiTheme="majorBidi" w:cstheme="majorBidi"/>
        </w:rPr>
        <w:t>t Bus 1, the power generation drops to negative (−</w:t>
      </w:r>
      <w:r w:rsidR="005931B7">
        <w:rPr>
          <w:rFonts w:asciiTheme="majorBidi" w:hAnsiTheme="majorBidi" w:cstheme="majorBidi"/>
        </w:rPr>
        <w:t>-0.013 MW</w:t>
      </w:r>
      <w:r w:rsidRPr="00617450">
        <w:rPr>
          <w:rFonts w:asciiTheme="majorBidi" w:hAnsiTheme="majorBidi" w:cstheme="majorBidi"/>
        </w:rPr>
        <w:t xml:space="preserve">), meaning that the upstream source is now absorbing power. The power factor at Bus 1 also drops to about 68.6%, reflecting greater reactive exchange — a far cry from the quasi-ideal situation when in charging mode. The key electrical parameters for both modes are provided in Table </w:t>
      </w:r>
      <w:r w:rsidR="005931B7">
        <w:rPr>
          <w:rFonts w:asciiTheme="majorBidi" w:hAnsiTheme="majorBidi" w:cstheme="majorBidi"/>
        </w:rPr>
        <w:t>4</w:t>
      </w:r>
      <w:r w:rsidRPr="00617450">
        <w:rPr>
          <w:rFonts w:asciiTheme="majorBidi" w:hAnsiTheme="majorBidi" w:cstheme="majorBidi"/>
        </w:rPr>
        <w:t>.</w:t>
      </w:r>
    </w:p>
    <w:p w14:paraId="208C7A33" w14:textId="48BF3A86" w:rsidR="005931B7" w:rsidRPr="00F7327F" w:rsidRDefault="00F7660B" w:rsidP="005931B7">
      <w:pPr>
        <w:tabs>
          <w:tab w:val="left" w:pos="7930"/>
        </w:tabs>
        <w:spacing w:line="240" w:lineRule="auto"/>
        <w:jc w:val="both"/>
        <w:rPr>
          <w:rFonts w:asciiTheme="majorBidi" w:hAnsiTheme="majorBidi" w:cstheme="majorBidi"/>
          <w:b/>
          <w:bCs/>
          <w:sz w:val="22"/>
          <w:szCs w:val="22"/>
        </w:rPr>
      </w:pPr>
      <w:r w:rsidRPr="00F7327F">
        <w:rPr>
          <w:rFonts w:asciiTheme="majorBidi" w:hAnsiTheme="majorBidi" w:cstheme="majorBidi"/>
          <w:b/>
          <w:bCs/>
          <w:sz w:val="22"/>
          <w:szCs w:val="22"/>
        </w:rPr>
        <w:t xml:space="preserve">Table </w:t>
      </w:r>
      <w:r w:rsidR="005931B7" w:rsidRPr="00F7327F">
        <w:rPr>
          <w:rFonts w:asciiTheme="majorBidi" w:hAnsiTheme="majorBidi" w:cstheme="majorBidi"/>
          <w:b/>
          <w:bCs/>
          <w:sz w:val="22"/>
          <w:szCs w:val="22"/>
        </w:rPr>
        <w:t>4</w:t>
      </w:r>
    </w:p>
    <w:p w14:paraId="633AEE83" w14:textId="10D39875" w:rsidR="00011664" w:rsidRPr="00F7327F" w:rsidRDefault="00011664" w:rsidP="005931B7">
      <w:pPr>
        <w:tabs>
          <w:tab w:val="left" w:pos="7930"/>
        </w:tabs>
        <w:spacing w:line="240" w:lineRule="auto"/>
        <w:jc w:val="both"/>
        <w:rPr>
          <w:rFonts w:asciiTheme="majorBidi" w:hAnsiTheme="majorBidi" w:cstheme="majorBidi"/>
          <w:sz w:val="22"/>
          <w:szCs w:val="22"/>
        </w:rPr>
      </w:pPr>
      <w:r w:rsidRPr="00F7327F">
        <w:rPr>
          <w:i/>
          <w:iCs/>
          <w:sz w:val="22"/>
          <w:szCs w:val="22"/>
        </w:rPr>
        <w:t>Load flow results for Case 3</w:t>
      </w:r>
    </w:p>
    <w:tbl>
      <w:tblPr>
        <w:tblStyle w:val="PlainTable3"/>
        <w:tblW w:w="8614" w:type="dxa"/>
        <w:tblLayout w:type="fixed"/>
        <w:tblLook w:val="04A0" w:firstRow="1" w:lastRow="0" w:firstColumn="1" w:lastColumn="0" w:noHBand="0" w:noVBand="1"/>
      </w:tblPr>
      <w:tblGrid>
        <w:gridCol w:w="1886"/>
        <w:gridCol w:w="928"/>
        <w:gridCol w:w="1388"/>
        <w:gridCol w:w="1388"/>
        <w:gridCol w:w="1817"/>
        <w:gridCol w:w="1207"/>
      </w:tblGrid>
      <w:tr w:rsidR="00F7660B" w:rsidRPr="00F7327F" w14:paraId="527D3D76" w14:textId="77777777" w:rsidTr="00F7327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86" w:type="dxa"/>
            <w:vAlign w:val="center"/>
          </w:tcPr>
          <w:p w14:paraId="3A11D457" w14:textId="77777777" w:rsidR="00F7660B" w:rsidRPr="00F7327F" w:rsidRDefault="00F7660B"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Mode</w:t>
            </w:r>
          </w:p>
        </w:tc>
        <w:tc>
          <w:tcPr>
            <w:tcW w:w="928" w:type="dxa"/>
            <w:vAlign w:val="center"/>
            <w:hideMark/>
          </w:tcPr>
          <w:p w14:paraId="590BDF80" w14:textId="77777777" w:rsidR="00F7660B" w:rsidRPr="00F7327F" w:rsidRDefault="00F7660B"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w:t>
            </w:r>
          </w:p>
        </w:tc>
        <w:tc>
          <w:tcPr>
            <w:tcW w:w="1388" w:type="dxa"/>
            <w:vAlign w:val="center"/>
            <w:hideMark/>
          </w:tcPr>
          <w:p w14:paraId="378A1FCC" w14:textId="77777777" w:rsidR="00F7660B" w:rsidRPr="00F7327F" w:rsidRDefault="00F7660B"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(kV)</w:t>
            </w:r>
          </w:p>
        </w:tc>
        <w:tc>
          <w:tcPr>
            <w:tcW w:w="1388" w:type="dxa"/>
            <w:vAlign w:val="center"/>
            <w:hideMark/>
          </w:tcPr>
          <w:p w14:paraId="48F296F9" w14:textId="77777777" w:rsidR="00F7660B" w:rsidRPr="00F7327F" w:rsidRDefault="00F7660B"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Voltage Magn. (%)</w:t>
            </w:r>
          </w:p>
        </w:tc>
        <w:tc>
          <w:tcPr>
            <w:tcW w:w="1817" w:type="dxa"/>
            <w:vAlign w:val="center"/>
            <w:hideMark/>
          </w:tcPr>
          <w:p w14:paraId="1D969B56" w14:textId="77777777" w:rsidR="00F7660B" w:rsidRPr="00F7327F" w:rsidRDefault="00F7660B"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Generation (MW)</w:t>
            </w:r>
          </w:p>
        </w:tc>
        <w:tc>
          <w:tcPr>
            <w:tcW w:w="1207" w:type="dxa"/>
            <w:vAlign w:val="center"/>
          </w:tcPr>
          <w:p w14:paraId="35D1F3A8" w14:textId="77777777" w:rsidR="00F7660B" w:rsidRPr="00F7327F" w:rsidRDefault="00F7660B" w:rsidP="00F7327F">
            <w:pPr>
              <w:tabs>
                <w:tab w:val="left" w:pos="793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lang w:val="en-GB"/>
              </w:rPr>
            </w:pPr>
            <w:r w:rsidRPr="00F7327F">
              <w:rPr>
                <w:rFonts w:asciiTheme="majorBidi" w:hAnsiTheme="majorBidi" w:cstheme="majorBidi"/>
                <w:sz w:val="22"/>
                <w:szCs w:val="22"/>
                <w:lang w:val="tr-TR"/>
              </w:rPr>
              <w:t xml:space="preserve">Power Factor </w:t>
            </w:r>
            <w:r w:rsidRPr="00F7327F">
              <w:rPr>
                <w:rFonts w:asciiTheme="majorBidi" w:hAnsiTheme="majorBidi" w:cstheme="majorBidi"/>
                <w:sz w:val="22"/>
                <w:szCs w:val="22"/>
                <w:lang w:val="en-GB"/>
              </w:rPr>
              <w:t>(%)</w:t>
            </w:r>
          </w:p>
        </w:tc>
      </w:tr>
      <w:tr w:rsidR="009303C5" w:rsidRPr="00F7327F" w14:paraId="3956738A"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vAlign w:val="center"/>
          </w:tcPr>
          <w:p w14:paraId="29ABB202" w14:textId="77777777" w:rsidR="00F7660B" w:rsidRPr="00F7327F" w:rsidRDefault="00F7660B"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Charging</w:t>
            </w:r>
          </w:p>
        </w:tc>
        <w:tc>
          <w:tcPr>
            <w:tcW w:w="928" w:type="dxa"/>
            <w:vAlign w:val="center"/>
            <w:hideMark/>
          </w:tcPr>
          <w:p w14:paraId="3AD8BDE9"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vAlign w:val="center"/>
            <w:hideMark/>
          </w:tcPr>
          <w:p w14:paraId="27FA5C8D"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vAlign w:val="center"/>
            <w:hideMark/>
          </w:tcPr>
          <w:p w14:paraId="4ABD5CF2"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vAlign w:val="center"/>
            <w:hideMark/>
          </w:tcPr>
          <w:p w14:paraId="5DA393F1" w14:textId="338E1069"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0.359</w:t>
            </w:r>
          </w:p>
        </w:tc>
        <w:tc>
          <w:tcPr>
            <w:tcW w:w="1207" w:type="dxa"/>
            <w:vAlign w:val="center"/>
          </w:tcPr>
          <w:p w14:paraId="676F7132" w14:textId="7F21432E"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89.1</w:t>
            </w:r>
          </w:p>
        </w:tc>
      </w:tr>
      <w:tr w:rsidR="00F7660B" w:rsidRPr="00F7327F" w14:paraId="4292D092"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vAlign w:val="center"/>
          </w:tcPr>
          <w:p w14:paraId="449B4FF2" w14:textId="77777777" w:rsidR="00F7660B" w:rsidRPr="00F7327F" w:rsidRDefault="00F7660B" w:rsidP="00F7327F">
            <w:pPr>
              <w:tabs>
                <w:tab w:val="left" w:pos="7930"/>
              </w:tabs>
              <w:spacing w:line="360" w:lineRule="auto"/>
              <w:jc w:val="center"/>
              <w:rPr>
                <w:rFonts w:asciiTheme="majorBidi" w:hAnsiTheme="majorBidi" w:cstheme="majorBidi"/>
                <w:sz w:val="22"/>
                <w:szCs w:val="22"/>
              </w:rPr>
            </w:pPr>
          </w:p>
        </w:tc>
        <w:tc>
          <w:tcPr>
            <w:tcW w:w="928" w:type="dxa"/>
            <w:vAlign w:val="center"/>
            <w:hideMark/>
          </w:tcPr>
          <w:p w14:paraId="1556D673"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vAlign w:val="center"/>
            <w:hideMark/>
          </w:tcPr>
          <w:p w14:paraId="3F6DC3F5"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vAlign w:val="center"/>
            <w:hideMark/>
          </w:tcPr>
          <w:p w14:paraId="71036119" w14:textId="1CF464FA" w:rsidR="003078D6" w:rsidRPr="00F7327F" w:rsidRDefault="003078D6"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100.64</w:t>
            </w:r>
          </w:p>
        </w:tc>
        <w:tc>
          <w:tcPr>
            <w:tcW w:w="1817" w:type="dxa"/>
            <w:vAlign w:val="center"/>
            <w:hideMark/>
          </w:tcPr>
          <w:p w14:paraId="29B0E6C8"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vAlign w:val="center"/>
          </w:tcPr>
          <w:p w14:paraId="02925350"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r w:rsidR="009303C5" w:rsidRPr="00F7327F" w14:paraId="14087C90" w14:textId="77777777" w:rsidTr="00F732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6" w:type="dxa"/>
            <w:vMerge w:val="restart"/>
            <w:vAlign w:val="center"/>
          </w:tcPr>
          <w:p w14:paraId="155846D6" w14:textId="77777777" w:rsidR="00F7660B" w:rsidRPr="00F7327F" w:rsidRDefault="00F7660B" w:rsidP="00F7327F">
            <w:pPr>
              <w:tabs>
                <w:tab w:val="left" w:pos="7930"/>
              </w:tabs>
              <w:spacing w:line="360" w:lineRule="auto"/>
              <w:jc w:val="center"/>
              <w:rPr>
                <w:rFonts w:asciiTheme="majorBidi" w:hAnsiTheme="majorBidi" w:cstheme="majorBidi"/>
                <w:sz w:val="22"/>
                <w:szCs w:val="22"/>
              </w:rPr>
            </w:pPr>
            <w:r w:rsidRPr="00F7327F">
              <w:rPr>
                <w:rFonts w:asciiTheme="majorBidi" w:hAnsiTheme="majorBidi" w:cstheme="majorBidi"/>
                <w:sz w:val="22"/>
                <w:szCs w:val="22"/>
              </w:rPr>
              <w:t>Discharging</w:t>
            </w:r>
          </w:p>
        </w:tc>
        <w:tc>
          <w:tcPr>
            <w:tcW w:w="928" w:type="dxa"/>
            <w:vAlign w:val="center"/>
          </w:tcPr>
          <w:p w14:paraId="76A24965"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1388" w:type="dxa"/>
            <w:vAlign w:val="center"/>
          </w:tcPr>
          <w:p w14:paraId="4AE696BC"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33.000</w:t>
            </w:r>
          </w:p>
        </w:tc>
        <w:tc>
          <w:tcPr>
            <w:tcW w:w="1388" w:type="dxa"/>
            <w:vAlign w:val="center"/>
          </w:tcPr>
          <w:p w14:paraId="0B318BA2" w14:textId="77777777"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c>
          <w:tcPr>
            <w:tcW w:w="1817" w:type="dxa"/>
            <w:vAlign w:val="center"/>
          </w:tcPr>
          <w:p w14:paraId="06C67775" w14:textId="5364BEAD"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-0.013</w:t>
            </w:r>
          </w:p>
        </w:tc>
        <w:tc>
          <w:tcPr>
            <w:tcW w:w="1207" w:type="dxa"/>
            <w:vAlign w:val="center"/>
          </w:tcPr>
          <w:p w14:paraId="06E1806D" w14:textId="57F95275" w:rsidR="00F7660B" w:rsidRPr="00F7327F" w:rsidRDefault="00F7660B" w:rsidP="00F7327F">
            <w:pPr>
              <w:tabs>
                <w:tab w:val="left" w:pos="793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68.6</w:t>
            </w:r>
          </w:p>
        </w:tc>
      </w:tr>
      <w:tr w:rsidR="00F7660B" w:rsidRPr="00F7327F" w14:paraId="3E367AF5" w14:textId="77777777" w:rsidTr="00F7327F">
        <w:tc>
          <w:tcPr>
            <w:cnfStyle w:val="001000000000" w:firstRow="0" w:lastRow="0" w:firstColumn="1" w:lastColumn="0" w:oddVBand="0" w:evenVBand="0" w:oddHBand="0" w:evenHBand="0" w:firstRowFirstColumn="0" w:firstRowLastColumn="0" w:lastRowFirstColumn="0" w:lastRowLastColumn="0"/>
            <w:tcW w:w="1886" w:type="dxa"/>
            <w:vMerge/>
          </w:tcPr>
          <w:p w14:paraId="249F652C" w14:textId="77777777" w:rsidR="00F7660B" w:rsidRPr="00F7327F" w:rsidRDefault="00F7660B" w:rsidP="007D1597">
            <w:pPr>
              <w:tabs>
                <w:tab w:val="left" w:pos="7930"/>
              </w:tabs>
              <w:spacing w:line="360" w:lineRule="auto"/>
              <w:jc w:val="both"/>
              <w:rPr>
                <w:rFonts w:asciiTheme="majorBidi" w:hAnsiTheme="majorBidi" w:cstheme="majorBidi"/>
                <w:sz w:val="22"/>
                <w:szCs w:val="22"/>
              </w:rPr>
            </w:pPr>
          </w:p>
        </w:tc>
        <w:tc>
          <w:tcPr>
            <w:tcW w:w="928" w:type="dxa"/>
            <w:vAlign w:val="center"/>
          </w:tcPr>
          <w:p w14:paraId="11F9200E"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1388" w:type="dxa"/>
            <w:vAlign w:val="center"/>
          </w:tcPr>
          <w:p w14:paraId="1D4F6F1D"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0.400</w:t>
            </w:r>
          </w:p>
        </w:tc>
        <w:tc>
          <w:tcPr>
            <w:tcW w:w="1388" w:type="dxa"/>
            <w:vAlign w:val="center"/>
          </w:tcPr>
          <w:p w14:paraId="0B665D97" w14:textId="43F79F40"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r w:rsidR="003078D6" w:rsidRPr="00F7327F">
              <w:rPr>
                <w:rFonts w:asciiTheme="majorBidi" w:hAnsiTheme="majorBidi" w:cstheme="majorBidi"/>
                <w:sz w:val="22"/>
                <w:szCs w:val="22"/>
              </w:rPr>
              <w:t>76</w:t>
            </w:r>
          </w:p>
        </w:tc>
        <w:tc>
          <w:tcPr>
            <w:tcW w:w="1817" w:type="dxa"/>
            <w:vAlign w:val="center"/>
          </w:tcPr>
          <w:p w14:paraId="71212A37"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0.000</w:t>
            </w:r>
          </w:p>
        </w:tc>
        <w:tc>
          <w:tcPr>
            <w:tcW w:w="1207" w:type="dxa"/>
            <w:vAlign w:val="center"/>
          </w:tcPr>
          <w:p w14:paraId="205D814F" w14:textId="77777777" w:rsidR="00F7660B" w:rsidRPr="00F7327F" w:rsidRDefault="00F7660B" w:rsidP="00F7327F">
            <w:pPr>
              <w:tabs>
                <w:tab w:val="left" w:pos="793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w:t>
            </w:r>
          </w:p>
        </w:tc>
      </w:tr>
    </w:tbl>
    <w:p w14:paraId="3B56BDFD" w14:textId="77777777" w:rsidR="00F7660B" w:rsidRPr="00024447" w:rsidRDefault="00F7660B" w:rsidP="00024447">
      <w:pPr>
        <w:tabs>
          <w:tab w:val="left" w:pos="7930"/>
        </w:tabs>
        <w:spacing w:line="360" w:lineRule="auto"/>
        <w:jc w:val="both"/>
        <w:rPr>
          <w:rFonts w:asciiTheme="majorBidi" w:hAnsiTheme="majorBidi" w:cstheme="majorBidi"/>
        </w:rPr>
      </w:pPr>
    </w:p>
    <w:p w14:paraId="61791B1E" w14:textId="66799CA5" w:rsidR="00BA1E12" w:rsidRDefault="00BA1E12" w:rsidP="00BA1E12">
      <w:pPr>
        <w:spacing w:line="360" w:lineRule="auto"/>
        <w:jc w:val="both"/>
        <w:rPr>
          <w:rFonts w:asciiTheme="majorBidi" w:hAnsiTheme="majorBidi" w:cstheme="majorBidi"/>
        </w:rPr>
      </w:pPr>
      <w:r w:rsidRPr="00BA1E12">
        <w:rPr>
          <w:rFonts w:asciiTheme="majorBidi" w:hAnsiTheme="majorBidi" w:cstheme="majorBidi"/>
        </w:rPr>
        <w:t>To additionally evaluate the behavior of the interaction between the PV system and the main grid, particularly with regards to the potential for reverse power flow, generation values at Bus 1 were analyzed under different operating conditions. The results</w:t>
      </w:r>
      <w:r w:rsidR="00522D9C">
        <w:rPr>
          <w:rFonts w:asciiTheme="majorBidi" w:hAnsiTheme="majorBidi" w:cstheme="majorBidi"/>
        </w:rPr>
        <w:t xml:space="preserve"> obtained from the appendices from A to H</w:t>
      </w:r>
      <w:r w:rsidRPr="00BA1E12">
        <w:rPr>
          <w:rFonts w:asciiTheme="majorBidi" w:hAnsiTheme="majorBidi" w:cstheme="majorBidi"/>
        </w:rPr>
        <w:t xml:space="preserve"> are shown in </w:t>
      </w:r>
      <w:r w:rsidRPr="0023765E">
        <w:rPr>
          <w:rFonts w:asciiTheme="majorBidi" w:hAnsiTheme="majorBidi" w:cstheme="majorBidi"/>
        </w:rPr>
        <w:t xml:space="preserve">Table </w:t>
      </w:r>
      <w:r w:rsidR="005931B7">
        <w:rPr>
          <w:rFonts w:asciiTheme="majorBidi" w:hAnsiTheme="majorBidi" w:cstheme="majorBidi"/>
        </w:rPr>
        <w:t>5</w:t>
      </w:r>
      <w:r w:rsidRPr="0023765E">
        <w:rPr>
          <w:rFonts w:asciiTheme="majorBidi" w:hAnsiTheme="majorBidi" w:cstheme="majorBidi"/>
        </w:rPr>
        <w:t>. For</w:t>
      </w:r>
      <w:r w:rsidRPr="00BA1E12">
        <w:rPr>
          <w:rFonts w:asciiTheme="majorBidi" w:hAnsiTheme="majorBidi" w:cstheme="majorBidi"/>
        </w:rPr>
        <w:t xml:space="preserve"> Cases 0 to 2</w:t>
      </w:r>
      <w:r>
        <w:rPr>
          <w:rFonts w:asciiTheme="majorBidi" w:hAnsiTheme="majorBidi" w:cstheme="majorBidi"/>
        </w:rPr>
        <w:t xml:space="preserve"> </w:t>
      </w:r>
      <w:r w:rsidRPr="00BA1E12">
        <w:rPr>
          <w:rFonts w:asciiTheme="majorBidi" w:hAnsiTheme="majorBidi" w:cstheme="majorBidi"/>
        </w:rPr>
        <w:t>there is no indication of reversing power flow since generation at Bus 1 is always positive. In Case 3, the representative of the 100% maximal PV penetration scenario, a slight power rejection is observed during both the charging and discharging periods, with values of -0.005 MW and -0.014 MW, respectively. These values reflect a small export of power back into the supplying grid, indicating that during high penetration conditions, excess energy could occasionally be injected into the upstream network. Although small in magnitude, this reverse flow points towards the need for effective control schemes to deal with bidirectional power transfer, particularly with more renewable sources coming on grid.</w:t>
      </w:r>
    </w:p>
    <w:p w14:paraId="123E24D7" w14:textId="432B1ECD" w:rsidR="00BA1E12" w:rsidRPr="00BA1E12" w:rsidRDefault="00BA1E12" w:rsidP="00BA1E12">
      <w:pPr>
        <w:pStyle w:val="Caption"/>
        <w:keepNext/>
        <w:spacing w:line="360" w:lineRule="auto"/>
        <w:rPr>
          <w:color w:val="auto"/>
          <w:sz w:val="22"/>
          <w:szCs w:val="22"/>
        </w:rPr>
      </w:pPr>
      <w:r w:rsidRPr="002F460E">
        <w:rPr>
          <w:b/>
          <w:bCs/>
          <w:i w:val="0"/>
          <w:iCs w:val="0"/>
          <w:color w:val="auto"/>
          <w:sz w:val="22"/>
          <w:szCs w:val="22"/>
        </w:rPr>
        <w:lastRenderedPageBreak/>
        <w:t xml:space="preserve">Table </w:t>
      </w:r>
      <w:r w:rsidR="005931B7">
        <w:rPr>
          <w:b/>
          <w:bCs/>
          <w:i w:val="0"/>
          <w:iCs w:val="0"/>
          <w:color w:val="auto"/>
          <w:sz w:val="22"/>
          <w:szCs w:val="22"/>
        </w:rPr>
        <w:t>5</w:t>
      </w:r>
      <w:r w:rsidRPr="002F460E">
        <w:rPr>
          <w:color w:val="auto"/>
          <w:sz w:val="22"/>
          <w:szCs w:val="22"/>
        </w:rPr>
        <w:br/>
      </w:r>
      <w:bookmarkStart w:id="38" w:name="_Hlk195617505"/>
      <w:r w:rsidRPr="00BA1E12">
        <w:rPr>
          <w:color w:val="auto"/>
          <w:sz w:val="22"/>
          <w:szCs w:val="22"/>
        </w:rPr>
        <w:t>Power Flow Evaluation at Bus 1 Under Different Operational Scenarios</w:t>
      </w:r>
    </w:p>
    <w:tbl>
      <w:tblPr>
        <w:tblStyle w:val="PlainTable5"/>
        <w:tblW w:w="0" w:type="auto"/>
        <w:jc w:val="center"/>
        <w:tblLook w:val="04A0" w:firstRow="1" w:lastRow="0" w:firstColumn="1" w:lastColumn="0" w:noHBand="0" w:noVBand="1"/>
      </w:tblPr>
      <w:tblGrid>
        <w:gridCol w:w="1243"/>
        <w:gridCol w:w="1510"/>
        <w:gridCol w:w="2346"/>
        <w:gridCol w:w="1836"/>
      </w:tblGrid>
      <w:tr w:rsidR="00BA1E12" w:rsidRPr="005931B7" w14:paraId="7674F279" w14:textId="77777777" w:rsidTr="00BA1E12">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243" w:type="dxa"/>
            <w:tcBorders>
              <w:top w:val="single" w:sz="4" w:space="0" w:color="auto"/>
              <w:bottom w:val="single" w:sz="4" w:space="0" w:color="auto"/>
            </w:tcBorders>
            <w:vAlign w:val="center"/>
            <w:hideMark/>
          </w:tcPr>
          <w:bookmarkEnd w:id="38"/>
          <w:p w14:paraId="6D5DCC4D" w14:textId="6A1539C6" w:rsidR="00BA1E12" w:rsidRPr="005931B7" w:rsidRDefault="00BA1E12" w:rsidP="00BA1E12">
            <w:pPr>
              <w:spacing w:after="160" w:line="360" w:lineRule="auto"/>
              <w:jc w:val="center"/>
              <w:rPr>
                <w:b/>
                <w:bCs/>
                <w:i w:val="0"/>
                <w:iCs w:val="0"/>
                <w:lang w:eastAsia="ar-SA" w:bidi="ar-JO"/>
              </w:rPr>
            </w:pPr>
            <w:r w:rsidRPr="005931B7">
              <w:rPr>
                <w:b/>
                <w:bCs/>
                <w:i w:val="0"/>
                <w:iCs w:val="0"/>
                <w:lang w:eastAsia="ar-SA" w:bidi="ar-JO"/>
              </w:rPr>
              <w:t>Case No.</w:t>
            </w:r>
          </w:p>
        </w:tc>
        <w:tc>
          <w:tcPr>
            <w:tcW w:w="1510" w:type="dxa"/>
            <w:tcBorders>
              <w:top w:val="single" w:sz="4" w:space="0" w:color="auto"/>
              <w:bottom w:val="single" w:sz="4" w:space="0" w:color="auto"/>
            </w:tcBorders>
            <w:vAlign w:val="center"/>
            <w:hideMark/>
          </w:tcPr>
          <w:p w14:paraId="42739ED5" w14:textId="4918E6B5" w:rsidR="00BA1E12" w:rsidRPr="005931B7" w:rsidRDefault="00BA1E12" w:rsidP="00BA1E12">
            <w:pPr>
              <w:spacing w:after="160" w:line="360" w:lineRule="auto"/>
              <w:jc w:val="center"/>
              <w:cnfStyle w:val="100000000000" w:firstRow="1" w:lastRow="0" w:firstColumn="0" w:lastColumn="0" w:oddVBand="0" w:evenVBand="0" w:oddHBand="0" w:evenHBand="0" w:firstRowFirstColumn="0" w:firstRowLastColumn="0" w:lastRowFirstColumn="0" w:lastRowLastColumn="0"/>
              <w:rPr>
                <w:b/>
                <w:bCs/>
                <w:i w:val="0"/>
                <w:iCs w:val="0"/>
                <w:lang w:eastAsia="ar-SA" w:bidi="ar-JO"/>
              </w:rPr>
            </w:pPr>
            <w:r w:rsidRPr="005931B7">
              <w:rPr>
                <w:b/>
                <w:bCs/>
                <w:i w:val="0"/>
                <w:iCs w:val="0"/>
                <w:lang w:eastAsia="ar-SA" w:bidi="ar-JO"/>
              </w:rPr>
              <w:t>Mode</w:t>
            </w:r>
          </w:p>
        </w:tc>
        <w:tc>
          <w:tcPr>
            <w:tcW w:w="2346" w:type="dxa"/>
            <w:tcBorders>
              <w:top w:val="single" w:sz="4" w:space="0" w:color="auto"/>
              <w:bottom w:val="single" w:sz="4" w:space="0" w:color="auto"/>
            </w:tcBorders>
            <w:vAlign w:val="center"/>
            <w:hideMark/>
          </w:tcPr>
          <w:p w14:paraId="68A12AC4" w14:textId="49BCEF96" w:rsidR="00BA1E12" w:rsidRPr="005931B7" w:rsidRDefault="00BA1E12" w:rsidP="00BA1E12">
            <w:pPr>
              <w:spacing w:after="160" w:line="360" w:lineRule="auto"/>
              <w:jc w:val="center"/>
              <w:cnfStyle w:val="100000000000" w:firstRow="1" w:lastRow="0" w:firstColumn="0" w:lastColumn="0" w:oddVBand="0" w:evenVBand="0" w:oddHBand="0" w:evenHBand="0" w:firstRowFirstColumn="0" w:firstRowLastColumn="0" w:lastRowFirstColumn="0" w:lastRowLastColumn="0"/>
              <w:rPr>
                <w:b/>
                <w:bCs/>
                <w:i w:val="0"/>
                <w:iCs w:val="0"/>
                <w:lang w:eastAsia="ar-SA" w:bidi="ar-JO"/>
              </w:rPr>
            </w:pPr>
            <w:r w:rsidRPr="005931B7">
              <w:rPr>
                <w:b/>
                <w:bCs/>
                <w:i w:val="0"/>
                <w:iCs w:val="0"/>
                <w:lang w:eastAsia="ar-SA" w:bidi="ar-JO"/>
              </w:rPr>
              <w:t>Generation @ Bus1</w:t>
            </w:r>
          </w:p>
        </w:tc>
        <w:tc>
          <w:tcPr>
            <w:tcW w:w="1836" w:type="dxa"/>
            <w:tcBorders>
              <w:top w:val="single" w:sz="4" w:space="0" w:color="auto"/>
              <w:bottom w:val="single" w:sz="4" w:space="0" w:color="auto"/>
            </w:tcBorders>
            <w:vAlign w:val="center"/>
            <w:hideMark/>
          </w:tcPr>
          <w:p w14:paraId="09F295CC" w14:textId="68E6D167" w:rsidR="00BA1E12" w:rsidRPr="005931B7" w:rsidRDefault="00BA1E12" w:rsidP="00BA1E12">
            <w:pPr>
              <w:spacing w:after="160" w:line="360" w:lineRule="auto"/>
              <w:jc w:val="center"/>
              <w:cnfStyle w:val="100000000000" w:firstRow="1" w:lastRow="0" w:firstColumn="0" w:lastColumn="0" w:oddVBand="0" w:evenVBand="0" w:oddHBand="0" w:evenHBand="0" w:firstRowFirstColumn="0" w:firstRowLastColumn="0" w:lastRowFirstColumn="0" w:lastRowLastColumn="0"/>
              <w:rPr>
                <w:b/>
                <w:bCs/>
                <w:i w:val="0"/>
                <w:iCs w:val="0"/>
                <w:lang w:eastAsia="ar-SA" w:bidi="ar-JO"/>
              </w:rPr>
            </w:pPr>
            <w:r w:rsidRPr="005931B7">
              <w:rPr>
                <w:b/>
                <w:bCs/>
                <w:i w:val="0"/>
                <w:iCs w:val="0"/>
                <w:lang w:eastAsia="ar-SA" w:bidi="ar-JO"/>
              </w:rPr>
              <w:t>Status</w:t>
            </w:r>
          </w:p>
        </w:tc>
      </w:tr>
      <w:tr w:rsidR="00BA1E12" w:rsidRPr="005931B7" w14:paraId="54EE75A1" w14:textId="77777777" w:rsidTr="00BA1E1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3" w:type="dxa"/>
            <w:tcBorders>
              <w:top w:val="single" w:sz="4" w:space="0" w:color="auto"/>
              <w:right w:val="single" w:sz="4" w:space="0" w:color="auto"/>
            </w:tcBorders>
            <w:vAlign w:val="center"/>
          </w:tcPr>
          <w:p w14:paraId="7F871333" w14:textId="581BD71A" w:rsidR="00BA1E12" w:rsidRPr="005931B7" w:rsidRDefault="00BA1E12" w:rsidP="00BA1E12">
            <w:pPr>
              <w:spacing w:after="160" w:line="360" w:lineRule="auto"/>
              <w:jc w:val="center"/>
              <w:rPr>
                <w:b/>
                <w:bCs/>
                <w:i w:val="0"/>
                <w:iCs w:val="0"/>
                <w:lang w:eastAsia="ar-SA" w:bidi="ar-JO"/>
              </w:rPr>
            </w:pPr>
            <w:r w:rsidRPr="005931B7">
              <w:rPr>
                <w:b/>
                <w:bCs/>
                <w:i w:val="0"/>
                <w:iCs w:val="0"/>
                <w:lang w:eastAsia="ar-SA" w:bidi="ar-JO"/>
              </w:rPr>
              <w:t>Case 0</w:t>
            </w:r>
          </w:p>
        </w:tc>
        <w:tc>
          <w:tcPr>
            <w:tcW w:w="1510" w:type="dxa"/>
            <w:tcBorders>
              <w:top w:val="single" w:sz="4" w:space="0" w:color="auto"/>
              <w:left w:val="single" w:sz="4" w:space="0" w:color="auto"/>
            </w:tcBorders>
            <w:vAlign w:val="center"/>
          </w:tcPr>
          <w:p w14:paraId="7BF8867B" w14:textId="140392D4"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w:t>
            </w:r>
          </w:p>
        </w:tc>
        <w:tc>
          <w:tcPr>
            <w:tcW w:w="2346" w:type="dxa"/>
            <w:tcBorders>
              <w:top w:val="single" w:sz="4" w:space="0" w:color="auto"/>
            </w:tcBorders>
            <w:vAlign w:val="center"/>
          </w:tcPr>
          <w:p w14:paraId="084C1FBD" w14:textId="5D415B57"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1.665 MW</w:t>
            </w:r>
          </w:p>
        </w:tc>
        <w:tc>
          <w:tcPr>
            <w:tcW w:w="1836" w:type="dxa"/>
            <w:tcBorders>
              <w:top w:val="single" w:sz="4" w:space="0" w:color="auto"/>
            </w:tcBorders>
            <w:vAlign w:val="center"/>
          </w:tcPr>
          <w:p w14:paraId="6B6A3D4B" w14:textId="286C1473"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No rejection</w:t>
            </w:r>
          </w:p>
        </w:tc>
      </w:tr>
      <w:tr w:rsidR="00BA1E12" w:rsidRPr="005931B7" w14:paraId="4A6D7787" w14:textId="77777777" w:rsidTr="00BA1E12">
        <w:trPr>
          <w:jc w:val="center"/>
        </w:trPr>
        <w:tc>
          <w:tcPr>
            <w:cnfStyle w:val="001000000000" w:firstRow="0" w:lastRow="0" w:firstColumn="1" w:lastColumn="0" w:oddVBand="0" w:evenVBand="0" w:oddHBand="0" w:evenHBand="0" w:firstRowFirstColumn="0" w:firstRowLastColumn="0" w:lastRowFirstColumn="0" w:lastRowLastColumn="0"/>
            <w:tcW w:w="1243" w:type="dxa"/>
            <w:vMerge w:val="restart"/>
            <w:tcBorders>
              <w:right w:val="single" w:sz="4" w:space="0" w:color="auto"/>
            </w:tcBorders>
            <w:vAlign w:val="center"/>
          </w:tcPr>
          <w:p w14:paraId="5B23813F" w14:textId="024CAC2C" w:rsidR="00BA1E12" w:rsidRPr="005931B7" w:rsidRDefault="00BA1E12" w:rsidP="00BA1E12">
            <w:pPr>
              <w:spacing w:after="160" w:line="360" w:lineRule="auto"/>
              <w:jc w:val="center"/>
              <w:rPr>
                <w:b/>
                <w:bCs/>
                <w:lang w:eastAsia="ar-SA" w:bidi="ar-JO"/>
              </w:rPr>
            </w:pPr>
            <w:r w:rsidRPr="005931B7">
              <w:rPr>
                <w:b/>
                <w:bCs/>
                <w:i w:val="0"/>
                <w:iCs w:val="0"/>
                <w:lang w:eastAsia="ar-SA" w:bidi="ar-JO"/>
              </w:rPr>
              <w:t>Case 1</w:t>
            </w:r>
          </w:p>
        </w:tc>
        <w:tc>
          <w:tcPr>
            <w:tcW w:w="1510" w:type="dxa"/>
            <w:tcBorders>
              <w:left w:val="single" w:sz="4" w:space="0" w:color="auto"/>
            </w:tcBorders>
            <w:vAlign w:val="center"/>
          </w:tcPr>
          <w:p w14:paraId="7C222CF8" w14:textId="22C654FA"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i/>
                <w:iCs/>
                <w:lang w:eastAsia="ar-SA" w:bidi="ar-JO"/>
              </w:rPr>
            </w:pPr>
            <w:r w:rsidRPr="005931B7">
              <w:rPr>
                <w:rFonts w:asciiTheme="majorBidi" w:hAnsiTheme="majorBidi" w:cstheme="majorBidi"/>
              </w:rPr>
              <w:t>Charging</w:t>
            </w:r>
          </w:p>
        </w:tc>
        <w:tc>
          <w:tcPr>
            <w:tcW w:w="2346" w:type="dxa"/>
            <w:vAlign w:val="center"/>
          </w:tcPr>
          <w:p w14:paraId="46241330" w14:textId="598AAEC1"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lang w:eastAsia="ar-SA" w:bidi="ar-JO"/>
              </w:rPr>
            </w:pPr>
            <w:r w:rsidRPr="005931B7">
              <w:rPr>
                <w:rFonts w:asciiTheme="majorBidi" w:hAnsiTheme="majorBidi" w:cstheme="majorBidi"/>
              </w:rPr>
              <w:t>2.66 MW</w:t>
            </w:r>
          </w:p>
        </w:tc>
        <w:tc>
          <w:tcPr>
            <w:tcW w:w="1836" w:type="dxa"/>
            <w:vAlign w:val="center"/>
          </w:tcPr>
          <w:p w14:paraId="71010442" w14:textId="3310A1FB"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lang w:eastAsia="ar-SA" w:bidi="ar-JO"/>
              </w:rPr>
            </w:pPr>
            <w:r w:rsidRPr="005931B7">
              <w:rPr>
                <w:rFonts w:asciiTheme="majorBidi" w:hAnsiTheme="majorBidi" w:cstheme="majorBidi"/>
              </w:rPr>
              <w:t>No rejection</w:t>
            </w:r>
          </w:p>
        </w:tc>
      </w:tr>
      <w:tr w:rsidR="00BA1E12" w:rsidRPr="005931B7" w14:paraId="6CFEFADD" w14:textId="77777777" w:rsidTr="00BA1E1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3" w:type="dxa"/>
            <w:vMerge/>
            <w:tcBorders>
              <w:right w:val="single" w:sz="4" w:space="0" w:color="auto"/>
            </w:tcBorders>
            <w:vAlign w:val="center"/>
            <w:hideMark/>
          </w:tcPr>
          <w:p w14:paraId="648F5F64" w14:textId="5B6B4546" w:rsidR="00BA1E12" w:rsidRPr="005931B7" w:rsidRDefault="00BA1E12" w:rsidP="00BA1E12">
            <w:pPr>
              <w:spacing w:after="160" w:line="360" w:lineRule="auto"/>
              <w:jc w:val="center"/>
              <w:rPr>
                <w:b/>
                <w:bCs/>
                <w:i w:val="0"/>
                <w:iCs w:val="0"/>
                <w:lang w:eastAsia="ar-SA" w:bidi="ar-JO"/>
              </w:rPr>
            </w:pPr>
          </w:p>
        </w:tc>
        <w:tc>
          <w:tcPr>
            <w:tcW w:w="1510" w:type="dxa"/>
            <w:tcBorders>
              <w:left w:val="single" w:sz="4" w:space="0" w:color="auto"/>
            </w:tcBorders>
            <w:vAlign w:val="center"/>
            <w:hideMark/>
          </w:tcPr>
          <w:p w14:paraId="6B4B6800" w14:textId="045E0DBB"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Discharging</w:t>
            </w:r>
          </w:p>
        </w:tc>
        <w:tc>
          <w:tcPr>
            <w:tcW w:w="2346" w:type="dxa"/>
            <w:vAlign w:val="center"/>
            <w:hideMark/>
          </w:tcPr>
          <w:p w14:paraId="46E1BEB0" w14:textId="162AC82C"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1.94 MW</w:t>
            </w:r>
          </w:p>
        </w:tc>
        <w:tc>
          <w:tcPr>
            <w:tcW w:w="1836" w:type="dxa"/>
            <w:vAlign w:val="center"/>
            <w:hideMark/>
          </w:tcPr>
          <w:p w14:paraId="5D5D34FC" w14:textId="03736831"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No rejection</w:t>
            </w:r>
          </w:p>
        </w:tc>
      </w:tr>
      <w:tr w:rsidR="00BA1E12" w:rsidRPr="005931B7" w14:paraId="6470658F" w14:textId="77777777" w:rsidTr="00BA1E12">
        <w:trPr>
          <w:jc w:val="center"/>
        </w:trPr>
        <w:tc>
          <w:tcPr>
            <w:cnfStyle w:val="001000000000" w:firstRow="0" w:lastRow="0" w:firstColumn="1" w:lastColumn="0" w:oddVBand="0" w:evenVBand="0" w:oddHBand="0" w:evenHBand="0" w:firstRowFirstColumn="0" w:firstRowLastColumn="0" w:lastRowFirstColumn="0" w:lastRowLastColumn="0"/>
            <w:tcW w:w="1243" w:type="dxa"/>
            <w:vMerge w:val="restart"/>
            <w:tcBorders>
              <w:right w:val="single" w:sz="4" w:space="0" w:color="auto"/>
            </w:tcBorders>
            <w:vAlign w:val="center"/>
          </w:tcPr>
          <w:p w14:paraId="0CEAD54B" w14:textId="6BFCEBDB" w:rsidR="00BA1E12" w:rsidRPr="005931B7" w:rsidRDefault="00BA1E12" w:rsidP="00BA1E12">
            <w:pPr>
              <w:spacing w:after="160" w:line="360" w:lineRule="auto"/>
              <w:jc w:val="center"/>
              <w:rPr>
                <w:b/>
                <w:bCs/>
                <w:lang w:eastAsia="ar-SA" w:bidi="ar-JO"/>
              </w:rPr>
            </w:pPr>
            <w:r w:rsidRPr="005931B7">
              <w:rPr>
                <w:b/>
                <w:bCs/>
                <w:i w:val="0"/>
                <w:iCs w:val="0"/>
                <w:lang w:eastAsia="ar-SA" w:bidi="ar-JO"/>
              </w:rPr>
              <w:t>Case 2</w:t>
            </w:r>
          </w:p>
        </w:tc>
        <w:tc>
          <w:tcPr>
            <w:tcW w:w="1510" w:type="dxa"/>
            <w:tcBorders>
              <w:left w:val="single" w:sz="4" w:space="0" w:color="auto"/>
            </w:tcBorders>
            <w:vAlign w:val="center"/>
          </w:tcPr>
          <w:p w14:paraId="28054C07" w14:textId="75328DB3"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pPr>
            <w:r w:rsidRPr="005931B7">
              <w:rPr>
                <w:rFonts w:asciiTheme="majorBidi" w:hAnsiTheme="majorBidi" w:cstheme="majorBidi"/>
              </w:rPr>
              <w:t>Charging</w:t>
            </w:r>
          </w:p>
        </w:tc>
        <w:tc>
          <w:tcPr>
            <w:tcW w:w="2346" w:type="dxa"/>
            <w:vAlign w:val="center"/>
          </w:tcPr>
          <w:p w14:paraId="6E4281B5" w14:textId="69981CF9"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pPr>
            <w:r w:rsidRPr="005931B7">
              <w:rPr>
                <w:rFonts w:asciiTheme="majorBidi" w:hAnsiTheme="majorBidi" w:cstheme="majorBidi"/>
              </w:rPr>
              <w:t>1.71 MW</w:t>
            </w:r>
          </w:p>
        </w:tc>
        <w:tc>
          <w:tcPr>
            <w:tcW w:w="1836" w:type="dxa"/>
            <w:vAlign w:val="center"/>
          </w:tcPr>
          <w:p w14:paraId="0876DC71" w14:textId="0D085556"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pPr>
            <w:r w:rsidRPr="005931B7">
              <w:rPr>
                <w:rFonts w:asciiTheme="majorBidi" w:hAnsiTheme="majorBidi" w:cstheme="majorBidi"/>
              </w:rPr>
              <w:t>No rejection</w:t>
            </w:r>
          </w:p>
        </w:tc>
      </w:tr>
      <w:tr w:rsidR="00BA1E12" w:rsidRPr="005931B7" w14:paraId="400DC22D" w14:textId="77777777" w:rsidTr="00BA1E1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3" w:type="dxa"/>
            <w:vMerge/>
            <w:tcBorders>
              <w:right w:val="single" w:sz="4" w:space="0" w:color="auto"/>
            </w:tcBorders>
            <w:vAlign w:val="center"/>
            <w:hideMark/>
          </w:tcPr>
          <w:p w14:paraId="46F50646" w14:textId="1610B444" w:rsidR="00BA1E12" w:rsidRPr="005931B7" w:rsidRDefault="00BA1E12" w:rsidP="00BA1E12">
            <w:pPr>
              <w:spacing w:after="160" w:line="360" w:lineRule="auto"/>
              <w:jc w:val="center"/>
              <w:rPr>
                <w:b/>
                <w:bCs/>
                <w:i w:val="0"/>
                <w:iCs w:val="0"/>
                <w:lang w:eastAsia="ar-SA" w:bidi="ar-JO"/>
              </w:rPr>
            </w:pPr>
          </w:p>
        </w:tc>
        <w:tc>
          <w:tcPr>
            <w:tcW w:w="1510" w:type="dxa"/>
            <w:tcBorders>
              <w:left w:val="single" w:sz="4" w:space="0" w:color="auto"/>
            </w:tcBorders>
            <w:vAlign w:val="center"/>
            <w:hideMark/>
          </w:tcPr>
          <w:p w14:paraId="40FE97C7" w14:textId="5776D98C"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Discharging</w:t>
            </w:r>
          </w:p>
        </w:tc>
        <w:tc>
          <w:tcPr>
            <w:tcW w:w="2346" w:type="dxa"/>
            <w:vAlign w:val="center"/>
            <w:hideMark/>
          </w:tcPr>
          <w:p w14:paraId="021179CD" w14:textId="50BC23AD"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1.2 MW</w:t>
            </w:r>
          </w:p>
        </w:tc>
        <w:tc>
          <w:tcPr>
            <w:tcW w:w="1836" w:type="dxa"/>
            <w:vAlign w:val="center"/>
            <w:hideMark/>
          </w:tcPr>
          <w:p w14:paraId="737A4C0A" w14:textId="22857FB6"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No rejection</w:t>
            </w:r>
          </w:p>
        </w:tc>
      </w:tr>
      <w:tr w:rsidR="00BA1E12" w:rsidRPr="005931B7" w14:paraId="013A1348" w14:textId="77777777" w:rsidTr="00BA1E12">
        <w:trPr>
          <w:jc w:val="center"/>
        </w:trPr>
        <w:tc>
          <w:tcPr>
            <w:cnfStyle w:val="001000000000" w:firstRow="0" w:lastRow="0" w:firstColumn="1" w:lastColumn="0" w:oddVBand="0" w:evenVBand="0" w:oddHBand="0" w:evenHBand="0" w:firstRowFirstColumn="0" w:firstRowLastColumn="0" w:lastRowFirstColumn="0" w:lastRowLastColumn="0"/>
            <w:tcW w:w="1243" w:type="dxa"/>
            <w:vMerge w:val="restart"/>
            <w:tcBorders>
              <w:right w:val="single" w:sz="4" w:space="0" w:color="auto"/>
            </w:tcBorders>
            <w:vAlign w:val="center"/>
          </w:tcPr>
          <w:p w14:paraId="6ADF0812" w14:textId="12007919" w:rsidR="00BA1E12" w:rsidRPr="005931B7" w:rsidRDefault="00BA1E12" w:rsidP="00BA1E12">
            <w:pPr>
              <w:spacing w:after="160" w:line="360" w:lineRule="auto"/>
              <w:jc w:val="center"/>
              <w:rPr>
                <w:b/>
                <w:bCs/>
                <w:lang w:eastAsia="ar-SA" w:bidi="ar-JO"/>
              </w:rPr>
            </w:pPr>
            <w:r w:rsidRPr="005931B7">
              <w:rPr>
                <w:b/>
                <w:bCs/>
                <w:i w:val="0"/>
                <w:iCs w:val="0"/>
                <w:lang w:eastAsia="ar-SA" w:bidi="ar-JO"/>
              </w:rPr>
              <w:t>Case 3</w:t>
            </w:r>
          </w:p>
        </w:tc>
        <w:tc>
          <w:tcPr>
            <w:tcW w:w="1510" w:type="dxa"/>
            <w:tcBorders>
              <w:left w:val="single" w:sz="4" w:space="0" w:color="auto"/>
            </w:tcBorders>
            <w:vAlign w:val="center"/>
          </w:tcPr>
          <w:p w14:paraId="09457E92" w14:textId="76B0ED7B"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lang w:eastAsia="ar-SA" w:bidi="ar-JO"/>
              </w:rPr>
            </w:pPr>
            <w:r w:rsidRPr="005931B7">
              <w:rPr>
                <w:rFonts w:asciiTheme="majorBidi" w:hAnsiTheme="majorBidi" w:cstheme="majorBidi"/>
              </w:rPr>
              <w:t>Charging</w:t>
            </w:r>
          </w:p>
        </w:tc>
        <w:tc>
          <w:tcPr>
            <w:tcW w:w="2346" w:type="dxa"/>
            <w:vAlign w:val="center"/>
          </w:tcPr>
          <w:p w14:paraId="4A156D65" w14:textId="3F054CED"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lang w:eastAsia="ar-SA" w:bidi="ar-JO"/>
              </w:rPr>
            </w:pPr>
            <w:r w:rsidRPr="005931B7">
              <w:rPr>
                <w:rFonts w:asciiTheme="majorBidi" w:hAnsiTheme="majorBidi" w:cstheme="majorBidi"/>
              </w:rPr>
              <w:t>- 0.005 MW</w:t>
            </w:r>
          </w:p>
        </w:tc>
        <w:tc>
          <w:tcPr>
            <w:tcW w:w="1836" w:type="dxa"/>
            <w:vAlign w:val="center"/>
          </w:tcPr>
          <w:p w14:paraId="3312AB09" w14:textId="3ED8A043" w:rsidR="00BA1E12" w:rsidRPr="005931B7" w:rsidRDefault="00BA1E12" w:rsidP="00BA1E12">
            <w:pPr>
              <w:spacing w:after="160" w:line="360" w:lineRule="auto"/>
              <w:jc w:val="center"/>
              <w:cnfStyle w:val="000000000000" w:firstRow="0" w:lastRow="0" w:firstColumn="0" w:lastColumn="0" w:oddVBand="0" w:evenVBand="0" w:oddHBand="0" w:evenHBand="0" w:firstRowFirstColumn="0" w:firstRowLastColumn="0" w:lastRowFirstColumn="0" w:lastRowLastColumn="0"/>
              <w:rPr>
                <w:lang w:eastAsia="ar-SA" w:bidi="ar-JO"/>
              </w:rPr>
            </w:pPr>
            <w:r w:rsidRPr="005931B7">
              <w:rPr>
                <w:rFonts w:asciiTheme="majorBidi" w:hAnsiTheme="majorBidi" w:cstheme="majorBidi"/>
              </w:rPr>
              <w:t>Minor rejection</w:t>
            </w:r>
          </w:p>
        </w:tc>
      </w:tr>
      <w:tr w:rsidR="00BA1E12" w:rsidRPr="005931B7" w14:paraId="5EFEE4E4" w14:textId="77777777" w:rsidTr="00BA1E1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43" w:type="dxa"/>
            <w:vMerge/>
            <w:tcBorders>
              <w:bottom w:val="single" w:sz="4" w:space="0" w:color="auto"/>
              <w:right w:val="single" w:sz="4" w:space="0" w:color="auto"/>
            </w:tcBorders>
            <w:vAlign w:val="center"/>
          </w:tcPr>
          <w:p w14:paraId="2C025174" w14:textId="345CDC6E" w:rsidR="00BA1E12" w:rsidRPr="005931B7" w:rsidRDefault="00BA1E12" w:rsidP="00BA1E12">
            <w:pPr>
              <w:spacing w:after="160" w:line="360" w:lineRule="auto"/>
              <w:jc w:val="center"/>
              <w:rPr>
                <w:b/>
                <w:bCs/>
                <w:i w:val="0"/>
                <w:iCs w:val="0"/>
                <w:lang w:eastAsia="ar-SA" w:bidi="ar-JO"/>
              </w:rPr>
            </w:pPr>
          </w:p>
        </w:tc>
        <w:tc>
          <w:tcPr>
            <w:tcW w:w="1510" w:type="dxa"/>
            <w:tcBorders>
              <w:left w:val="single" w:sz="4" w:space="0" w:color="auto"/>
              <w:bottom w:val="single" w:sz="4" w:space="0" w:color="auto"/>
            </w:tcBorders>
            <w:vAlign w:val="center"/>
          </w:tcPr>
          <w:p w14:paraId="6FFB8DA1" w14:textId="0E421328"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Discharging</w:t>
            </w:r>
          </w:p>
        </w:tc>
        <w:tc>
          <w:tcPr>
            <w:tcW w:w="2346" w:type="dxa"/>
            <w:tcBorders>
              <w:bottom w:val="single" w:sz="4" w:space="0" w:color="auto"/>
            </w:tcBorders>
            <w:vAlign w:val="center"/>
          </w:tcPr>
          <w:p w14:paraId="20755190" w14:textId="60595A4F"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- 0.014 MW</w:t>
            </w:r>
          </w:p>
        </w:tc>
        <w:tc>
          <w:tcPr>
            <w:tcW w:w="1836" w:type="dxa"/>
            <w:tcBorders>
              <w:bottom w:val="single" w:sz="4" w:space="0" w:color="auto"/>
            </w:tcBorders>
            <w:vAlign w:val="center"/>
          </w:tcPr>
          <w:p w14:paraId="4FC6CB1E" w14:textId="61AD8FF9" w:rsidR="00BA1E12" w:rsidRPr="005931B7" w:rsidRDefault="00BA1E12" w:rsidP="00BA1E12">
            <w:pPr>
              <w:spacing w:after="160" w:line="360" w:lineRule="auto"/>
              <w:jc w:val="center"/>
              <w:cnfStyle w:val="000000100000" w:firstRow="0" w:lastRow="0" w:firstColumn="0" w:lastColumn="0" w:oddVBand="0" w:evenVBand="0" w:oddHBand="1" w:evenHBand="0" w:firstRowFirstColumn="0" w:firstRowLastColumn="0" w:lastRowFirstColumn="0" w:lastRowLastColumn="0"/>
              <w:rPr>
                <w:lang w:eastAsia="ar-SA" w:bidi="ar-JO"/>
              </w:rPr>
            </w:pPr>
            <w:r w:rsidRPr="005931B7">
              <w:rPr>
                <w:rFonts w:asciiTheme="majorBidi" w:hAnsiTheme="majorBidi" w:cstheme="majorBidi"/>
              </w:rPr>
              <w:t>Minor rejection</w:t>
            </w:r>
          </w:p>
        </w:tc>
      </w:tr>
      <w:bookmarkEnd w:id="36"/>
    </w:tbl>
    <w:p w14:paraId="2C31A533" w14:textId="77777777" w:rsidR="00A75523" w:rsidRDefault="00A75523" w:rsidP="00A75523">
      <w:pPr>
        <w:rPr>
          <w:lang w:val="tr-TR"/>
        </w:rPr>
      </w:pPr>
    </w:p>
    <w:p w14:paraId="657929D6" w14:textId="7CD5146A" w:rsidR="007576E1" w:rsidRPr="007576E1" w:rsidRDefault="007576E1" w:rsidP="00611456">
      <w:pPr>
        <w:pStyle w:val="Heading2"/>
        <w:numPr>
          <w:ilvl w:val="1"/>
          <w:numId w:val="35"/>
        </w:numPr>
      </w:pPr>
      <w:bookmarkStart w:id="39" w:name="_Toc205672548"/>
      <w:r w:rsidRPr="007576E1">
        <w:rPr>
          <w:lang w:val="tr-TR"/>
        </w:rPr>
        <w:t>Harmonic Distortion:</w:t>
      </w:r>
      <w:bookmarkEnd w:id="39"/>
    </w:p>
    <w:p w14:paraId="578B2F64" w14:textId="60C7A105" w:rsidR="007576E1" w:rsidRPr="007576E1" w:rsidRDefault="007576E1" w:rsidP="006D36FA">
      <w:pPr>
        <w:spacing w:line="360" w:lineRule="auto"/>
        <w:jc w:val="both"/>
        <w:rPr>
          <w:lang w:val="tr-TR"/>
        </w:rPr>
      </w:pPr>
      <w:r w:rsidRPr="007576E1">
        <w:rPr>
          <w:lang w:val="tr-TR"/>
        </w:rPr>
        <w:t>Power system harmonics are voltage or current waveforms that are non-sinusoidal in nature, which take place as a result of frequencies that are integer multiples of the fundamental frequency. Distortion is typically created by inverter-based generating equipment and non-linear loads. Harmonics can lead to various complications, such as overheating of equipment, energy losses, malfunctioning of sensitive equipment, and an overall decline in power quality. In order to quantify harmonic distortion and its impact on the grid, the following main measures are taken:</w:t>
      </w:r>
    </w:p>
    <w:p w14:paraId="2758EC7D" w14:textId="1EF1FFB1" w:rsidR="007576E1" w:rsidRPr="007576E1" w:rsidRDefault="007576E1" w:rsidP="006D36FA">
      <w:pPr>
        <w:pStyle w:val="ListParagraph"/>
        <w:numPr>
          <w:ilvl w:val="0"/>
          <w:numId w:val="33"/>
        </w:numPr>
        <w:spacing w:line="360" w:lineRule="auto"/>
        <w:jc w:val="both"/>
        <w:rPr>
          <w:lang w:val="tr-TR"/>
        </w:rPr>
      </w:pPr>
      <w:r w:rsidRPr="007576E1">
        <w:rPr>
          <w:lang w:val="tr-TR"/>
        </w:rPr>
        <w:t>RMS Voltage: Shows percentage root mean square voltage to nominal in order to verify if any decrease is seen due to the harmonics.</w:t>
      </w:r>
    </w:p>
    <w:p w14:paraId="441CBD09" w14:textId="44EADB47" w:rsidR="007576E1" w:rsidRPr="007576E1" w:rsidRDefault="007576E1" w:rsidP="006D36FA">
      <w:pPr>
        <w:pStyle w:val="ListParagraph"/>
        <w:numPr>
          <w:ilvl w:val="0"/>
          <w:numId w:val="33"/>
        </w:numPr>
        <w:spacing w:line="360" w:lineRule="auto"/>
        <w:jc w:val="both"/>
        <w:rPr>
          <w:lang w:val="tr-TR"/>
        </w:rPr>
      </w:pPr>
      <w:r w:rsidRPr="007576E1">
        <w:rPr>
          <w:lang w:val="tr-TR"/>
        </w:rPr>
        <w:t>Total Harmonic Distortion (THD): Provides the relation of total sum of all the harmonic currents and the fundamental component indicating the total amount of distortion percentage.</w:t>
      </w:r>
    </w:p>
    <w:p w14:paraId="3F4C96B3" w14:textId="00EB128E" w:rsidR="007576E1" w:rsidRPr="007576E1" w:rsidRDefault="007576E1" w:rsidP="006D36FA">
      <w:pPr>
        <w:pStyle w:val="ListParagraph"/>
        <w:numPr>
          <w:ilvl w:val="0"/>
          <w:numId w:val="33"/>
        </w:numPr>
        <w:spacing w:line="360" w:lineRule="auto"/>
        <w:jc w:val="both"/>
        <w:rPr>
          <w:lang w:val="tr-TR"/>
        </w:rPr>
      </w:pPr>
      <w:r w:rsidRPr="007576E1">
        <w:rPr>
          <w:lang w:val="tr-TR"/>
        </w:rPr>
        <w:t>Telephone Interference Factor (TIF): A weighted harmonic distortion index for indicating an estimate of communication line interference capability.</w:t>
      </w:r>
    </w:p>
    <w:p w14:paraId="022ACD68" w14:textId="55338A4E" w:rsidR="007576E1" w:rsidRDefault="007576E1" w:rsidP="006D36FA">
      <w:pPr>
        <w:pStyle w:val="ListParagraph"/>
        <w:numPr>
          <w:ilvl w:val="0"/>
          <w:numId w:val="33"/>
        </w:numPr>
        <w:spacing w:line="360" w:lineRule="auto"/>
        <w:jc w:val="both"/>
        <w:rPr>
          <w:lang w:val="tr-TR"/>
        </w:rPr>
      </w:pPr>
      <w:r w:rsidRPr="007576E1">
        <w:rPr>
          <w:lang w:val="tr-TR"/>
        </w:rPr>
        <w:lastRenderedPageBreak/>
        <w:t>THDG and THDS: These are the generator voltage total harmonic distortion and system voltage total harmonic distortion, respectively, to compare the distortion against the source or system total.</w:t>
      </w:r>
    </w:p>
    <w:p w14:paraId="6E195786" w14:textId="7A36CD00" w:rsidR="00134F7A" w:rsidRPr="00134F7A" w:rsidRDefault="00134F7A" w:rsidP="006D36FA">
      <w:pPr>
        <w:spacing w:line="360" w:lineRule="auto"/>
        <w:jc w:val="both"/>
        <w:rPr>
          <w:lang w:val="tr-TR"/>
        </w:rPr>
      </w:pPr>
      <w:r w:rsidRPr="00134F7A">
        <w:rPr>
          <w:lang w:val="tr-TR"/>
        </w:rPr>
        <w:t xml:space="preserve">IEEE standard 519-2014 specifies maximum recommended limits of harmonic voltage and current magnitudes of electrical power systems to enhance compatibility and maintain grid stability. For example, the voltage THD at the point of common coupling is typically supposed to be less than 5% for systems rated below 69 kV, while tighter limits apply for higher voltages. These recommendations are essential for grid operators and system planners in order to manage harmonic-related risks effectively while ensuring long-term power quality and reliability </w:t>
      </w:r>
      <w:r>
        <w:rPr>
          <w:lang w:val="tr-TR"/>
        </w:rPr>
        <w:t>[</w:t>
      </w:r>
      <w:r w:rsidR="00097216">
        <w:rPr>
          <w:lang w:val="tr-TR"/>
        </w:rPr>
        <w:t>41</w:t>
      </w:r>
      <w:r>
        <w:rPr>
          <w:lang w:val="tr-TR"/>
        </w:rPr>
        <w:t>]</w:t>
      </w:r>
      <w:r w:rsidRPr="00134F7A">
        <w:rPr>
          <w:lang w:val="tr-TR"/>
        </w:rPr>
        <w:t>.</w:t>
      </w:r>
    </w:p>
    <w:p w14:paraId="00F08DAD" w14:textId="3F16AF13" w:rsidR="007576E1" w:rsidRDefault="007576E1" w:rsidP="006D36FA">
      <w:pPr>
        <w:spacing w:line="360" w:lineRule="auto"/>
        <w:jc w:val="both"/>
        <w:rPr>
          <w:lang w:val="tr-TR"/>
        </w:rPr>
      </w:pPr>
      <w:r w:rsidRPr="007576E1">
        <w:rPr>
          <w:lang w:val="tr-TR"/>
        </w:rPr>
        <w:t>Observation and measurement of such parameters are critical to operational reliability and voltage quality assurance, especially for distribution systems with high power electronic and distributed generation penetration levels. Harmonic distortion is examined in Case 0 to study the effect on focused buses and observe localized harmonic performance at different voltage levels.</w:t>
      </w:r>
    </w:p>
    <w:p w14:paraId="2DB8A71C" w14:textId="77777777" w:rsidR="00097216" w:rsidRPr="007576E1" w:rsidRDefault="00097216" w:rsidP="006D36FA">
      <w:pPr>
        <w:spacing w:line="360" w:lineRule="auto"/>
        <w:jc w:val="both"/>
        <w:rPr>
          <w:lang w:val="tr-TR"/>
        </w:rPr>
      </w:pPr>
    </w:p>
    <w:p w14:paraId="18B2C3A5" w14:textId="77777777" w:rsidR="00C77FF1" w:rsidRPr="001271F0" w:rsidRDefault="00C77FF1" w:rsidP="00C77FF1">
      <w:pPr>
        <w:spacing w:line="360" w:lineRule="auto"/>
        <w:jc w:val="both"/>
        <w:rPr>
          <w:rFonts w:asciiTheme="majorBidi" w:hAnsiTheme="majorBidi" w:cstheme="majorBidi"/>
          <w:b/>
          <w:bCs/>
        </w:rPr>
      </w:pPr>
      <w:r w:rsidRPr="001271F0">
        <w:rPr>
          <w:rFonts w:asciiTheme="majorBidi" w:hAnsiTheme="majorBidi" w:cstheme="majorBidi"/>
          <w:b/>
          <w:bCs/>
        </w:rPr>
        <w:t xml:space="preserve">Harmonic Distortion Analysis – Case 0 </w:t>
      </w:r>
    </w:p>
    <w:p w14:paraId="619B66A7" w14:textId="04D55933" w:rsidR="00FF5B71" w:rsidRPr="00313345" w:rsidRDefault="00E7274E" w:rsidP="00313345">
      <w:pPr>
        <w:spacing w:line="360" w:lineRule="auto"/>
        <w:jc w:val="both"/>
        <w:rPr>
          <w:rFonts w:asciiTheme="majorBidi" w:hAnsiTheme="majorBidi" w:cstheme="majorBidi"/>
        </w:rPr>
      </w:pPr>
      <w:r w:rsidRPr="00E7274E">
        <w:rPr>
          <w:rFonts w:asciiTheme="majorBidi" w:hAnsiTheme="majorBidi" w:cstheme="majorBidi"/>
        </w:rPr>
        <w:t xml:space="preserve">Case 0 harmonic distortion analysis was carried out </w:t>
      </w:r>
      <w:proofErr w:type="gramStart"/>
      <w:r w:rsidRPr="00E7274E">
        <w:rPr>
          <w:rFonts w:asciiTheme="majorBidi" w:hAnsiTheme="majorBidi" w:cstheme="majorBidi"/>
        </w:rPr>
        <w:t>in order to</w:t>
      </w:r>
      <w:proofErr w:type="gramEnd"/>
      <w:r w:rsidRPr="00E7274E">
        <w:rPr>
          <w:rFonts w:asciiTheme="majorBidi" w:hAnsiTheme="majorBidi" w:cstheme="majorBidi"/>
        </w:rPr>
        <w:t xml:space="preserve"> assess the waveform distortion and voltage quality on crucial buses. At Bus 1, harmonics were minimal, with 0.06% THD and TIF of 2.18, indicating very good power quality and minimal harmonic impact. In comparison, Bus 39 was experiencing quite high harmonic activity, with THD = 2.87%, TIF = 94.63, and THDG and THDS also at 2.87%, which represents visible waveform distortion. Even though </w:t>
      </w:r>
      <w:proofErr w:type="gramStart"/>
      <w:r w:rsidRPr="00E7274E">
        <w:rPr>
          <w:rFonts w:asciiTheme="majorBidi" w:hAnsiTheme="majorBidi" w:cstheme="majorBidi"/>
        </w:rPr>
        <w:t>all of</w:t>
      </w:r>
      <w:proofErr w:type="gramEnd"/>
      <w:r w:rsidRPr="00E7274E">
        <w:rPr>
          <w:rFonts w:asciiTheme="majorBidi" w:hAnsiTheme="majorBidi" w:cstheme="majorBidi"/>
        </w:rPr>
        <w:t xml:space="preserve"> the values are still well within IEEE 519-2014 recommended limits, Bus 39 is more vulnerable to harmonic impacts and could be a problem in the case of higher nonlinear load penetration or inverter-based generation in the future. Detailed harmonic distortion levels of the two buses are presented in Table </w:t>
      </w:r>
      <w:r w:rsidR="005931B7">
        <w:rPr>
          <w:rFonts w:asciiTheme="majorBidi" w:hAnsiTheme="majorBidi" w:cstheme="majorBidi"/>
        </w:rPr>
        <w:t>6</w:t>
      </w:r>
      <w:r w:rsidRPr="00E7274E">
        <w:rPr>
          <w:rFonts w:asciiTheme="majorBidi" w:hAnsiTheme="majorBidi" w:cstheme="majorBidi"/>
        </w:rPr>
        <w:t>.</w:t>
      </w:r>
    </w:p>
    <w:p w14:paraId="6B63A6E8" w14:textId="2CEFB54C" w:rsidR="00E7274E" w:rsidRPr="00E7274E" w:rsidRDefault="00E7274E" w:rsidP="006D36FA">
      <w:pPr>
        <w:spacing w:line="360" w:lineRule="auto"/>
        <w:jc w:val="both"/>
        <w:rPr>
          <w:rFonts w:asciiTheme="majorBidi" w:hAnsiTheme="majorBidi" w:cstheme="majorBidi"/>
        </w:rPr>
      </w:pPr>
      <w:r w:rsidRPr="00E7274E">
        <w:rPr>
          <w:rFonts w:asciiTheme="majorBidi" w:hAnsiTheme="majorBidi" w:cstheme="majorBidi"/>
        </w:rPr>
        <w:t xml:space="preserve">The harmonic spectrum of </w:t>
      </w:r>
      <w:r w:rsidR="00704B8C">
        <w:rPr>
          <w:rFonts w:asciiTheme="majorBidi" w:hAnsiTheme="majorBidi" w:cstheme="majorBidi"/>
        </w:rPr>
        <w:t>Appendix I</w:t>
      </w:r>
      <w:r w:rsidRPr="00E7274E">
        <w:rPr>
          <w:rFonts w:asciiTheme="majorBidi" w:hAnsiTheme="majorBidi" w:cstheme="majorBidi"/>
        </w:rPr>
        <w:t xml:space="preserve"> shows the voltage distortion content distribution with orders from 1 to 20. Bus 39 exhibits clearly dominant harmonic content on the 7th, 11th, 13th, 17th, and 19th orders with the 17th very close to a value of nearly 1.9%.</w:t>
      </w:r>
    </w:p>
    <w:p w14:paraId="2802F1A9" w14:textId="030AF40A" w:rsidR="00C77FF1" w:rsidRPr="001271F0" w:rsidRDefault="00E7274E" w:rsidP="00704B8C">
      <w:pPr>
        <w:spacing w:line="360" w:lineRule="auto"/>
        <w:jc w:val="both"/>
        <w:rPr>
          <w:rFonts w:asciiTheme="majorBidi" w:hAnsiTheme="majorBidi" w:cstheme="majorBidi"/>
        </w:rPr>
      </w:pPr>
      <w:r w:rsidRPr="00E7274E">
        <w:rPr>
          <w:rFonts w:asciiTheme="majorBidi" w:hAnsiTheme="majorBidi" w:cstheme="majorBidi"/>
        </w:rPr>
        <w:lastRenderedPageBreak/>
        <w:t>Conversely, Bus 1 and Bus 38 are nearly flat for all orders of harmonics, supporting the observation that high-frequency distortion is highly localized at the lower voltage bus. The evidence sustains the inference that Bus 39 is more prone to harmonic amplification.</w:t>
      </w:r>
    </w:p>
    <w:p w14:paraId="5BAEBD09" w14:textId="77777777" w:rsidR="00704B8C" w:rsidRDefault="00704B8C" w:rsidP="001271F0">
      <w:pPr>
        <w:spacing w:line="360" w:lineRule="auto"/>
        <w:jc w:val="both"/>
        <w:rPr>
          <w:rFonts w:asciiTheme="majorBidi" w:hAnsiTheme="majorBidi" w:cstheme="majorBidi"/>
          <w:b/>
          <w:bCs/>
        </w:rPr>
      </w:pPr>
    </w:p>
    <w:p w14:paraId="693914E6" w14:textId="0F055C33" w:rsidR="001271F0" w:rsidRPr="001271F0" w:rsidRDefault="001271F0" w:rsidP="001271F0">
      <w:pPr>
        <w:spacing w:line="360" w:lineRule="auto"/>
        <w:jc w:val="both"/>
        <w:rPr>
          <w:rFonts w:asciiTheme="majorBidi" w:hAnsiTheme="majorBidi" w:cstheme="majorBidi"/>
          <w:b/>
          <w:bCs/>
        </w:rPr>
      </w:pPr>
      <w:r w:rsidRPr="001271F0">
        <w:rPr>
          <w:rFonts w:asciiTheme="majorBidi" w:hAnsiTheme="majorBidi" w:cstheme="majorBidi"/>
          <w:b/>
          <w:bCs/>
        </w:rPr>
        <w:t xml:space="preserve">Harmonic Distortion Analysis – Case </w:t>
      </w:r>
      <w:r>
        <w:rPr>
          <w:rFonts w:asciiTheme="majorBidi" w:hAnsiTheme="majorBidi" w:cstheme="majorBidi"/>
          <w:b/>
          <w:bCs/>
        </w:rPr>
        <w:t>1</w:t>
      </w:r>
    </w:p>
    <w:p w14:paraId="4751483E" w14:textId="6DB7C6D3" w:rsidR="0099734A" w:rsidRPr="0099734A" w:rsidRDefault="0099734A" w:rsidP="00FF5B71">
      <w:pPr>
        <w:spacing w:line="360" w:lineRule="auto"/>
        <w:jc w:val="both"/>
        <w:rPr>
          <w:rFonts w:asciiTheme="majorBidi" w:hAnsiTheme="majorBidi" w:cstheme="majorBidi"/>
        </w:rPr>
      </w:pPr>
      <w:r w:rsidRPr="0099734A">
        <w:rPr>
          <w:rFonts w:asciiTheme="majorBidi" w:hAnsiTheme="majorBidi" w:cstheme="majorBidi"/>
        </w:rPr>
        <w:t xml:space="preserve">The harmonic distortion levels in Case 1 were measured across the system with particular emphasis on Bus </w:t>
      </w:r>
      <w:proofErr w:type="gramStart"/>
      <w:r w:rsidRPr="0099734A">
        <w:rPr>
          <w:rFonts w:asciiTheme="majorBidi" w:hAnsiTheme="majorBidi" w:cstheme="majorBidi"/>
        </w:rPr>
        <w:t>1  and</w:t>
      </w:r>
      <w:proofErr w:type="gramEnd"/>
      <w:r w:rsidRPr="0099734A">
        <w:rPr>
          <w:rFonts w:asciiTheme="majorBidi" w:hAnsiTheme="majorBidi" w:cstheme="majorBidi"/>
        </w:rPr>
        <w:t xml:space="preserve"> Bus 39 to ascertain the impact of partial integration of PV and ESS on power quality.</w:t>
      </w:r>
    </w:p>
    <w:p w14:paraId="144D4AA4" w14:textId="3D452A0E" w:rsidR="0099734A" w:rsidRPr="0099734A" w:rsidRDefault="0099734A" w:rsidP="00FF5B71">
      <w:pPr>
        <w:spacing w:line="360" w:lineRule="auto"/>
        <w:jc w:val="both"/>
        <w:rPr>
          <w:rFonts w:asciiTheme="majorBidi" w:hAnsiTheme="majorBidi" w:cstheme="majorBidi"/>
        </w:rPr>
      </w:pPr>
      <w:r w:rsidRPr="0099734A">
        <w:rPr>
          <w:rFonts w:asciiTheme="majorBidi" w:hAnsiTheme="majorBidi" w:cstheme="majorBidi"/>
        </w:rPr>
        <w:t>At Bus 1, the harmonic indices are low and consistent with the previous case. The THD is 0.11%, and the TIF is 4.00, both well within IEEE 519-2014 limits. These indices confirm that the upstream medium-voltage side is free from harmonic activity for this partial penetration case.</w:t>
      </w:r>
    </w:p>
    <w:p w14:paraId="46E18DE2" w14:textId="3A5634C9" w:rsidR="001271F0" w:rsidRPr="00313345" w:rsidRDefault="0099734A" w:rsidP="00313345">
      <w:pPr>
        <w:spacing w:line="360" w:lineRule="auto"/>
        <w:jc w:val="both"/>
        <w:rPr>
          <w:rFonts w:asciiTheme="majorBidi" w:hAnsiTheme="majorBidi" w:cstheme="majorBidi"/>
        </w:rPr>
      </w:pPr>
      <w:r w:rsidRPr="0099734A">
        <w:rPr>
          <w:rFonts w:asciiTheme="majorBidi" w:hAnsiTheme="majorBidi" w:cstheme="majorBidi"/>
        </w:rPr>
        <w:t xml:space="preserve">In contrast, Bus 39 exhibits a high increase of harmonic distortion with THD = 5.68% and TIF = 186.87, which are both higher than normal acceptable levels. The THDG and THDS are also high at 5.68%, indicating severe harmonic presence either due to inverter-based ESS operation or nonlinear devices near the low-voltage side. This confirms that Bus 39 remains the weakest spot in the network from the power quality perspective under distributed energy integration. These figures are presented in Table </w:t>
      </w:r>
      <w:r w:rsidR="00313345">
        <w:rPr>
          <w:rFonts w:asciiTheme="majorBidi" w:hAnsiTheme="majorBidi" w:cstheme="majorBidi"/>
        </w:rPr>
        <w:t>6</w:t>
      </w:r>
      <w:r w:rsidRPr="0099734A">
        <w:rPr>
          <w:rFonts w:asciiTheme="majorBidi" w:hAnsiTheme="majorBidi" w:cstheme="majorBidi"/>
        </w:rPr>
        <w:t>.</w:t>
      </w:r>
    </w:p>
    <w:p w14:paraId="1B2C2FF4" w14:textId="5EF44E15" w:rsidR="00C77FF1" w:rsidRDefault="0099734A" w:rsidP="00704B8C">
      <w:pPr>
        <w:spacing w:line="360" w:lineRule="auto"/>
        <w:jc w:val="both"/>
        <w:rPr>
          <w:rFonts w:asciiTheme="majorBidi" w:hAnsiTheme="majorBidi" w:cstheme="majorBidi"/>
        </w:rPr>
      </w:pPr>
      <w:r w:rsidRPr="0099734A">
        <w:rPr>
          <w:rFonts w:asciiTheme="majorBidi" w:hAnsiTheme="majorBidi" w:cstheme="majorBidi"/>
        </w:rPr>
        <w:t xml:space="preserve">The harmonic spectrum in </w:t>
      </w:r>
      <w:r w:rsidR="00704B8C">
        <w:rPr>
          <w:rFonts w:asciiTheme="majorBidi" w:hAnsiTheme="majorBidi" w:cstheme="majorBidi"/>
        </w:rPr>
        <w:t>Appendix I</w:t>
      </w:r>
      <w:r w:rsidRPr="0099734A">
        <w:rPr>
          <w:rFonts w:asciiTheme="majorBidi" w:hAnsiTheme="majorBidi" w:cstheme="majorBidi"/>
        </w:rPr>
        <w:t xml:space="preserve"> also shows the source of the distortion. Bus 39 has dominant harmonic components at orders 7th, 11th, 13th, 17th, and 19th, with the 17th harmonic exceeding 3.0%, the highest among all orders. These frequencies are characteristic of inverter-based sources and switching operations, which are common in PV-ESS converters. On the other hand, Bus 1 and Bus 38 show near zero harmonic contributions of all orders, verifying that harmonic propagation is mostly contained in the low-voltage side and does not back-feed significantly into the upstream medium-voltage system.</w:t>
      </w:r>
    </w:p>
    <w:p w14:paraId="4AF75F07" w14:textId="77777777" w:rsidR="00704B8C" w:rsidRPr="00FF5B71" w:rsidRDefault="00704B8C" w:rsidP="00704B8C">
      <w:pPr>
        <w:spacing w:line="360" w:lineRule="auto"/>
        <w:jc w:val="both"/>
        <w:rPr>
          <w:rFonts w:asciiTheme="majorBidi" w:hAnsiTheme="majorBidi" w:cstheme="majorBidi"/>
        </w:rPr>
      </w:pPr>
    </w:p>
    <w:p w14:paraId="05776211" w14:textId="38F688E3" w:rsidR="00B528EC" w:rsidRPr="001271F0" w:rsidRDefault="00B528EC" w:rsidP="00B528EC">
      <w:pPr>
        <w:spacing w:line="360" w:lineRule="auto"/>
        <w:jc w:val="both"/>
        <w:rPr>
          <w:rFonts w:asciiTheme="majorBidi" w:hAnsiTheme="majorBidi" w:cstheme="majorBidi"/>
          <w:b/>
          <w:bCs/>
        </w:rPr>
      </w:pPr>
      <w:r w:rsidRPr="001271F0">
        <w:rPr>
          <w:rFonts w:asciiTheme="majorBidi" w:hAnsiTheme="majorBidi" w:cstheme="majorBidi"/>
          <w:b/>
          <w:bCs/>
        </w:rPr>
        <w:t xml:space="preserve">Harmonic Distortion Analysis – Case </w:t>
      </w:r>
      <w:r>
        <w:rPr>
          <w:rFonts w:asciiTheme="majorBidi" w:hAnsiTheme="majorBidi" w:cstheme="majorBidi"/>
          <w:b/>
          <w:bCs/>
        </w:rPr>
        <w:t>2</w:t>
      </w:r>
    </w:p>
    <w:p w14:paraId="4CB32BDB" w14:textId="77777777" w:rsidR="0099734A" w:rsidRPr="0099734A" w:rsidRDefault="0099734A" w:rsidP="0099734A">
      <w:pPr>
        <w:spacing w:line="360" w:lineRule="auto"/>
        <w:rPr>
          <w:rFonts w:asciiTheme="majorBidi" w:hAnsiTheme="majorBidi" w:cstheme="majorBidi"/>
        </w:rPr>
      </w:pPr>
      <w:r w:rsidRPr="0099734A">
        <w:rPr>
          <w:rFonts w:asciiTheme="majorBidi" w:hAnsiTheme="majorBidi" w:cstheme="majorBidi"/>
        </w:rPr>
        <w:lastRenderedPageBreak/>
        <w:t>In Case 2, with higher levels of PV and ESS integration, harmonic distortion levels were evaluated again at Bus 1 and Bus 39.</w:t>
      </w:r>
    </w:p>
    <w:p w14:paraId="10A64EE6" w14:textId="01E3A5F2" w:rsidR="0099734A" w:rsidRPr="0099734A" w:rsidRDefault="0099734A" w:rsidP="0099734A">
      <w:pPr>
        <w:spacing w:line="360" w:lineRule="auto"/>
        <w:rPr>
          <w:rFonts w:asciiTheme="majorBidi" w:hAnsiTheme="majorBidi" w:cstheme="majorBidi"/>
        </w:rPr>
      </w:pPr>
      <w:r w:rsidRPr="0099734A">
        <w:rPr>
          <w:rFonts w:asciiTheme="majorBidi" w:hAnsiTheme="majorBidi" w:cstheme="majorBidi"/>
        </w:rPr>
        <w:t>At Bus 1, the THD has increased slightly to 0.33%, and the TIF is 11.79. These values, although higher than in previous cases, are still within acceptable IEEE 519-2014 limits, which indicates that harmonic propagation at the medium-voltage side is still low and manageable.</w:t>
      </w:r>
    </w:p>
    <w:p w14:paraId="38B4375E" w14:textId="18EED29F" w:rsidR="00FF5B71" w:rsidRPr="00313345" w:rsidRDefault="0099734A" w:rsidP="00313345">
      <w:pPr>
        <w:spacing w:line="360" w:lineRule="auto"/>
        <w:jc w:val="both"/>
        <w:rPr>
          <w:rFonts w:asciiTheme="majorBidi" w:hAnsiTheme="majorBidi" w:cstheme="majorBidi"/>
        </w:rPr>
      </w:pPr>
      <w:r w:rsidRPr="0099734A">
        <w:rPr>
          <w:rFonts w:asciiTheme="majorBidi" w:hAnsiTheme="majorBidi" w:cstheme="majorBidi"/>
        </w:rPr>
        <w:t xml:space="preserve">At Bus 39, however, THD is 2.82% and TIF is 93.75, again showing a heavy harmonic load at the low-voltage level. This is lower than in Case 1 but still close to normal compliance limits, worthy of consideration for power quality control. Both THDG and THDS also both equal the THD at 2.82%, again showing distributed harmonic distortion that might be due to multiple converters or charging sources operating in parallel. The summary of these measures appears in Table </w:t>
      </w:r>
      <w:r w:rsidR="00313345">
        <w:rPr>
          <w:rFonts w:asciiTheme="majorBidi" w:hAnsiTheme="majorBidi" w:cstheme="majorBidi"/>
        </w:rPr>
        <w:t>6</w:t>
      </w:r>
      <w:r w:rsidRPr="0099734A">
        <w:rPr>
          <w:rFonts w:asciiTheme="majorBidi" w:hAnsiTheme="majorBidi" w:cstheme="majorBidi"/>
        </w:rPr>
        <w:t>.</w:t>
      </w:r>
    </w:p>
    <w:p w14:paraId="4080C54D" w14:textId="2A287162" w:rsidR="00486A49" w:rsidRDefault="0099734A" w:rsidP="00704B8C">
      <w:pPr>
        <w:spacing w:line="360" w:lineRule="auto"/>
        <w:jc w:val="both"/>
        <w:rPr>
          <w:rFonts w:asciiTheme="majorBidi" w:hAnsiTheme="majorBidi" w:cstheme="majorBidi"/>
        </w:rPr>
      </w:pPr>
      <w:r w:rsidRPr="0099734A">
        <w:rPr>
          <w:rFonts w:asciiTheme="majorBidi" w:hAnsiTheme="majorBidi" w:cstheme="majorBidi"/>
        </w:rPr>
        <w:t xml:space="preserve">The harmonic spectrum of </w:t>
      </w:r>
      <w:r w:rsidR="00704B8C">
        <w:rPr>
          <w:rFonts w:asciiTheme="majorBidi" w:hAnsiTheme="majorBidi" w:cstheme="majorBidi"/>
        </w:rPr>
        <w:t>Appendix I</w:t>
      </w:r>
      <w:r w:rsidRPr="0099734A">
        <w:rPr>
          <w:rFonts w:asciiTheme="majorBidi" w:hAnsiTheme="majorBidi" w:cstheme="majorBidi"/>
        </w:rPr>
        <w:t xml:space="preserve"> indicates the voltage distortion across harmonic orders at Bus 1, Bus 38, and Bus 39. The dominant components at Bus 39 appear again at the 7th, 11th, 13th, 17th, and 19th orders, with the 17th harmonic being ~1.8%. Surprisingly, harmonic content at Bus 38 and even Bus 1 is slightly more evident than in Case 1, reflecting some upstream propagation of harmonics.</w:t>
      </w:r>
    </w:p>
    <w:p w14:paraId="1F17274A" w14:textId="77777777" w:rsidR="00704B8C" w:rsidRPr="00313345" w:rsidRDefault="00704B8C" w:rsidP="00704B8C">
      <w:pPr>
        <w:spacing w:line="360" w:lineRule="auto"/>
        <w:jc w:val="both"/>
        <w:rPr>
          <w:rFonts w:asciiTheme="majorBidi" w:hAnsiTheme="majorBidi" w:cstheme="majorBidi"/>
        </w:rPr>
      </w:pPr>
    </w:p>
    <w:p w14:paraId="472E1B07" w14:textId="7A829EEB" w:rsidR="00B528EC" w:rsidRPr="00B528EC" w:rsidRDefault="00B528EC" w:rsidP="00B528EC">
      <w:pPr>
        <w:spacing w:line="360" w:lineRule="auto"/>
        <w:jc w:val="both"/>
        <w:rPr>
          <w:rFonts w:asciiTheme="majorBidi" w:hAnsiTheme="majorBidi" w:cstheme="majorBidi"/>
          <w:b/>
          <w:bCs/>
          <w:lang w:val="tr-TR"/>
        </w:rPr>
      </w:pPr>
      <w:r w:rsidRPr="001271F0">
        <w:rPr>
          <w:rFonts w:asciiTheme="majorBidi" w:hAnsiTheme="majorBidi" w:cstheme="majorBidi"/>
          <w:b/>
          <w:bCs/>
        </w:rPr>
        <w:t xml:space="preserve">Harmonic Distortion Analysis – Case </w:t>
      </w:r>
      <w:r>
        <w:rPr>
          <w:rFonts w:asciiTheme="majorBidi" w:hAnsiTheme="majorBidi" w:cstheme="majorBidi" w:hint="cs"/>
          <w:b/>
          <w:bCs/>
          <w:rtl/>
        </w:rPr>
        <w:t>3</w:t>
      </w:r>
    </w:p>
    <w:p w14:paraId="67547CD7" w14:textId="0B374D14" w:rsidR="0099734A" w:rsidRPr="0099734A" w:rsidRDefault="0099734A" w:rsidP="00486A49">
      <w:pPr>
        <w:spacing w:line="360" w:lineRule="auto"/>
        <w:jc w:val="both"/>
        <w:rPr>
          <w:rFonts w:asciiTheme="majorBidi" w:hAnsiTheme="majorBidi" w:cstheme="majorBidi"/>
        </w:rPr>
      </w:pPr>
      <w:r w:rsidRPr="0099734A">
        <w:rPr>
          <w:rFonts w:asciiTheme="majorBidi" w:hAnsiTheme="majorBidi" w:cstheme="majorBidi"/>
        </w:rPr>
        <w:t xml:space="preserve">In Case 3, when the system is under full PV and ESS penetration, the harmonic distortion profile indicates high </w:t>
      </w:r>
      <w:r w:rsidR="00486A49" w:rsidRPr="0099734A">
        <w:rPr>
          <w:rFonts w:asciiTheme="majorBidi" w:hAnsiTheme="majorBidi" w:cstheme="majorBidi"/>
        </w:rPr>
        <w:t>value</w:t>
      </w:r>
      <w:r w:rsidRPr="0099734A">
        <w:rPr>
          <w:rFonts w:asciiTheme="majorBidi" w:hAnsiTheme="majorBidi" w:cstheme="majorBidi"/>
        </w:rPr>
        <w:t xml:space="preserve"> throughout the network.</w:t>
      </w:r>
      <w:r w:rsidR="00486A49">
        <w:rPr>
          <w:rFonts w:asciiTheme="majorBidi" w:hAnsiTheme="majorBidi" w:cstheme="majorBidi"/>
        </w:rPr>
        <w:t xml:space="preserve"> </w:t>
      </w:r>
      <w:r w:rsidRPr="0099734A">
        <w:rPr>
          <w:rFonts w:asciiTheme="majorBidi" w:hAnsiTheme="majorBidi" w:cstheme="majorBidi"/>
        </w:rPr>
        <w:t xml:space="preserve">THD at Bus 1 is now 0.59%, while TIF is 21.08, showing an increased harmonic impact in the upstream medium-voltage domain for the very first time. Although still at tolerable values, this trend shows that distortion due to harmonics </w:t>
      </w:r>
      <w:r w:rsidR="00486A49" w:rsidRPr="0099734A">
        <w:rPr>
          <w:rFonts w:asciiTheme="majorBidi" w:hAnsiTheme="majorBidi" w:cstheme="majorBidi"/>
        </w:rPr>
        <w:t>is</w:t>
      </w:r>
      <w:r w:rsidRPr="0099734A">
        <w:rPr>
          <w:rFonts w:asciiTheme="majorBidi" w:hAnsiTheme="majorBidi" w:cstheme="majorBidi"/>
        </w:rPr>
        <w:t xml:space="preserve"> no longer merely confined to the lower-voltage domain and has begun to be transmitted upstream.</w:t>
      </w:r>
    </w:p>
    <w:p w14:paraId="1F8A15BA" w14:textId="78EBA08F" w:rsidR="0099734A" w:rsidRDefault="0099734A" w:rsidP="00486A49">
      <w:pPr>
        <w:spacing w:line="360" w:lineRule="auto"/>
        <w:jc w:val="both"/>
        <w:rPr>
          <w:rFonts w:asciiTheme="majorBidi" w:hAnsiTheme="majorBidi" w:cstheme="majorBidi"/>
        </w:rPr>
      </w:pPr>
      <w:r w:rsidRPr="0099734A">
        <w:rPr>
          <w:rFonts w:asciiTheme="majorBidi" w:hAnsiTheme="majorBidi" w:cstheme="majorBidi"/>
        </w:rPr>
        <w:t xml:space="preserve">At Bus 39, THD is 3.22%, and TIF is 107.34, the highest total distortion in </w:t>
      </w:r>
      <w:proofErr w:type="gramStart"/>
      <w:r w:rsidRPr="0099734A">
        <w:rPr>
          <w:rFonts w:asciiTheme="majorBidi" w:hAnsiTheme="majorBidi" w:cstheme="majorBidi"/>
        </w:rPr>
        <w:t>all of</w:t>
      </w:r>
      <w:proofErr w:type="gramEnd"/>
      <w:r w:rsidRPr="0099734A">
        <w:rPr>
          <w:rFonts w:asciiTheme="majorBidi" w:hAnsiTheme="majorBidi" w:cstheme="majorBidi"/>
        </w:rPr>
        <w:t xml:space="preserve"> the cases considered here. THDG and THDS measurements are also high at 3.22%, confirming inverter-based components' high low-frequency harmonic content. </w:t>
      </w:r>
      <w:proofErr w:type="gramStart"/>
      <w:r w:rsidRPr="0099734A">
        <w:rPr>
          <w:rFonts w:asciiTheme="majorBidi" w:hAnsiTheme="majorBidi" w:cstheme="majorBidi"/>
        </w:rPr>
        <w:t>All of</w:t>
      </w:r>
      <w:proofErr w:type="gramEnd"/>
      <w:r w:rsidRPr="0099734A">
        <w:rPr>
          <w:rFonts w:asciiTheme="majorBidi" w:hAnsiTheme="majorBidi" w:cstheme="majorBidi"/>
        </w:rPr>
        <w:t xml:space="preserve"> these measurements are tabulated in Table </w:t>
      </w:r>
      <w:r w:rsidR="00313345">
        <w:rPr>
          <w:rFonts w:asciiTheme="majorBidi" w:hAnsiTheme="majorBidi" w:cstheme="majorBidi"/>
        </w:rPr>
        <w:t>6</w:t>
      </w:r>
      <w:r w:rsidRPr="0099734A">
        <w:rPr>
          <w:rFonts w:asciiTheme="majorBidi" w:hAnsiTheme="majorBidi" w:cstheme="majorBidi"/>
        </w:rPr>
        <w:t>.</w:t>
      </w:r>
    </w:p>
    <w:p w14:paraId="7A6D93DB" w14:textId="49855D07" w:rsidR="00383034" w:rsidRPr="00383034" w:rsidRDefault="00B528EC" w:rsidP="00383034">
      <w:pPr>
        <w:spacing w:line="240" w:lineRule="auto"/>
        <w:jc w:val="both"/>
        <w:rPr>
          <w:rFonts w:asciiTheme="majorBidi" w:hAnsiTheme="majorBidi" w:cstheme="majorBidi"/>
          <w:b/>
          <w:bCs/>
          <w:sz w:val="22"/>
          <w:szCs w:val="22"/>
          <w:rtl/>
        </w:rPr>
      </w:pPr>
      <w:r w:rsidRPr="00383034">
        <w:rPr>
          <w:rFonts w:asciiTheme="majorBidi" w:hAnsiTheme="majorBidi" w:cstheme="majorBidi"/>
          <w:b/>
          <w:bCs/>
          <w:sz w:val="22"/>
          <w:szCs w:val="22"/>
        </w:rPr>
        <w:lastRenderedPageBreak/>
        <w:t xml:space="preserve">Table </w:t>
      </w:r>
      <w:r w:rsidR="00313345">
        <w:rPr>
          <w:rFonts w:asciiTheme="majorBidi" w:hAnsiTheme="majorBidi" w:cstheme="majorBidi"/>
          <w:b/>
          <w:bCs/>
          <w:sz w:val="22"/>
          <w:szCs w:val="22"/>
        </w:rPr>
        <w:t>6</w:t>
      </w:r>
    </w:p>
    <w:p w14:paraId="57ED9F79" w14:textId="5FBD4493" w:rsidR="00B528EC" w:rsidRPr="00383034" w:rsidRDefault="00B528EC" w:rsidP="00383034">
      <w:pPr>
        <w:spacing w:line="240" w:lineRule="auto"/>
        <w:jc w:val="both"/>
        <w:rPr>
          <w:rFonts w:asciiTheme="majorBidi" w:hAnsiTheme="majorBidi" w:cstheme="majorBidi"/>
          <w:i/>
          <w:iCs/>
          <w:sz w:val="22"/>
          <w:szCs w:val="22"/>
          <w:rtl/>
          <w:lang w:bidi="ar-EG"/>
        </w:rPr>
      </w:pPr>
      <w:r w:rsidRPr="00383034">
        <w:rPr>
          <w:rFonts w:asciiTheme="majorBidi" w:hAnsiTheme="majorBidi" w:cstheme="majorBidi"/>
          <w:i/>
          <w:iCs/>
          <w:sz w:val="22"/>
          <w:szCs w:val="22"/>
        </w:rPr>
        <w:t xml:space="preserve">Harmonic Distortion Metrics </w:t>
      </w:r>
      <w:r w:rsidR="00F404B2">
        <w:rPr>
          <w:rFonts w:asciiTheme="majorBidi" w:hAnsiTheme="majorBidi" w:cstheme="majorBidi"/>
          <w:i/>
          <w:iCs/>
          <w:sz w:val="22"/>
          <w:szCs w:val="22"/>
        </w:rPr>
        <w:t>for all cases</w:t>
      </w:r>
    </w:p>
    <w:tbl>
      <w:tblPr>
        <w:tblStyle w:val="PlainTable3"/>
        <w:tblW w:w="8099" w:type="dxa"/>
        <w:tblLayout w:type="fixed"/>
        <w:tblLook w:val="04A0" w:firstRow="1" w:lastRow="0" w:firstColumn="1" w:lastColumn="0" w:noHBand="0" w:noVBand="1"/>
      </w:tblPr>
      <w:tblGrid>
        <w:gridCol w:w="1078"/>
        <w:gridCol w:w="999"/>
        <w:gridCol w:w="2013"/>
        <w:gridCol w:w="928"/>
        <w:gridCol w:w="931"/>
        <w:gridCol w:w="1099"/>
        <w:gridCol w:w="1051"/>
      </w:tblGrid>
      <w:tr w:rsidR="00F404B2" w:rsidRPr="00486A49" w14:paraId="07B4F147" w14:textId="77777777" w:rsidTr="00F404B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78" w:type="dxa"/>
          </w:tcPr>
          <w:p w14:paraId="63E66E59" w14:textId="7723A4C2" w:rsidR="00F404B2" w:rsidRPr="00486A49" w:rsidRDefault="00F404B2" w:rsidP="007D1597">
            <w:pPr>
              <w:spacing w:after="160" w:line="360" w:lineRule="auto"/>
              <w:jc w:val="both"/>
              <w:rPr>
                <w:rFonts w:asciiTheme="majorBidi" w:hAnsiTheme="majorBidi" w:cstheme="majorBidi"/>
                <w:sz w:val="22"/>
                <w:szCs w:val="22"/>
              </w:rPr>
            </w:pPr>
            <w:r>
              <w:rPr>
                <w:rFonts w:asciiTheme="majorBidi" w:hAnsiTheme="majorBidi" w:cstheme="majorBidi"/>
                <w:sz w:val="22"/>
                <w:szCs w:val="22"/>
              </w:rPr>
              <w:t>Case</w:t>
            </w:r>
          </w:p>
        </w:tc>
        <w:tc>
          <w:tcPr>
            <w:tcW w:w="999" w:type="dxa"/>
            <w:hideMark/>
          </w:tcPr>
          <w:p w14:paraId="520BC23E" w14:textId="6A2DAC98" w:rsidR="00F404B2" w:rsidRPr="00486A49" w:rsidRDefault="00F404B2" w:rsidP="007D1597">
            <w:pPr>
              <w:spacing w:after="160"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Pr>
                <w:rFonts w:asciiTheme="majorBidi" w:hAnsiTheme="majorBidi" w:cstheme="majorBidi"/>
                <w:sz w:val="22"/>
                <w:szCs w:val="22"/>
              </w:rPr>
              <w:t>Bus</w:t>
            </w:r>
          </w:p>
        </w:tc>
        <w:tc>
          <w:tcPr>
            <w:tcW w:w="2013" w:type="dxa"/>
            <w:hideMark/>
          </w:tcPr>
          <w:p w14:paraId="2827A3D6" w14:textId="77777777" w:rsidR="00F404B2" w:rsidRPr="00486A49" w:rsidRDefault="00F404B2" w:rsidP="007D1597">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RMS Voltage (%)</w:t>
            </w:r>
          </w:p>
        </w:tc>
        <w:tc>
          <w:tcPr>
            <w:tcW w:w="928" w:type="dxa"/>
            <w:hideMark/>
          </w:tcPr>
          <w:p w14:paraId="13C4FE05" w14:textId="7C2EF49D" w:rsidR="00F404B2" w:rsidRPr="00486A49" w:rsidRDefault="00F404B2" w:rsidP="007D1597">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 xml:space="preserve">THD </w:t>
            </w:r>
            <w:r>
              <w:rPr>
                <w:rFonts w:asciiTheme="majorBidi" w:hAnsiTheme="majorBidi" w:cstheme="majorBidi"/>
                <w:sz w:val="22"/>
                <w:szCs w:val="22"/>
              </w:rPr>
              <w:br/>
            </w:r>
            <w:r w:rsidRPr="00486A49">
              <w:rPr>
                <w:rFonts w:asciiTheme="majorBidi" w:hAnsiTheme="majorBidi" w:cstheme="majorBidi"/>
                <w:sz w:val="22"/>
                <w:szCs w:val="22"/>
              </w:rPr>
              <w:t>(%)</w:t>
            </w:r>
          </w:p>
        </w:tc>
        <w:tc>
          <w:tcPr>
            <w:tcW w:w="931" w:type="dxa"/>
            <w:hideMark/>
          </w:tcPr>
          <w:p w14:paraId="0751BEEA" w14:textId="77777777" w:rsidR="00F404B2" w:rsidRPr="00486A49" w:rsidRDefault="00F404B2" w:rsidP="007D1597">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TIF</w:t>
            </w:r>
          </w:p>
        </w:tc>
        <w:tc>
          <w:tcPr>
            <w:tcW w:w="1099" w:type="dxa"/>
            <w:hideMark/>
          </w:tcPr>
          <w:p w14:paraId="6615DA37" w14:textId="4D100F7C" w:rsidR="00F404B2" w:rsidRPr="00486A49" w:rsidRDefault="00F404B2" w:rsidP="007D1597">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 xml:space="preserve">THDG </w:t>
            </w:r>
            <w:r>
              <w:rPr>
                <w:rFonts w:asciiTheme="majorBidi" w:hAnsiTheme="majorBidi" w:cstheme="majorBidi"/>
                <w:sz w:val="22"/>
                <w:szCs w:val="22"/>
              </w:rPr>
              <w:br/>
            </w:r>
            <w:r w:rsidRPr="00486A49">
              <w:rPr>
                <w:rFonts w:asciiTheme="majorBidi" w:hAnsiTheme="majorBidi" w:cstheme="majorBidi"/>
                <w:sz w:val="22"/>
                <w:szCs w:val="22"/>
              </w:rPr>
              <w:t>(%)</w:t>
            </w:r>
          </w:p>
        </w:tc>
        <w:tc>
          <w:tcPr>
            <w:tcW w:w="1051" w:type="dxa"/>
            <w:hideMark/>
          </w:tcPr>
          <w:p w14:paraId="6F616D8F" w14:textId="740DB61B" w:rsidR="00F404B2" w:rsidRPr="00486A49" w:rsidRDefault="00F404B2" w:rsidP="007D1597">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 xml:space="preserve">THDS </w:t>
            </w:r>
            <w:r>
              <w:rPr>
                <w:rFonts w:asciiTheme="majorBidi" w:hAnsiTheme="majorBidi" w:cstheme="majorBidi"/>
                <w:sz w:val="22"/>
                <w:szCs w:val="22"/>
              </w:rPr>
              <w:br/>
            </w:r>
            <w:r w:rsidRPr="00486A49">
              <w:rPr>
                <w:rFonts w:asciiTheme="majorBidi" w:hAnsiTheme="majorBidi" w:cstheme="majorBidi"/>
                <w:sz w:val="22"/>
                <w:szCs w:val="22"/>
              </w:rPr>
              <w:t>(%)</w:t>
            </w:r>
          </w:p>
        </w:tc>
      </w:tr>
      <w:tr w:rsidR="00F404B2" w:rsidRPr="00486A49" w14:paraId="08B24F38" w14:textId="77777777" w:rsidTr="00F40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val="restart"/>
          </w:tcPr>
          <w:p w14:paraId="791B292B" w14:textId="2C79008E" w:rsidR="00F404B2" w:rsidRPr="00F7327F" w:rsidRDefault="00F404B2" w:rsidP="00F404B2">
            <w:pPr>
              <w:spacing w:after="160" w:line="360" w:lineRule="auto"/>
              <w:jc w:val="both"/>
              <w:rPr>
                <w:rFonts w:asciiTheme="majorBidi" w:hAnsiTheme="majorBidi" w:cstheme="majorBidi"/>
                <w:sz w:val="22"/>
                <w:szCs w:val="22"/>
              </w:rPr>
            </w:pPr>
            <w:r>
              <w:rPr>
                <w:rFonts w:asciiTheme="majorBidi" w:hAnsiTheme="majorBidi" w:cstheme="majorBidi"/>
                <w:sz w:val="22"/>
                <w:szCs w:val="22"/>
              </w:rPr>
              <w:t>Case 0</w:t>
            </w:r>
          </w:p>
        </w:tc>
        <w:tc>
          <w:tcPr>
            <w:tcW w:w="999" w:type="dxa"/>
          </w:tcPr>
          <w:p w14:paraId="4398DAAE" w14:textId="1A242E91" w:rsidR="00F404B2" w:rsidRPr="00486A49" w:rsidRDefault="00F404B2" w:rsidP="00F404B2">
            <w:pPr>
              <w:spacing w:after="160"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1</w:t>
            </w:r>
          </w:p>
        </w:tc>
        <w:tc>
          <w:tcPr>
            <w:tcW w:w="2013" w:type="dxa"/>
          </w:tcPr>
          <w:p w14:paraId="5A0A0D4A" w14:textId="2C8B0614"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100.00</w:t>
            </w:r>
          </w:p>
        </w:tc>
        <w:tc>
          <w:tcPr>
            <w:tcW w:w="928" w:type="dxa"/>
          </w:tcPr>
          <w:p w14:paraId="4EACC60B" w14:textId="6C74F9FD"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0.06</w:t>
            </w:r>
          </w:p>
        </w:tc>
        <w:tc>
          <w:tcPr>
            <w:tcW w:w="931" w:type="dxa"/>
          </w:tcPr>
          <w:p w14:paraId="55367EFE" w14:textId="5EA75F1C"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2.18</w:t>
            </w:r>
          </w:p>
        </w:tc>
        <w:tc>
          <w:tcPr>
            <w:tcW w:w="1099" w:type="dxa"/>
          </w:tcPr>
          <w:p w14:paraId="26B2BECD" w14:textId="55F8AD48"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0.06</w:t>
            </w:r>
          </w:p>
        </w:tc>
        <w:tc>
          <w:tcPr>
            <w:tcW w:w="1051" w:type="dxa"/>
          </w:tcPr>
          <w:p w14:paraId="324E80DC" w14:textId="401C8384"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0.06</w:t>
            </w:r>
          </w:p>
        </w:tc>
      </w:tr>
      <w:tr w:rsidR="00F404B2" w:rsidRPr="00486A49" w14:paraId="42D5782A" w14:textId="77777777" w:rsidTr="00F404B2">
        <w:tc>
          <w:tcPr>
            <w:cnfStyle w:val="001000000000" w:firstRow="0" w:lastRow="0" w:firstColumn="1" w:lastColumn="0" w:oddVBand="0" w:evenVBand="0" w:oddHBand="0" w:evenHBand="0" w:firstRowFirstColumn="0" w:firstRowLastColumn="0" w:lastRowFirstColumn="0" w:lastRowLastColumn="0"/>
            <w:tcW w:w="1078" w:type="dxa"/>
            <w:vMerge/>
          </w:tcPr>
          <w:p w14:paraId="0E5B713F" w14:textId="77777777" w:rsidR="00F404B2" w:rsidRPr="00F7327F" w:rsidRDefault="00F404B2" w:rsidP="00F404B2">
            <w:pPr>
              <w:spacing w:after="160" w:line="360" w:lineRule="auto"/>
              <w:jc w:val="both"/>
              <w:rPr>
                <w:rFonts w:asciiTheme="majorBidi" w:hAnsiTheme="majorBidi" w:cstheme="majorBidi"/>
                <w:sz w:val="22"/>
                <w:szCs w:val="22"/>
              </w:rPr>
            </w:pPr>
          </w:p>
        </w:tc>
        <w:tc>
          <w:tcPr>
            <w:tcW w:w="999" w:type="dxa"/>
          </w:tcPr>
          <w:p w14:paraId="3B95BBE9" w14:textId="2207552D" w:rsidR="00F404B2" w:rsidRPr="00486A49" w:rsidRDefault="00F404B2" w:rsidP="00F404B2">
            <w:pPr>
              <w:spacing w:after="160" w:line="36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Bus 39</w:t>
            </w:r>
          </w:p>
        </w:tc>
        <w:tc>
          <w:tcPr>
            <w:tcW w:w="2013" w:type="dxa"/>
          </w:tcPr>
          <w:p w14:paraId="7A56A5B2" w14:textId="6BA9F093"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96.18</w:t>
            </w:r>
          </w:p>
        </w:tc>
        <w:tc>
          <w:tcPr>
            <w:tcW w:w="928" w:type="dxa"/>
          </w:tcPr>
          <w:p w14:paraId="691F8583" w14:textId="717F2638"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2.87</w:t>
            </w:r>
          </w:p>
        </w:tc>
        <w:tc>
          <w:tcPr>
            <w:tcW w:w="931" w:type="dxa"/>
          </w:tcPr>
          <w:p w14:paraId="7951E97F" w14:textId="35EA250F"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94.63</w:t>
            </w:r>
          </w:p>
        </w:tc>
        <w:tc>
          <w:tcPr>
            <w:tcW w:w="1099" w:type="dxa"/>
          </w:tcPr>
          <w:p w14:paraId="5677B774" w14:textId="729C8DE2"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2.87</w:t>
            </w:r>
          </w:p>
        </w:tc>
        <w:tc>
          <w:tcPr>
            <w:tcW w:w="1051" w:type="dxa"/>
          </w:tcPr>
          <w:p w14:paraId="49C5C2F8" w14:textId="7AFC0458"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F7327F">
              <w:rPr>
                <w:rFonts w:asciiTheme="majorBidi" w:hAnsiTheme="majorBidi" w:cstheme="majorBidi"/>
                <w:sz w:val="22"/>
                <w:szCs w:val="22"/>
              </w:rPr>
              <w:t>2.87</w:t>
            </w:r>
          </w:p>
        </w:tc>
      </w:tr>
      <w:tr w:rsidR="00F404B2" w:rsidRPr="00486A49" w14:paraId="313A3E49" w14:textId="77777777" w:rsidTr="00F40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val="restart"/>
          </w:tcPr>
          <w:p w14:paraId="55C74B26" w14:textId="706C0FA7" w:rsidR="00F404B2" w:rsidRPr="00FF5B71" w:rsidRDefault="00F404B2" w:rsidP="00F404B2">
            <w:pPr>
              <w:spacing w:after="160" w:line="360" w:lineRule="auto"/>
              <w:jc w:val="both"/>
              <w:rPr>
                <w:sz w:val="22"/>
                <w:szCs w:val="22"/>
              </w:rPr>
            </w:pPr>
            <w:r>
              <w:rPr>
                <w:sz w:val="22"/>
                <w:szCs w:val="22"/>
              </w:rPr>
              <w:t>Case 1</w:t>
            </w:r>
          </w:p>
        </w:tc>
        <w:tc>
          <w:tcPr>
            <w:tcW w:w="999" w:type="dxa"/>
          </w:tcPr>
          <w:p w14:paraId="691A4D20" w14:textId="651445D1" w:rsidR="00F404B2" w:rsidRPr="00486A49" w:rsidRDefault="00F404B2" w:rsidP="00F404B2">
            <w:pPr>
              <w:spacing w:after="160" w:line="360" w:lineRule="auto"/>
              <w:jc w:val="both"/>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Bus 1</w:t>
            </w:r>
          </w:p>
        </w:tc>
        <w:tc>
          <w:tcPr>
            <w:tcW w:w="2013" w:type="dxa"/>
          </w:tcPr>
          <w:p w14:paraId="310DC56E" w14:textId="37AC26F5"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100.00</w:t>
            </w:r>
          </w:p>
        </w:tc>
        <w:tc>
          <w:tcPr>
            <w:tcW w:w="928" w:type="dxa"/>
          </w:tcPr>
          <w:p w14:paraId="785BC9A6" w14:textId="625F5E8B"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0.11</w:t>
            </w:r>
          </w:p>
        </w:tc>
        <w:tc>
          <w:tcPr>
            <w:tcW w:w="931" w:type="dxa"/>
          </w:tcPr>
          <w:p w14:paraId="7453EA73" w14:textId="7FBAD6A8"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4.00</w:t>
            </w:r>
          </w:p>
        </w:tc>
        <w:tc>
          <w:tcPr>
            <w:tcW w:w="1099" w:type="dxa"/>
          </w:tcPr>
          <w:p w14:paraId="52563570" w14:textId="3DC9D4E8"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0.11</w:t>
            </w:r>
          </w:p>
        </w:tc>
        <w:tc>
          <w:tcPr>
            <w:tcW w:w="1051" w:type="dxa"/>
          </w:tcPr>
          <w:p w14:paraId="504CE6AC" w14:textId="02F99516"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0.11</w:t>
            </w:r>
          </w:p>
        </w:tc>
      </w:tr>
      <w:tr w:rsidR="00F404B2" w:rsidRPr="00486A49" w14:paraId="408F57C8" w14:textId="77777777" w:rsidTr="00F404B2">
        <w:tc>
          <w:tcPr>
            <w:cnfStyle w:val="001000000000" w:firstRow="0" w:lastRow="0" w:firstColumn="1" w:lastColumn="0" w:oddVBand="0" w:evenVBand="0" w:oddHBand="0" w:evenHBand="0" w:firstRowFirstColumn="0" w:firstRowLastColumn="0" w:lastRowFirstColumn="0" w:lastRowLastColumn="0"/>
            <w:tcW w:w="1078" w:type="dxa"/>
            <w:vMerge/>
          </w:tcPr>
          <w:p w14:paraId="262B61C6" w14:textId="77777777" w:rsidR="00F404B2" w:rsidRPr="00FF5B71" w:rsidRDefault="00F404B2" w:rsidP="00F404B2">
            <w:pPr>
              <w:spacing w:after="160" w:line="360" w:lineRule="auto"/>
              <w:jc w:val="both"/>
              <w:rPr>
                <w:sz w:val="22"/>
                <w:szCs w:val="22"/>
              </w:rPr>
            </w:pPr>
          </w:p>
        </w:tc>
        <w:tc>
          <w:tcPr>
            <w:tcW w:w="999" w:type="dxa"/>
          </w:tcPr>
          <w:p w14:paraId="22743C48" w14:textId="599AE40B" w:rsidR="00F404B2" w:rsidRPr="00486A49" w:rsidRDefault="00F404B2" w:rsidP="00F404B2">
            <w:pPr>
              <w:spacing w:after="160" w:line="360" w:lineRule="auto"/>
              <w:jc w:val="both"/>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Bus 39</w:t>
            </w:r>
          </w:p>
        </w:tc>
        <w:tc>
          <w:tcPr>
            <w:tcW w:w="2013" w:type="dxa"/>
          </w:tcPr>
          <w:p w14:paraId="60394DC0" w14:textId="14CAC13E"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90.32</w:t>
            </w:r>
          </w:p>
        </w:tc>
        <w:tc>
          <w:tcPr>
            <w:tcW w:w="928" w:type="dxa"/>
          </w:tcPr>
          <w:p w14:paraId="1168B66A" w14:textId="416431ED"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5.68</w:t>
            </w:r>
          </w:p>
        </w:tc>
        <w:tc>
          <w:tcPr>
            <w:tcW w:w="931" w:type="dxa"/>
          </w:tcPr>
          <w:p w14:paraId="792AB70D" w14:textId="3BDC3919"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186.87</w:t>
            </w:r>
          </w:p>
        </w:tc>
        <w:tc>
          <w:tcPr>
            <w:tcW w:w="1099" w:type="dxa"/>
          </w:tcPr>
          <w:p w14:paraId="76BD76EA" w14:textId="0A87526C"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5.68</w:t>
            </w:r>
          </w:p>
        </w:tc>
        <w:tc>
          <w:tcPr>
            <w:tcW w:w="1051" w:type="dxa"/>
          </w:tcPr>
          <w:p w14:paraId="5D87DF53" w14:textId="0471A0A7"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5.68</w:t>
            </w:r>
          </w:p>
        </w:tc>
      </w:tr>
      <w:tr w:rsidR="00F404B2" w:rsidRPr="00486A49" w14:paraId="4ECF1617" w14:textId="77777777" w:rsidTr="00F40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val="restart"/>
          </w:tcPr>
          <w:p w14:paraId="24914D90" w14:textId="7CB188A8" w:rsidR="00F404B2" w:rsidRPr="00FF5B71" w:rsidRDefault="00F404B2" w:rsidP="00F404B2">
            <w:pPr>
              <w:spacing w:after="160" w:line="360" w:lineRule="auto"/>
              <w:jc w:val="both"/>
              <w:rPr>
                <w:sz w:val="22"/>
                <w:szCs w:val="22"/>
              </w:rPr>
            </w:pPr>
            <w:r>
              <w:rPr>
                <w:sz w:val="22"/>
                <w:szCs w:val="22"/>
              </w:rPr>
              <w:t>Case 2</w:t>
            </w:r>
          </w:p>
        </w:tc>
        <w:tc>
          <w:tcPr>
            <w:tcW w:w="999" w:type="dxa"/>
          </w:tcPr>
          <w:p w14:paraId="4445252B" w14:textId="6952B25B" w:rsidR="00F404B2" w:rsidRPr="00486A49" w:rsidRDefault="00F404B2" w:rsidP="00F404B2">
            <w:pPr>
              <w:spacing w:after="160" w:line="360" w:lineRule="auto"/>
              <w:jc w:val="both"/>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Bus 1</w:t>
            </w:r>
          </w:p>
        </w:tc>
        <w:tc>
          <w:tcPr>
            <w:tcW w:w="2013" w:type="dxa"/>
          </w:tcPr>
          <w:p w14:paraId="2BAFC30E" w14:textId="217FB1BE"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100.00</w:t>
            </w:r>
          </w:p>
        </w:tc>
        <w:tc>
          <w:tcPr>
            <w:tcW w:w="928" w:type="dxa"/>
          </w:tcPr>
          <w:p w14:paraId="10DAC129" w14:textId="3AD298D2"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0.33</w:t>
            </w:r>
          </w:p>
        </w:tc>
        <w:tc>
          <w:tcPr>
            <w:tcW w:w="931" w:type="dxa"/>
          </w:tcPr>
          <w:p w14:paraId="333109E7" w14:textId="3C3D7F1D"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11.79</w:t>
            </w:r>
          </w:p>
        </w:tc>
        <w:tc>
          <w:tcPr>
            <w:tcW w:w="1099" w:type="dxa"/>
          </w:tcPr>
          <w:p w14:paraId="7B55ABBF" w14:textId="1E4258AC"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0.33</w:t>
            </w:r>
          </w:p>
        </w:tc>
        <w:tc>
          <w:tcPr>
            <w:tcW w:w="1051" w:type="dxa"/>
          </w:tcPr>
          <w:p w14:paraId="20AAAD82" w14:textId="72508FDB"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FF5B71">
              <w:rPr>
                <w:sz w:val="22"/>
                <w:szCs w:val="22"/>
              </w:rPr>
              <w:t>0.33</w:t>
            </w:r>
          </w:p>
        </w:tc>
      </w:tr>
      <w:tr w:rsidR="00F404B2" w:rsidRPr="00486A49" w14:paraId="34B1C3A6" w14:textId="77777777" w:rsidTr="00F404B2">
        <w:tc>
          <w:tcPr>
            <w:cnfStyle w:val="001000000000" w:firstRow="0" w:lastRow="0" w:firstColumn="1" w:lastColumn="0" w:oddVBand="0" w:evenVBand="0" w:oddHBand="0" w:evenHBand="0" w:firstRowFirstColumn="0" w:firstRowLastColumn="0" w:lastRowFirstColumn="0" w:lastRowLastColumn="0"/>
            <w:tcW w:w="1078" w:type="dxa"/>
            <w:vMerge/>
          </w:tcPr>
          <w:p w14:paraId="7F0B550A" w14:textId="77777777" w:rsidR="00F404B2" w:rsidRPr="00FF5B71" w:rsidRDefault="00F404B2" w:rsidP="00F404B2">
            <w:pPr>
              <w:spacing w:after="160" w:line="360" w:lineRule="auto"/>
              <w:jc w:val="both"/>
              <w:rPr>
                <w:sz w:val="22"/>
                <w:szCs w:val="22"/>
              </w:rPr>
            </w:pPr>
          </w:p>
        </w:tc>
        <w:tc>
          <w:tcPr>
            <w:tcW w:w="999" w:type="dxa"/>
          </w:tcPr>
          <w:p w14:paraId="798F3D3B" w14:textId="7559547E" w:rsidR="00F404B2" w:rsidRPr="00486A49" w:rsidRDefault="00F404B2" w:rsidP="00F404B2">
            <w:pPr>
              <w:spacing w:after="160" w:line="360" w:lineRule="auto"/>
              <w:jc w:val="both"/>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 xml:space="preserve">Bus 39 </w:t>
            </w:r>
          </w:p>
        </w:tc>
        <w:tc>
          <w:tcPr>
            <w:tcW w:w="2013" w:type="dxa"/>
          </w:tcPr>
          <w:p w14:paraId="072CE837" w14:textId="2F69AF79"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96.35</w:t>
            </w:r>
          </w:p>
        </w:tc>
        <w:tc>
          <w:tcPr>
            <w:tcW w:w="928" w:type="dxa"/>
          </w:tcPr>
          <w:p w14:paraId="60D5291F" w14:textId="047D862F"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2.82</w:t>
            </w:r>
          </w:p>
        </w:tc>
        <w:tc>
          <w:tcPr>
            <w:tcW w:w="931" w:type="dxa"/>
          </w:tcPr>
          <w:p w14:paraId="6C976B5E" w14:textId="5E9168A7"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93.75</w:t>
            </w:r>
          </w:p>
        </w:tc>
        <w:tc>
          <w:tcPr>
            <w:tcW w:w="1099" w:type="dxa"/>
          </w:tcPr>
          <w:p w14:paraId="07FEDE94" w14:textId="0B68B59F"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2.82</w:t>
            </w:r>
          </w:p>
        </w:tc>
        <w:tc>
          <w:tcPr>
            <w:tcW w:w="1051" w:type="dxa"/>
          </w:tcPr>
          <w:p w14:paraId="57AD76C2" w14:textId="4B0C5E44"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FF5B71">
              <w:rPr>
                <w:sz w:val="22"/>
                <w:szCs w:val="22"/>
              </w:rPr>
              <w:t>2.82</w:t>
            </w:r>
          </w:p>
        </w:tc>
      </w:tr>
      <w:tr w:rsidR="00F404B2" w:rsidRPr="00486A49" w14:paraId="07871300" w14:textId="77777777" w:rsidTr="00F40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8" w:type="dxa"/>
            <w:vMerge w:val="restart"/>
          </w:tcPr>
          <w:p w14:paraId="1D7094D2" w14:textId="3C7BCA53" w:rsidR="00F404B2" w:rsidRPr="00486A49" w:rsidRDefault="00F404B2" w:rsidP="00F404B2">
            <w:pPr>
              <w:spacing w:after="160" w:line="360" w:lineRule="auto"/>
              <w:jc w:val="both"/>
              <w:rPr>
                <w:sz w:val="22"/>
                <w:szCs w:val="22"/>
              </w:rPr>
            </w:pPr>
            <w:r>
              <w:rPr>
                <w:sz w:val="22"/>
                <w:szCs w:val="22"/>
              </w:rPr>
              <w:t>Case 3</w:t>
            </w:r>
          </w:p>
        </w:tc>
        <w:tc>
          <w:tcPr>
            <w:tcW w:w="999" w:type="dxa"/>
          </w:tcPr>
          <w:p w14:paraId="1301A6E6" w14:textId="70CA56CB" w:rsidR="00F404B2" w:rsidRPr="00486A49" w:rsidRDefault="00F404B2" w:rsidP="00F404B2">
            <w:pPr>
              <w:spacing w:after="160" w:line="360" w:lineRule="auto"/>
              <w:jc w:val="both"/>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Bus 1</w:t>
            </w:r>
          </w:p>
        </w:tc>
        <w:tc>
          <w:tcPr>
            <w:tcW w:w="2013" w:type="dxa"/>
          </w:tcPr>
          <w:p w14:paraId="416C755C" w14:textId="31A75464"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100.00</w:t>
            </w:r>
          </w:p>
        </w:tc>
        <w:tc>
          <w:tcPr>
            <w:tcW w:w="928" w:type="dxa"/>
          </w:tcPr>
          <w:p w14:paraId="78DF1FE9" w14:textId="7B5D4EB3"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0.59</w:t>
            </w:r>
          </w:p>
        </w:tc>
        <w:tc>
          <w:tcPr>
            <w:tcW w:w="931" w:type="dxa"/>
          </w:tcPr>
          <w:p w14:paraId="22D83784" w14:textId="45A12914"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21.08</w:t>
            </w:r>
          </w:p>
        </w:tc>
        <w:tc>
          <w:tcPr>
            <w:tcW w:w="1099" w:type="dxa"/>
          </w:tcPr>
          <w:p w14:paraId="5BD67ED2" w14:textId="52B1CE70"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0.59</w:t>
            </w:r>
          </w:p>
        </w:tc>
        <w:tc>
          <w:tcPr>
            <w:tcW w:w="1051" w:type="dxa"/>
          </w:tcPr>
          <w:p w14:paraId="4ECC1D26" w14:textId="0A49874A" w:rsidR="00F404B2" w:rsidRPr="00486A49" w:rsidRDefault="00F404B2" w:rsidP="00F404B2">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sz w:val="22"/>
                <w:szCs w:val="22"/>
              </w:rPr>
              <w:t>0.59</w:t>
            </w:r>
          </w:p>
        </w:tc>
      </w:tr>
      <w:tr w:rsidR="00F404B2" w:rsidRPr="00486A49" w14:paraId="61D43764" w14:textId="77777777" w:rsidTr="00F404B2">
        <w:tc>
          <w:tcPr>
            <w:cnfStyle w:val="001000000000" w:firstRow="0" w:lastRow="0" w:firstColumn="1" w:lastColumn="0" w:oddVBand="0" w:evenVBand="0" w:oddHBand="0" w:evenHBand="0" w:firstRowFirstColumn="0" w:firstRowLastColumn="0" w:lastRowFirstColumn="0" w:lastRowLastColumn="0"/>
            <w:tcW w:w="1078" w:type="dxa"/>
            <w:vMerge/>
          </w:tcPr>
          <w:p w14:paraId="32819E5F" w14:textId="77777777" w:rsidR="00F404B2" w:rsidRPr="00486A49" w:rsidRDefault="00F404B2" w:rsidP="00F404B2">
            <w:pPr>
              <w:spacing w:after="160" w:line="360" w:lineRule="auto"/>
              <w:jc w:val="both"/>
              <w:rPr>
                <w:sz w:val="22"/>
                <w:szCs w:val="22"/>
              </w:rPr>
            </w:pPr>
          </w:p>
        </w:tc>
        <w:tc>
          <w:tcPr>
            <w:tcW w:w="999" w:type="dxa"/>
          </w:tcPr>
          <w:p w14:paraId="63F09275" w14:textId="030A0580" w:rsidR="00F404B2" w:rsidRPr="00486A49" w:rsidRDefault="00F404B2" w:rsidP="00F404B2">
            <w:pPr>
              <w:spacing w:after="160" w:line="360" w:lineRule="auto"/>
              <w:jc w:val="both"/>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Bus 39</w:t>
            </w:r>
          </w:p>
        </w:tc>
        <w:tc>
          <w:tcPr>
            <w:tcW w:w="2013" w:type="dxa"/>
          </w:tcPr>
          <w:p w14:paraId="1F2F79D5" w14:textId="13685655"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95.76</w:t>
            </w:r>
          </w:p>
        </w:tc>
        <w:tc>
          <w:tcPr>
            <w:tcW w:w="928" w:type="dxa"/>
          </w:tcPr>
          <w:p w14:paraId="7B61A65C" w14:textId="24C4C62F"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3.22</w:t>
            </w:r>
          </w:p>
        </w:tc>
        <w:tc>
          <w:tcPr>
            <w:tcW w:w="931" w:type="dxa"/>
          </w:tcPr>
          <w:p w14:paraId="6C380A49" w14:textId="2BF3C19B"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107.34</w:t>
            </w:r>
          </w:p>
        </w:tc>
        <w:tc>
          <w:tcPr>
            <w:tcW w:w="1099" w:type="dxa"/>
          </w:tcPr>
          <w:p w14:paraId="3CEF7DE4" w14:textId="41572A8E"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3.22</w:t>
            </w:r>
          </w:p>
        </w:tc>
        <w:tc>
          <w:tcPr>
            <w:tcW w:w="1051" w:type="dxa"/>
          </w:tcPr>
          <w:p w14:paraId="4ABD78E8" w14:textId="48085BDB" w:rsidR="00F404B2" w:rsidRPr="00486A49"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sz w:val="22"/>
                <w:szCs w:val="22"/>
              </w:rPr>
              <w:t>3.22</w:t>
            </w:r>
          </w:p>
        </w:tc>
      </w:tr>
    </w:tbl>
    <w:p w14:paraId="5B7053F8" w14:textId="77777777" w:rsidR="00486A49" w:rsidRDefault="00486A49" w:rsidP="0099734A">
      <w:pPr>
        <w:spacing w:line="360" w:lineRule="auto"/>
        <w:jc w:val="both"/>
        <w:rPr>
          <w:rFonts w:asciiTheme="majorBidi" w:hAnsiTheme="majorBidi" w:cstheme="majorBidi"/>
          <w:b/>
          <w:bCs/>
        </w:rPr>
      </w:pPr>
    </w:p>
    <w:p w14:paraId="65E74226" w14:textId="3DAFE4C6" w:rsidR="0091344F" w:rsidRDefault="0099734A" w:rsidP="0099734A">
      <w:pPr>
        <w:spacing w:line="360" w:lineRule="auto"/>
        <w:jc w:val="both"/>
        <w:rPr>
          <w:rFonts w:asciiTheme="majorBidi" w:hAnsiTheme="majorBidi" w:cstheme="majorBidi"/>
        </w:rPr>
      </w:pPr>
      <w:r w:rsidRPr="0099734A">
        <w:rPr>
          <w:rFonts w:asciiTheme="majorBidi" w:hAnsiTheme="majorBidi" w:cstheme="majorBidi"/>
        </w:rPr>
        <w:t xml:space="preserve">As </w:t>
      </w:r>
      <w:r w:rsidR="00704B8C">
        <w:rPr>
          <w:rFonts w:asciiTheme="majorBidi" w:hAnsiTheme="majorBidi" w:cstheme="majorBidi"/>
        </w:rPr>
        <w:t>Appendix I</w:t>
      </w:r>
      <w:r w:rsidRPr="0099734A">
        <w:rPr>
          <w:rFonts w:asciiTheme="majorBidi" w:hAnsiTheme="majorBidi" w:cstheme="majorBidi"/>
        </w:rPr>
        <w:t xml:space="preserve"> demonstrates, Bus 39 continues to have the highest most dominant harmonic content, with evident spikes at harmonic orders 7, 11, 13, 17, and 19. The 17th harmonic again reaches its peak as the largest component, although Bus 1 and Bus 38 harmonics are stronger than in the other instances in agreement with the original observation of upward harmonic propagation upon full penetration.</w:t>
      </w:r>
    </w:p>
    <w:p w14:paraId="3169797D" w14:textId="77777777" w:rsidR="00704B8C" w:rsidRDefault="00704B8C" w:rsidP="0099734A">
      <w:pPr>
        <w:spacing w:line="360" w:lineRule="auto"/>
        <w:jc w:val="both"/>
        <w:rPr>
          <w:rFonts w:asciiTheme="majorBidi" w:hAnsiTheme="majorBidi" w:cstheme="majorBidi"/>
        </w:rPr>
      </w:pPr>
    </w:p>
    <w:p w14:paraId="0A7FEBA6" w14:textId="6488461E" w:rsidR="00134F7A" w:rsidRPr="00134F7A" w:rsidRDefault="00134F7A" w:rsidP="00611456">
      <w:pPr>
        <w:pStyle w:val="Heading2"/>
        <w:numPr>
          <w:ilvl w:val="1"/>
          <w:numId w:val="35"/>
        </w:numPr>
      </w:pPr>
      <w:bookmarkStart w:id="40" w:name="_Toc205672549"/>
      <w:r>
        <w:rPr>
          <w:lang w:val="tr-TR"/>
        </w:rPr>
        <w:t>Short Circuit Analysis:</w:t>
      </w:r>
      <w:bookmarkEnd w:id="40"/>
    </w:p>
    <w:p w14:paraId="7684184F" w14:textId="1314EBB7" w:rsidR="00134F7A" w:rsidRPr="00134F7A" w:rsidRDefault="00134F7A" w:rsidP="006D36FA">
      <w:pPr>
        <w:spacing w:line="360" w:lineRule="auto"/>
        <w:jc w:val="both"/>
        <w:rPr>
          <w:rFonts w:asciiTheme="majorBidi" w:hAnsiTheme="majorBidi" w:cstheme="majorBidi"/>
        </w:rPr>
      </w:pPr>
      <w:r w:rsidRPr="00134F7A">
        <w:rPr>
          <w:rFonts w:asciiTheme="majorBidi" w:hAnsiTheme="majorBidi" w:cstheme="majorBidi"/>
        </w:rPr>
        <w:t xml:space="preserve">Short circuit analysis is essential for assessing the fault current levels in power systems and ensuring that equipment can safely withstand and interrupt these high currents. According to the IEC 60909 standard, standardized methods are used to calculate short-circuit currents in three-phase AC systems under various fault scenarios. These calculations support system protection coordination, equipment sizing, and grid stability during fault conditions </w:t>
      </w:r>
      <w:r w:rsidR="006D36FA">
        <w:rPr>
          <w:rFonts w:asciiTheme="majorBidi" w:hAnsiTheme="majorBidi" w:cstheme="majorBidi"/>
        </w:rPr>
        <w:t>[</w:t>
      </w:r>
      <w:r w:rsidR="00097216">
        <w:rPr>
          <w:rFonts w:asciiTheme="majorBidi" w:hAnsiTheme="majorBidi" w:cstheme="majorBidi"/>
        </w:rPr>
        <w:t>42</w:t>
      </w:r>
      <w:r w:rsidR="006D36FA">
        <w:rPr>
          <w:rFonts w:asciiTheme="majorBidi" w:hAnsiTheme="majorBidi" w:cstheme="majorBidi"/>
        </w:rPr>
        <w:t>]</w:t>
      </w:r>
      <w:r w:rsidRPr="00134F7A">
        <w:rPr>
          <w:rFonts w:asciiTheme="majorBidi" w:hAnsiTheme="majorBidi" w:cstheme="majorBidi"/>
        </w:rPr>
        <w:t>.</w:t>
      </w:r>
    </w:p>
    <w:p w14:paraId="44E2FFC8" w14:textId="77777777" w:rsidR="00134F7A" w:rsidRDefault="00134F7A" w:rsidP="00C77FF1">
      <w:pPr>
        <w:spacing w:line="360" w:lineRule="auto"/>
        <w:rPr>
          <w:rFonts w:asciiTheme="majorBidi" w:hAnsiTheme="majorBidi" w:cstheme="majorBidi"/>
          <w:b/>
          <w:bCs/>
        </w:rPr>
      </w:pPr>
    </w:p>
    <w:p w14:paraId="13FDB4B1" w14:textId="5E8C3BE7" w:rsidR="00C77FF1" w:rsidRPr="005944D3" w:rsidRDefault="00C77FF1" w:rsidP="00C77FF1">
      <w:pPr>
        <w:spacing w:line="360" w:lineRule="auto"/>
        <w:rPr>
          <w:rFonts w:asciiTheme="majorBidi" w:hAnsiTheme="majorBidi" w:cstheme="majorBidi"/>
          <w:b/>
          <w:bCs/>
        </w:rPr>
      </w:pPr>
      <w:r w:rsidRPr="005944D3">
        <w:rPr>
          <w:rFonts w:asciiTheme="majorBidi" w:hAnsiTheme="majorBidi" w:cstheme="majorBidi"/>
          <w:b/>
          <w:bCs/>
        </w:rPr>
        <w:lastRenderedPageBreak/>
        <w:t>Short-Circuit Current Analysis – Case 0</w:t>
      </w:r>
    </w:p>
    <w:p w14:paraId="66EBBD96" w14:textId="2EB97057" w:rsidR="001D50D3" w:rsidRPr="001D50D3" w:rsidRDefault="001D50D3" w:rsidP="00486A49">
      <w:pPr>
        <w:spacing w:line="360" w:lineRule="auto"/>
        <w:jc w:val="both"/>
        <w:rPr>
          <w:rFonts w:asciiTheme="majorBidi" w:hAnsiTheme="majorBidi" w:cstheme="majorBidi"/>
        </w:rPr>
      </w:pPr>
      <w:r w:rsidRPr="001D50D3">
        <w:rPr>
          <w:rFonts w:asciiTheme="majorBidi" w:hAnsiTheme="majorBidi" w:cstheme="majorBidi"/>
        </w:rPr>
        <w:t xml:space="preserve">A short-circuit simulation was performed on Bus 1 and Bus 39 in Case 0 to analyze the electrical stress under fault conditions. The outcomes, as presented in Table </w:t>
      </w:r>
      <w:r w:rsidR="00313345">
        <w:rPr>
          <w:rFonts w:asciiTheme="majorBidi" w:hAnsiTheme="majorBidi" w:cstheme="majorBidi"/>
        </w:rPr>
        <w:t>7</w:t>
      </w:r>
      <w:r w:rsidRPr="001D50D3">
        <w:rPr>
          <w:rFonts w:asciiTheme="majorBidi" w:hAnsiTheme="majorBidi" w:cstheme="majorBidi"/>
        </w:rPr>
        <w:t xml:space="preserve"> are as follows: At Bus 1, the peak initial short-circuits current (</w:t>
      </w:r>
      <w:proofErr w:type="spellStart"/>
      <w:r w:rsidRPr="001D50D3">
        <w:rPr>
          <w:rFonts w:asciiTheme="majorBidi" w:hAnsiTheme="majorBidi" w:cstheme="majorBidi"/>
        </w:rPr>
        <w:t>ip</w:t>
      </w:r>
      <w:proofErr w:type="spellEnd"/>
      <w:r w:rsidRPr="001D50D3">
        <w:rPr>
          <w:rFonts w:asciiTheme="majorBidi" w:hAnsiTheme="majorBidi" w:cstheme="majorBidi"/>
        </w:rPr>
        <w:t>) was 22.187 kA and the steady-state fault current (Ik) was 8.765 kA. The existing making (</w:t>
      </w:r>
      <w:proofErr w:type="spellStart"/>
      <w:r w:rsidRPr="001D50D3">
        <w:rPr>
          <w:rFonts w:asciiTheme="majorBidi" w:hAnsiTheme="majorBidi" w:cstheme="majorBidi"/>
        </w:rPr>
        <w:t>I″k</w:t>
      </w:r>
      <w:proofErr w:type="spellEnd"/>
      <w:r w:rsidRPr="001D50D3">
        <w:rPr>
          <w:rFonts w:asciiTheme="majorBidi" w:hAnsiTheme="majorBidi" w:cstheme="majorBidi"/>
        </w:rPr>
        <w:t>) was 9.063 kA, which is moderate fault levels within the scope of normal protection settings at the medium-voltage level. Bus 39 had a significantly higher fault level.</w:t>
      </w:r>
    </w:p>
    <w:p w14:paraId="57D7CFA1" w14:textId="07CBA13E" w:rsidR="00C77FF1" w:rsidRPr="005944D3" w:rsidRDefault="001D50D3" w:rsidP="00313345">
      <w:pPr>
        <w:spacing w:line="360" w:lineRule="auto"/>
        <w:jc w:val="both"/>
        <w:rPr>
          <w:rFonts w:asciiTheme="majorBidi" w:hAnsiTheme="majorBidi" w:cstheme="majorBidi"/>
        </w:rPr>
      </w:pPr>
      <w:r w:rsidRPr="001D50D3">
        <w:rPr>
          <w:rFonts w:asciiTheme="majorBidi" w:hAnsiTheme="majorBidi" w:cstheme="majorBidi"/>
        </w:rPr>
        <w:t xml:space="preserve">The maximum current was 29.937 kA initially, and Ik was 14.780 kA, with a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of 14.793 kA, showing high short-circuit stress on this LV bus. According to these results, Bus 39 must be given special attention in circuit breaker selection, protection coordination, and fault withstand ratings, especially </w:t>
      </w:r>
      <w:proofErr w:type="gramStart"/>
      <w:r w:rsidRPr="001D50D3">
        <w:rPr>
          <w:rFonts w:asciiTheme="majorBidi" w:hAnsiTheme="majorBidi" w:cstheme="majorBidi"/>
        </w:rPr>
        <w:t>in the area of</w:t>
      </w:r>
      <w:proofErr w:type="gramEnd"/>
      <w:r w:rsidRPr="001D50D3">
        <w:rPr>
          <w:rFonts w:asciiTheme="majorBidi" w:hAnsiTheme="majorBidi" w:cstheme="majorBidi"/>
        </w:rPr>
        <w:t xml:space="preserve"> future load growth or distributed generation. No routine device capacity violations were present in this instance.</w:t>
      </w:r>
    </w:p>
    <w:p w14:paraId="200C2413" w14:textId="77777777" w:rsidR="001D50D3" w:rsidRDefault="001D50D3" w:rsidP="00313345">
      <w:pPr>
        <w:spacing w:line="360" w:lineRule="auto"/>
        <w:jc w:val="both"/>
        <w:rPr>
          <w:rFonts w:asciiTheme="majorBidi" w:hAnsiTheme="majorBidi" w:cstheme="majorBidi"/>
        </w:rPr>
      </w:pPr>
      <w:r w:rsidRPr="001D50D3">
        <w:rPr>
          <w:rFonts w:asciiTheme="majorBidi" w:hAnsiTheme="majorBidi" w:cstheme="majorBidi"/>
        </w:rPr>
        <w:t>The same harmonic distortion and short-circuit current computation will be carried out for the other cases to study the impacts of increased PV integration and energy storage systems on network performance. The results will be compared with Case 0 to assess improvements or threats in terms of power quality, fault current values, and system reliability under different operation modes.</w:t>
      </w:r>
    </w:p>
    <w:p w14:paraId="69E5DDD0" w14:textId="6C8406F7" w:rsidR="005944D3" w:rsidRPr="005944D3" w:rsidRDefault="005944D3" w:rsidP="005944D3">
      <w:pPr>
        <w:spacing w:line="360" w:lineRule="auto"/>
        <w:rPr>
          <w:rFonts w:asciiTheme="majorBidi" w:hAnsiTheme="majorBidi" w:cstheme="majorBidi"/>
          <w:b/>
          <w:bCs/>
        </w:rPr>
      </w:pPr>
      <w:r w:rsidRPr="005944D3">
        <w:rPr>
          <w:rFonts w:asciiTheme="majorBidi" w:hAnsiTheme="majorBidi" w:cstheme="majorBidi"/>
          <w:b/>
          <w:bCs/>
        </w:rPr>
        <w:t xml:space="preserve">Short-Circuit Current Analysis – Case </w:t>
      </w:r>
      <w:r>
        <w:rPr>
          <w:rFonts w:asciiTheme="majorBidi" w:hAnsiTheme="majorBidi" w:cstheme="majorBidi"/>
          <w:b/>
          <w:bCs/>
        </w:rPr>
        <w:t>1</w:t>
      </w:r>
    </w:p>
    <w:p w14:paraId="0579A4CD" w14:textId="19937E26" w:rsidR="001D50D3" w:rsidRPr="001D50D3" w:rsidRDefault="001D50D3" w:rsidP="00486A49">
      <w:pPr>
        <w:spacing w:line="360" w:lineRule="auto"/>
        <w:jc w:val="both"/>
        <w:rPr>
          <w:rFonts w:asciiTheme="majorBidi" w:hAnsiTheme="majorBidi" w:cstheme="majorBidi"/>
        </w:rPr>
      </w:pPr>
      <w:r w:rsidRPr="001D50D3">
        <w:rPr>
          <w:rFonts w:asciiTheme="majorBidi" w:hAnsiTheme="majorBidi" w:cstheme="majorBidi"/>
        </w:rPr>
        <w:t xml:space="preserve">A short-circuit simulation test was conducted on Bus 1 and Bus 39 under Case 1 to evaluate fault current performance after the connection of a 1 MW PV system and partial charging of energy storage. The results, as indicated in Table </w:t>
      </w:r>
      <w:r w:rsidR="00313345">
        <w:rPr>
          <w:rFonts w:asciiTheme="majorBidi" w:hAnsiTheme="majorBidi" w:cstheme="majorBidi"/>
        </w:rPr>
        <w:t>7</w:t>
      </w:r>
      <w:r w:rsidR="00486A49">
        <w:rPr>
          <w:rFonts w:asciiTheme="majorBidi" w:hAnsiTheme="majorBidi" w:cstheme="majorBidi"/>
        </w:rPr>
        <w:t xml:space="preserve"> </w:t>
      </w:r>
      <w:r w:rsidRPr="001D50D3">
        <w:rPr>
          <w:rFonts w:asciiTheme="majorBidi" w:hAnsiTheme="majorBidi" w:cstheme="majorBidi"/>
        </w:rPr>
        <w:t xml:space="preserve">indicate the following: At Bus 1, the maximum </w:t>
      </w:r>
      <w:proofErr w:type="spellStart"/>
      <w:r w:rsidRPr="001D50D3">
        <w:rPr>
          <w:rFonts w:asciiTheme="majorBidi" w:hAnsiTheme="majorBidi" w:cstheme="majorBidi"/>
        </w:rPr>
        <w:t>ip</w:t>
      </w:r>
      <w:proofErr w:type="spellEnd"/>
      <w:r w:rsidRPr="001D50D3">
        <w:rPr>
          <w:rFonts w:asciiTheme="majorBidi" w:hAnsiTheme="majorBidi" w:cstheme="majorBidi"/>
        </w:rPr>
        <w:t xml:space="preserve"> was 22.187 kA and the Ik was 8.765 kA. The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was 9.063 kA, indicating medium fault levels acceptable with typical protection settings at the medium-voltage level. Conversely, Bus 39 possessed an appreciably higher fault level.</w:t>
      </w:r>
    </w:p>
    <w:p w14:paraId="509359A2" w14:textId="504BF3C2" w:rsidR="00383034" w:rsidRDefault="001D50D3" w:rsidP="00097216">
      <w:pPr>
        <w:spacing w:line="360" w:lineRule="auto"/>
        <w:jc w:val="both"/>
        <w:rPr>
          <w:rFonts w:asciiTheme="majorBidi" w:hAnsiTheme="majorBidi" w:cstheme="majorBidi"/>
        </w:rPr>
      </w:pPr>
      <w:r w:rsidRPr="001D50D3">
        <w:rPr>
          <w:rFonts w:asciiTheme="majorBidi" w:hAnsiTheme="majorBidi" w:cstheme="majorBidi"/>
        </w:rPr>
        <w:t xml:space="preserve">The peak current was the first at 29.937 kA, and Ik was 14.780 kA with a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of 14.793 kA, </w:t>
      </w:r>
      <w:r w:rsidR="007C6EFD">
        <w:rPr>
          <w:rFonts w:asciiTheme="majorBidi" w:hAnsiTheme="majorBidi" w:cstheme="majorBidi"/>
        </w:rPr>
        <w:t>the</w:t>
      </w:r>
      <w:r w:rsidR="007C6EFD" w:rsidRPr="007C6EFD">
        <w:rPr>
          <w:rFonts w:asciiTheme="majorBidi" w:hAnsiTheme="majorBidi" w:cstheme="majorBidi"/>
        </w:rPr>
        <w:t xml:space="preserve"> results</w:t>
      </w:r>
      <w:r w:rsidR="007C6EFD">
        <w:rPr>
          <w:rFonts w:asciiTheme="majorBidi" w:hAnsiTheme="majorBidi" w:cstheme="majorBidi"/>
        </w:rPr>
        <w:t xml:space="preserve"> are </w:t>
      </w:r>
      <w:r w:rsidR="007C6EFD" w:rsidRPr="007C6EFD">
        <w:rPr>
          <w:rFonts w:asciiTheme="majorBidi" w:hAnsiTheme="majorBidi" w:cstheme="majorBidi"/>
        </w:rPr>
        <w:t>identical to those in Case 0</w:t>
      </w:r>
      <w:r w:rsidR="007C6EFD">
        <w:rPr>
          <w:rFonts w:asciiTheme="majorBidi" w:hAnsiTheme="majorBidi" w:cstheme="majorBidi"/>
        </w:rPr>
        <w:t xml:space="preserve"> </w:t>
      </w:r>
      <w:r w:rsidRPr="001D50D3">
        <w:rPr>
          <w:rFonts w:asciiTheme="majorBidi" w:hAnsiTheme="majorBidi" w:cstheme="majorBidi"/>
        </w:rPr>
        <w:t xml:space="preserve">showing high short-circuit stress on this LV bus. Such observations suggest Bus 39 would require special consideration when choosing a circuit breaker, performing protection coordination, and for fault withstand </w:t>
      </w:r>
      <w:r w:rsidRPr="001D50D3">
        <w:rPr>
          <w:rFonts w:asciiTheme="majorBidi" w:hAnsiTheme="majorBidi" w:cstheme="majorBidi"/>
        </w:rPr>
        <w:lastRenderedPageBreak/>
        <w:t>rating requirements, especially because of future expansion in loads or distributed generation schemes. Violation of normal device capacity was not observed here.</w:t>
      </w:r>
    </w:p>
    <w:p w14:paraId="7FBBD04D" w14:textId="77777777" w:rsidR="00313345" w:rsidRDefault="00313345" w:rsidP="005944D3">
      <w:pPr>
        <w:spacing w:line="360" w:lineRule="auto"/>
        <w:rPr>
          <w:rFonts w:asciiTheme="majorBidi" w:hAnsiTheme="majorBidi" w:cstheme="majorBidi"/>
          <w:b/>
          <w:bCs/>
        </w:rPr>
      </w:pPr>
    </w:p>
    <w:p w14:paraId="3783647F" w14:textId="77777777" w:rsidR="00313345" w:rsidRDefault="00313345" w:rsidP="005944D3">
      <w:pPr>
        <w:spacing w:line="360" w:lineRule="auto"/>
        <w:rPr>
          <w:rFonts w:asciiTheme="majorBidi" w:hAnsiTheme="majorBidi" w:cstheme="majorBidi"/>
          <w:b/>
          <w:bCs/>
        </w:rPr>
      </w:pPr>
    </w:p>
    <w:p w14:paraId="1ABD0139" w14:textId="6333063E" w:rsidR="005944D3" w:rsidRPr="005944D3" w:rsidRDefault="005944D3" w:rsidP="005944D3">
      <w:pPr>
        <w:spacing w:line="360" w:lineRule="auto"/>
        <w:rPr>
          <w:rFonts w:asciiTheme="majorBidi" w:hAnsiTheme="majorBidi" w:cstheme="majorBidi"/>
          <w:b/>
          <w:bCs/>
        </w:rPr>
      </w:pPr>
      <w:r w:rsidRPr="005944D3">
        <w:rPr>
          <w:rFonts w:asciiTheme="majorBidi" w:hAnsiTheme="majorBidi" w:cstheme="majorBidi"/>
          <w:b/>
          <w:bCs/>
        </w:rPr>
        <w:t>Short-Circuit Current Analysis – Case</w:t>
      </w:r>
      <w:r>
        <w:rPr>
          <w:rFonts w:asciiTheme="majorBidi" w:hAnsiTheme="majorBidi" w:cstheme="majorBidi"/>
          <w:b/>
          <w:bCs/>
        </w:rPr>
        <w:t xml:space="preserve"> 2</w:t>
      </w:r>
    </w:p>
    <w:p w14:paraId="1C635E63" w14:textId="5ECE2EC6" w:rsidR="001D50D3" w:rsidRPr="001D50D3" w:rsidRDefault="001D50D3" w:rsidP="00383034">
      <w:pPr>
        <w:spacing w:line="360" w:lineRule="auto"/>
        <w:jc w:val="both"/>
        <w:rPr>
          <w:rFonts w:asciiTheme="majorBidi" w:hAnsiTheme="majorBidi" w:cstheme="majorBidi"/>
        </w:rPr>
      </w:pPr>
      <w:r w:rsidRPr="001D50D3">
        <w:rPr>
          <w:rFonts w:asciiTheme="majorBidi" w:hAnsiTheme="majorBidi" w:cstheme="majorBidi"/>
        </w:rPr>
        <w:t xml:space="preserve">The simulation of 3-phase short-circuit at Bus 1 and Bus 39 was done in Case 2, a case with a 3 MW PV system and energy storage under higher penetration level. The outcomes, as illustrated in Table </w:t>
      </w:r>
      <w:r w:rsidR="00313345">
        <w:rPr>
          <w:rFonts w:asciiTheme="majorBidi" w:hAnsiTheme="majorBidi" w:cstheme="majorBidi"/>
        </w:rPr>
        <w:t>7</w:t>
      </w:r>
      <w:r w:rsidR="00486A49">
        <w:rPr>
          <w:rFonts w:asciiTheme="majorBidi" w:hAnsiTheme="majorBidi" w:cstheme="majorBidi"/>
        </w:rPr>
        <w:t xml:space="preserve"> </w:t>
      </w:r>
      <w:r w:rsidRPr="001D50D3">
        <w:rPr>
          <w:rFonts w:asciiTheme="majorBidi" w:hAnsiTheme="majorBidi" w:cstheme="majorBidi"/>
        </w:rPr>
        <w:t>indicate a significant increase in the level of fault current, particularly on the low-voltage side.</w:t>
      </w:r>
      <w:r w:rsidR="00383034">
        <w:rPr>
          <w:rFonts w:asciiTheme="majorBidi" w:hAnsiTheme="majorBidi" w:cstheme="majorBidi" w:hint="cs"/>
          <w:rtl/>
        </w:rPr>
        <w:t xml:space="preserve"> </w:t>
      </w:r>
      <w:r w:rsidRPr="001D50D3">
        <w:rPr>
          <w:rFonts w:asciiTheme="majorBidi" w:hAnsiTheme="majorBidi" w:cstheme="majorBidi"/>
        </w:rPr>
        <w:t xml:space="preserve">At Bus 1, the </w:t>
      </w:r>
      <w:proofErr w:type="spellStart"/>
      <w:r w:rsidRPr="001D50D3">
        <w:rPr>
          <w:rFonts w:asciiTheme="majorBidi" w:hAnsiTheme="majorBidi" w:cstheme="majorBidi"/>
        </w:rPr>
        <w:t>ip</w:t>
      </w:r>
      <w:proofErr w:type="spellEnd"/>
      <w:r w:rsidRPr="001D50D3">
        <w:rPr>
          <w:rFonts w:asciiTheme="majorBidi" w:hAnsiTheme="majorBidi" w:cstheme="majorBidi"/>
        </w:rPr>
        <w:t xml:space="preserve"> was 22.236 kA, and the fault current at Ik was 8.800 kA. The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was 9.098 kA, indicating moderate fault levels manageable by standard protection settings at the medium-voltage level.</w:t>
      </w:r>
    </w:p>
    <w:p w14:paraId="5F13F325" w14:textId="29F58557" w:rsidR="003F6B41" w:rsidRDefault="001D50D3" w:rsidP="00313345">
      <w:pPr>
        <w:spacing w:line="360" w:lineRule="auto"/>
        <w:jc w:val="both"/>
        <w:rPr>
          <w:rFonts w:asciiTheme="majorBidi" w:hAnsiTheme="majorBidi" w:cstheme="majorBidi"/>
        </w:rPr>
      </w:pPr>
      <w:r w:rsidRPr="001D50D3">
        <w:rPr>
          <w:rFonts w:asciiTheme="majorBidi" w:hAnsiTheme="majorBidi" w:cstheme="majorBidi"/>
        </w:rPr>
        <w:t xml:space="preserve">On the other hand, Bus 39 experienced much more serious fault levels. Maximum initial current was 159.635 kA and Ik 78.133 kA with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 78.517 kA, indicating high short-circuit stress on this LV bus. This </w:t>
      </w:r>
      <w:r w:rsidR="00486A49" w:rsidRPr="001D50D3">
        <w:rPr>
          <w:rFonts w:asciiTheme="majorBidi" w:hAnsiTheme="majorBidi" w:cstheme="majorBidi"/>
        </w:rPr>
        <w:t>indicates</w:t>
      </w:r>
      <w:r w:rsidRPr="001D50D3">
        <w:rPr>
          <w:rFonts w:asciiTheme="majorBidi" w:hAnsiTheme="majorBidi" w:cstheme="majorBidi"/>
        </w:rPr>
        <w:t xml:space="preserve"> that extra caution may need to be provided in the future for circuit breaker selection, coordination, and fault withstand ratings to Bus 39. This level of short-circuit stress far exceeds normal low-voltage equipment tolerances and warrants prompt attention to breaker size, device withstand levels, and dynamic protection coordination methods at Bus 39.</w:t>
      </w:r>
    </w:p>
    <w:p w14:paraId="6F067593" w14:textId="35613C32" w:rsidR="003F6B41" w:rsidRPr="005944D3" w:rsidRDefault="003F6B41" w:rsidP="003F6B41">
      <w:pPr>
        <w:spacing w:line="360" w:lineRule="auto"/>
        <w:rPr>
          <w:rFonts w:asciiTheme="majorBidi" w:hAnsiTheme="majorBidi" w:cstheme="majorBidi"/>
          <w:b/>
          <w:bCs/>
        </w:rPr>
      </w:pPr>
      <w:r w:rsidRPr="005944D3">
        <w:rPr>
          <w:rFonts w:asciiTheme="majorBidi" w:hAnsiTheme="majorBidi" w:cstheme="majorBidi"/>
          <w:b/>
          <w:bCs/>
        </w:rPr>
        <w:t>Short-Circuit Current Analysis – Case</w:t>
      </w:r>
      <w:r>
        <w:rPr>
          <w:rFonts w:asciiTheme="majorBidi" w:hAnsiTheme="majorBidi" w:cstheme="majorBidi"/>
          <w:b/>
          <w:bCs/>
        </w:rPr>
        <w:t xml:space="preserve"> 3</w:t>
      </w:r>
    </w:p>
    <w:p w14:paraId="47FE4F42" w14:textId="7A1B9C8D" w:rsidR="003F6B41" w:rsidRDefault="003F6B41" w:rsidP="003F6B41">
      <w:pPr>
        <w:spacing w:line="360" w:lineRule="auto"/>
        <w:jc w:val="both"/>
        <w:rPr>
          <w:rFonts w:asciiTheme="majorBidi" w:hAnsiTheme="majorBidi" w:cstheme="majorBidi"/>
        </w:rPr>
      </w:pPr>
      <w:r w:rsidRPr="003F6B41">
        <w:rPr>
          <w:rFonts w:asciiTheme="majorBidi" w:hAnsiTheme="majorBidi" w:cstheme="majorBidi"/>
        </w:rPr>
        <w:t xml:space="preserve">A 3-phase short-circuit simulation was performed at Bus 1 and Bus 39 under Case 3, which represents the scenario with maximum PV and ESS penetration (6 MW PV, 100% integration). The resulting </w:t>
      </w:r>
      <w:r w:rsidR="00486A49" w:rsidRPr="003F6B41">
        <w:rPr>
          <w:rFonts w:asciiTheme="majorBidi" w:hAnsiTheme="majorBidi" w:cstheme="majorBidi"/>
        </w:rPr>
        <w:t>short-circuits</w:t>
      </w:r>
      <w:r w:rsidRPr="003F6B41">
        <w:rPr>
          <w:rFonts w:asciiTheme="majorBidi" w:hAnsiTheme="majorBidi" w:cstheme="majorBidi"/>
        </w:rPr>
        <w:t xml:space="preserve"> </w:t>
      </w:r>
      <w:proofErr w:type="gramStart"/>
      <w:r w:rsidRPr="003F6B41">
        <w:rPr>
          <w:rFonts w:asciiTheme="majorBidi" w:hAnsiTheme="majorBidi" w:cstheme="majorBidi"/>
        </w:rPr>
        <w:t>levels,</w:t>
      </w:r>
      <w:proofErr w:type="gramEnd"/>
      <w:r w:rsidRPr="003F6B41">
        <w:rPr>
          <w:rFonts w:asciiTheme="majorBidi" w:hAnsiTheme="majorBidi" w:cstheme="majorBidi"/>
        </w:rPr>
        <w:t xml:space="preserve"> shown in Table </w:t>
      </w:r>
      <w:r w:rsidR="00313345">
        <w:rPr>
          <w:rFonts w:asciiTheme="majorBidi" w:hAnsiTheme="majorBidi" w:cstheme="majorBidi"/>
        </w:rPr>
        <w:t>7</w:t>
      </w:r>
      <w:r w:rsidRPr="003F6B41">
        <w:rPr>
          <w:rFonts w:asciiTheme="majorBidi" w:hAnsiTheme="majorBidi" w:cstheme="majorBidi"/>
        </w:rPr>
        <w:t xml:space="preserve"> confirm a sharp rise in fault stress, especially at the low-voltage level.</w:t>
      </w:r>
    </w:p>
    <w:p w14:paraId="0B59866F" w14:textId="69F687C2" w:rsidR="001D50D3" w:rsidRDefault="001D50D3" w:rsidP="003F6B41">
      <w:pPr>
        <w:spacing w:line="360" w:lineRule="auto"/>
        <w:jc w:val="both"/>
        <w:rPr>
          <w:rFonts w:asciiTheme="majorBidi" w:hAnsiTheme="majorBidi" w:cstheme="majorBidi"/>
        </w:rPr>
      </w:pPr>
      <w:r w:rsidRPr="001D50D3">
        <w:rPr>
          <w:rFonts w:asciiTheme="majorBidi" w:hAnsiTheme="majorBidi" w:cstheme="majorBidi"/>
        </w:rPr>
        <w:t xml:space="preserve">In Bus 1, the </w:t>
      </w:r>
      <w:proofErr w:type="spellStart"/>
      <w:r w:rsidRPr="001D50D3">
        <w:rPr>
          <w:rFonts w:asciiTheme="majorBidi" w:hAnsiTheme="majorBidi" w:cstheme="majorBidi"/>
        </w:rPr>
        <w:t>ip</w:t>
      </w:r>
      <w:proofErr w:type="spellEnd"/>
      <w:r w:rsidRPr="001D50D3">
        <w:rPr>
          <w:rFonts w:asciiTheme="majorBidi" w:hAnsiTheme="majorBidi" w:cstheme="majorBidi"/>
        </w:rPr>
        <w:t xml:space="preserve"> was 22.309 kA, and Ik was 8.748 kA. </w:t>
      </w:r>
      <w:proofErr w:type="spellStart"/>
      <w:r w:rsidRPr="001D50D3">
        <w:rPr>
          <w:rFonts w:asciiTheme="majorBidi" w:hAnsiTheme="majorBidi" w:cstheme="majorBidi"/>
        </w:rPr>
        <w:t>I″k</w:t>
      </w:r>
      <w:proofErr w:type="spellEnd"/>
      <w:r w:rsidRPr="001D50D3">
        <w:rPr>
          <w:rFonts w:asciiTheme="majorBidi" w:hAnsiTheme="majorBidi" w:cstheme="majorBidi"/>
        </w:rPr>
        <w:t xml:space="preserve"> was 9.150 kA, which indicated medium levels of faults within the range of standard settings on the medium-voltage level.</w:t>
      </w:r>
    </w:p>
    <w:p w14:paraId="53E9D7C0" w14:textId="572396B5" w:rsidR="003F6B41" w:rsidRPr="003F6B41" w:rsidRDefault="003F6B41" w:rsidP="003F6B41">
      <w:pPr>
        <w:spacing w:line="360" w:lineRule="auto"/>
        <w:jc w:val="both"/>
        <w:rPr>
          <w:rFonts w:asciiTheme="majorBidi" w:hAnsiTheme="majorBidi" w:cstheme="majorBidi"/>
        </w:rPr>
      </w:pPr>
      <w:r w:rsidRPr="005944D3">
        <w:rPr>
          <w:rFonts w:asciiTheme="majorBidi" w:hAnsiTheme="majorBidi" w:cstheme="majorBidi"/>
        </w:rPr>
        <w:t xml:space="preserve">In contrast, Bus 39 experienced a significantly higher fault level. The initial peak current was </w:t>
      </w:r>
      <w:proofErr w:type="gramStart"/>
      <w:r w:rsidRPr="003F6B41">
        <w:rPr>
          <w:rFonts w:asciiTheme="majorBidi" w:hAnsiTheme="majorBidi" w:cstheme="majorBidi"/>
        </w:rPr>
        <w:t xml:space="preserve">252.154 </w:t>
      </w:r>
      <w:r>
        <w:rPr>
          <w:rFonts w:asciiTheme="majorBidi" w:hAnsiTheme="majorBidi" w:cstheme="majorBidi"/>
        </w:rPr>
        <w:t xml:space="preserve"> </w:t>
      </w:r>
      <w:r w:rsidRPr="005944D3">
        <w:rPr>
          <w:rFonts w:asciiTheme="majorBidi" w:hAnsiTheme="majorBidi" w:cstheme="majorBidi"/>
        </w:rPr>
        <w:t>kA</w:t>
      </w:r>
      <w:proofErr w:type="gramEnd"/>
      <w:r w:rsidRPr="005944D3">
        <w:rPr>
          <w:rFonts w:asciiTheme="majorBidi" w:hAnsiTheme="majorBidi" w:cstheme="majorBidi"/>
        </w:rPr>
        <w:t xml:space="preserve">, and Ik was </w:t>
      </w:r>
      <w:r w:rsidRPr="003F6B41">
        <w:rPr>
          <w:rFonts w:asciiTheme="majorBidi" w:hAnsiTheme="majorBidi" w:cstheme="majorBidi"/>
        </w:rPr>
        <w:t>116.017</w:t>
      </w:r>
      <w:r w:rsidRPr="005944D3">
        <w:rPr>
          <w:rFonts w:asciiTheme="majorBidi" w:hAnsiTheme="majorBidi" w:cstheme="majorBidi"/>
        </w:rPr>
        <w:t xml:space="preserve"> kA, with a </w:t>
      </w:r>
      <w:proofErr w:type="spellStart"/>
      <w:r w:rsidRPr="005944D3">
        <w:rPr>
          <w:rFonts w:asciiTheme="majorBidi" w:hAnsiTheme="majorBidi" w:cstheme="majorBidi"/>
        </w:rPr>
        <w:t>I″k</w:t>
      </w:r>
      <w:proofErr w:type="spellEnd"/>
      <w:r w:rsidRPr="005944D3">
        <w:rPr>
          <w:rFonts w:asciiTheme="majorBidi" w:hAnsiTheme="majorBidi" w:cstheme="majorBidi"/>
        </w:rPr>
        <w:t xml:space="preserve"> of </w:t>
      </w:r>
      <w:r w:rsidRPr="003F6B41">
        <w:rPr>
          <w:rFonts w:asciiTheme="majorBidi" w:hAnsiTheme="majorBidi" w:cstheme="majorBidi"/>
        </w:rPr>
        <w:t>125.342</w:t>
      </w:r>
      <w:r>
        <w:rPr>
          <w:rFonts w:asciiTheme="majorBidi" w:hAnsiTheme="majorBidi" w:cstheme="majorBidi"/>
        </w:rPr>
        <w:t xml:space="preserve"> </w:t>
      </w:r>
      <w:r w:rsidRPr="005944D3">
        <w:rPr>
          <w:rFonts w:asciiTheme="majorBidi" w:hAnsiTheme="majorBidi" w:cstheme="majorBidi"/>
        </w:rPr>
        <w:t xml:space="preserve">kA, reflecting substantial </w:t>
      </w:r>
      <w:r w:rsidRPr="005944D3">
        <w:rPr>
          <w:rFonts w:asciiTheme="majorBidi" w:hAnsiTheme="majorBidi" w:cstheme="majorBidi"/>
        </w:rPr>
        <w:lastRenderedPageBreak/>
        <w:t xml:space="preserve">short-circuit stress on this low-voltage bus. </w:t>
      </w:r>
      <w:r w:rsidRPr="003F6B41">
        <w:rPr>
          <w:rFonts w:asciiTheme="majorBidi" w:hAnsiTheme="majorBidi" w:cstheme="majorBidi"/>
        </w:rPr>
        <w:t>These values far exceed standard equipment ratings and clearly indicate device overstress under current configurations.</w:t>
      </w:r>
    </w:p>
    <w:p w14:paraId="4D06D20B" w14:textId="77777777" w:rsidR="003F6B41" w:rsidRPr="003F6B41" w:rsidRDefault="003F6B41" w:rsidP="003F6B41">
      <w:pPr>
        <w:spacing w:line="360" w:lineRule="auto"/>
        <w:jc w:val="both"/>
        <w:rPr>
          <w:rFonts w:asciiTheme="majorBidi" w:hAnsiTheme="majorBidi" w:cstheme="majorBidi"/>
        </w:rPr>
      </w:pPr>
      <w:r w:rsidRPr="003F6B41">
        <w:rPr>
          <w:rFonts w:asciiTheme="majorBidi" w:hAnsiTheme="majorBidi" w:cstheme="majorBidi"/>
        </w:rPr>
        <w:t>Given this magnitude, immediate attention is warranted to revise protection coordination, verify circuit breaker withstand ratings, and possibly redesign LV panels and isolation systems to accommodate the substantial increase in available fault current at Bus 39.</w:t>
      </w:r>
    </w:p>
    <w:p w14:paraId="036E49EF" w14:textId="6D79D634" w:rsidR="009303C5" w:rsidRPr="009303C5" w:rsidRDefault="00D42B85" w:rsidP="009303C5">
      <w:pPr>
        <w:spacing w:line="240" w:lineRule="auto"/>
        <w:jc w:val="both"/>
        <w:rPr>
          <w:rFonts w:asciiTheme="majorBidi" w:hAnsiTheme="majorBidi" w:cstheme="majorBidi"/>
          <w:b/>
          <w:bCs/>
          <w:sz w:val="22"/>
          <w:szCs w:val="22"/>
        </w:rPr>
      </w:pPr>
      <w:r w:rsidRPr="009303C5">
        <w:rPr>
          <w:rFonts w:asciiTheme="majorBidi" w:hAnsiTheme="majorBidi" w:cstheme="majorBidi"/>
          <w:b/>
          <w:bCs/>
          <w:sz w:val="22"/>
          <w:szCs w:val="22"/>
        </w:rPr>
        <w:t xml:space="preserve">Table </w:t>
      </w:r>
      <w:r w:rsidR="00313345">
        <w:rPr>
          <w:rFonts w:asciiTheme="majorBidi" w:hAnsiTheme="majorBidi" w:cstheme="majorBidi"/>
          <w:b/>
          <w:bCs/>
          <w:sz w:val="22"/>
          <w:szCs w:val="22"/>
        </w:rPr>
        <w:t>7</w:t>
      </w:r>
    </w:p>
    <w:p w14:paraId="26A36208" w14:textId="45EEF336" w:rsidR="003F6B41" w:rsidRPr="009303C5" w:rsidRDefault="00D42B85" w:rsidP="009303C5">
      <w:pPr>
        <w:spacing w:line="240" w:lineRule="auto"/>
        <w:jc w:val="both"/>
        <w:rPr>
          <w:rFonts w:asciiTheme="majorBidi" w:hAnsiTheme="majorBidi" w:cstheme="majorBidi"/>
          <w:i/>
          <w:iCs/>
          <w:sz w:val="22"/>
          <w:szCs w:val="22"/>
        </w:rPr>
      </w:pPr>
      <w:r w:rsidRPr="009303C5">
        <w:rPr>
          <w:rFonts w:asciiTheme="majorBidi" w:hAnsiTheme="majorBidi" w:cstheme="majorBidi"/>
          <w:i/>
          <w:iCs/>
          <w:sz w:val="22"/>
          <w:szCs w:val="22"/>
        </w:rPr>
        <w:t xml:space="preserve">Short-Circuit Simulation Results </w:t>
      </w:r>
      <w:r w:rsidR="009303C5" w:rsidRPr="009303C5">
        <w:rPr>
          <w:rFonts w:asciiTheme="majorBidi" w:hAnsiTheme="majorBidi" w:cstheme="majorBidi"/>
          <w:i/>
          <w:iCs/>
          <w:sz w:val="22"/>
          <w:szCs w:val="22"/>
        </w:rPr>
        <w:t xml:space="preserve">for </w:t>
      </w:r>
      <w:r w:rsidR="00313345">
        <w:rPr>
          <w:rFonts w:asciiTheme="majorBidi" w:hAnsiTheme="majorBidi" w:cstheme="majorBidi"/>
          <w:i/>
          <w:iCs/>
          <w:sz w:val="22"/>
          <w:szCs w:val="22"/>
        </w:rPr>
        <w:t>all cases</w:t>
      </w:r>
    </w:p>
    <w:tbl>
      <w:tblPr>
        <w:tblStyle w:val="PlainTable3"/>
        <w:tblW w:w="7558" w:type="dxa"/>
        <w:jc w:val="center"/>
        <w:tblLayout w:type="fixed"/>
        <w:tblLook w:val="04A0" w:firstRow="1" w:lastRow="0" w:firstColumn="1" w:lastColumn="0" w:noHBand="0" w:noVBand="1"/>
      </w:tblPr>
      <w:tblGrid>
        <w:gridCol w:w="1016"/>
        <w:gridCol w:w="1016"/>
        <w:gridCol w:w="1958"/>
        <w:gridCol w:w="1166"/>
        <w:gridCol w:w="1236"/>
        <w:gridCol w:w="1166"/>
      </w:tblGrid>
      <w:tr w:rsidR="00313345" w:rsidRPr="009303C5" w14:paraId="053E66F3" w14:textId="77777777" w:rsidTr="00313345">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016" w:type="dxa"/>
            <w:tcBorders>
              <w:top w:val="single" w:sz="4" w:space="0" w:color="auto"/>
            </w:tcBorders>
          </w:tcPr>
          <w:p w14:paraId="6578C5DC" w14:textId="7F30790A" w:rsidR="00313345" w:rsidRPr="009303C5" w:rsidRDefault="00313345" w:rsidP="00313345">
            <w:pPr>
              <w:spacing w:after="160" w:line="360" w:lineRule="auto"/>
              <w:rPr>
                <w:rFonts w:asciiTheme="majorBidi" w:hAnsiTheme="majorBidi" w:cstheme="majorBidi"/>
                <w:sz w:val="22"/>
                <w:szCs w:val="22"/>
              </w:rPr>
            </w:pPr>
            <w:r>
              <w:rPr>
                <w:rFonts w:asciiTheme="majorBidi" w:hAnsiTheme="majorBidi" w:cstheme="majorBidi"/>
                <w:sz w:val="22"/>
                <w:szCs w:val="22"/>
              </w:rPr>
              <w:t>Case</w:t>
            </w:r>
          </w:p>
        </w:tc>
        <w:tc>
          <w:tcPr>
            <w:tcW w:w="1016" w:type="dxa"/>
            <w:tcBorders>
              <w:top w:val="single" w:sz="4" w:space="0" w:color="auto"/>
            </w:tcBorders>
            <w:hideMark/>
          </w:tcPr>
          <w:p w14:paraId="64F496A2" w14:textId="24838B03" w:rsidR="00313345" w:rsidRPr="009303C5" w:rsidRDefault="00313345" w:rsidP="00313345">
            <w:pPr>
              <w:spacing w:after="160"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Bus ID</w:t>
            </w:r>
          </w:p>
        </w:tc>
        <w:tc>
          <w:tcPr>
            <w:tcW w:w="1958" w:type="dxa"/>
            <w:tcBorders>
              <w:top w:val="single" w:sz="4" w:space="0" w:color="auto"/>
            </w:tcBorders>
            <w:hideMark/>
          </w:tcPr>
          <w:p w14:paraId="1643BADE" w14:textId="77777777" w:rsidR="00313345" w:rsidRPr="009303C5" w:rsidRDefault="00313345" w:rsidP="00313345">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Voltage (kV)</w:t>
            </w:r>
          </w:p>
        </w:tc>
        <w:tc>
          <w:tcPr>
            <w:tcW w:w="1166" w:type="dxa"/>
            <w:tcBorders>
              <w:top w:val="single" w:sz="4" w:space="0" w:color="auto"/>
            </w:tcBorders>
            <w:hideMark/>
          </w:tcPr>
          <w:p w14:paraId="3F648D59" w14:textId="77777777" w:rsidR="00313345" w:rsidRPr="009303C5" w:rsidRDefault="00313345" w:rsidP="00313345">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ip (kA)</w:t>
            </w:r>
          </w:p>
        </w:tc>
        <w:tc>
          <w:tcPr>
            <w:tcW w:w="1236" w:type="dxa"/>
            <w:tcBorders>
              <w:top w:val="single" w:sz="4" w:space="0" w:color="auto"/>
            </w:tcBorders>
            <w:hideMark/>
          </w:tcPr>
          <w:p w14:paraId="0F8F59BD" w14:textId="77777777" w:rsidR="00313345" w:rsidRPr="009303C5" w:rsidRDefault="00313345" w:rsidP="00313345">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I″k (kA)</w:t>
            </w:r>
          </w:p>
        </w:tc>
        <w:tc>
          <w:tcPr>
            <w:tcW w:w="1166" w:type="dxa"/>
            <w:tcBorders>
              <w:top w:val="single" w:sz="4" w:space="0" w:color="auto"/>
            </w:tcBorders>
            <w:hideMark/>
          </w:tcPr>
          <w:p w14:paraId="0972694D" w14:textId="38CB7159" w:rsidR="00313345" w:rsidRPr="009303C5" w:rsidRDefault="00313345" w:rsidP="00313345">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Pr>
                <w:rFonts w:asciiTheme="majorBidi" w:hAnsiTheme="majorBidi" w:cstheme="majorBidi"/>
                <w:sz w:val="22"/>
                <w:szCs w:val="22"/>
              </w:rPr>
              <w:t>IK</w:t>
            </w:r>
            <w:r w:rsidRPr="009303C5">
              <w:rPr>
                <w:rFonts w:asciiTheme="majorBidi" w:hAnsiTheme="majorBidi" w:cstheme="majorBidi"/>
                <w:sz w:val="22"/>
                <w:szCs w:val="22"/>
              </w:rPr>
              <w:t xml:space="preserve"> (kA)</w:t>
            </w:r>
          </w:p>
        </w:tc>
      </w:tr>
      <w:tr w:rsidR="00313345" w:rsidRPr="009303C5" w14:paraId="0186FE9E" w14:textId="77777777" w:rsidTr="0031334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6" w:type="dxa"/>
            <w:vMerge w:val="restart"/>
          </w:tcPr>
          <w:p w14:paraId="1885DF9A" w14:textId="01A0773D" w:rsidR="00313345" w:rsidRPr="00486A49" w:rsidRDefault="00313345" w:rsidP="00313345">
            <w:pPr>
              <w:spacing w:after="160" w:line="360" w:lineRule="auto"/>
              <w:rPr>
                <w:rFonts w:asciiTheme="majorBidi" w:hAnsiTheme="majorBidi" w:cstheme="majorBidi"/>
                <w:sz w:val="22"/>
                <w:szCs w:val="22"/>
              </w:rPr>
            </w:pPr>
            <w:r>
              <w:rPr>
                <w:rFonts w:asciiTheme="majorBidi" w:hAnsiTheme="majorBidi" w:cstheme="majorBidi"/>
                <w:sz w:val="22"/>
                <w:szCs w:val="22"/>
              </w:rPr>
              <w:t>Case 0</w:t>
            </w:r>
          </w:p>
        </w:tc>
        <w:tc>
          <w:tcPr>
            <w:tcW w:w="1016" w:type="dxa"/>
          </w:tcPr>
          <w:p w14:paraId="46001FB1" w14:textId="654B659B" w:rsidR="00313345" w:rsidRPr="009303C5" w:rsidRDefault="00313345" w:rsidP="00313345">
            <w:pPr>
              <w:spacing w:after="160"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Bus 1</w:t>
            </w:r>
          </w:p>
        </w:tc>
        <w:tc>
          <w:tcPr>
            <w:tcW w:w="1958" w:type="dxa"/>
          </w:tcPr>
          <w:p w14:paraId="0DCC919C" w14:textId="07C3950A"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33.000</w:t>
            </w:r>
          </w:p>
        </w:tc>
        <w:tc>
          <w:tcPr>
            <w:tcW w:w="1166" w:type="dxa"/>
          </w:tcPr>
          <w:p w14:paraId="7BFACC02" w14:textId="753961BE"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22.187</w:t>
            </w:r>
          </w:p>
        </w:tc>
        <w:tc>
          <w:tcPr>
            <w:tcW w:w="1236" w:type="dxa"/>
          </w:tcPr>
          <w:p w14:paraId="5F716DB9" w14:textId="3567BEAF"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8.765</w:t>
            </w:r>
          </w:p>
        </w:tc>
        <w:tc>
          <w:tcPr>
            <w:tcW w:w="1166" w:type="dxa"/>
          </w:tcPr>
          <w:p w14:paraId="1D8B3BEF" w14:textId="680B1644"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9.063</w:t>
            </w:r>
          </w:p>
        </w:tc>
      </w:tr>
      <w:tr w:rsidR="00313345" w:rsidRPr="009303C5" w14:paraId="4552FE28" w14:textId="77777777" w:rsidTr="00313345">
        <w:trPr>
          <w:jc w:val="center"/>
        </w:trPr>
        <w:tc>
          <w:tcPr>
            <w:cnfStyle w:val="001000000000" w:firstRow="0" w:lastRow="0" w:firstColumn="1" w:lastColumn="0" w:oddVBand="0" w:evenVBand="0" w:oddHBand="0" w:evenHBand="0" w:firstRowFirstColumn="0" w:firstRowLastColumn="0" w:lastRowFirstColumn="0" w:lastRowLastColumn="0"/>
            <w:tcW w:w="1016" w:type="dxa"/>
            <w:vMerge/>
          </w:tcPr>
          <w:p w14:paraId="3DDB691D" w14:textId="77777777" w:rsidR="00313345" w:rsidRPr="00486A49" w:rsidRDefault="00313345" w:rsidP="00313345">
            <w:pPr>
              <w:spacing w:after="160" w:line="360" w:lineRule="auto"/>
              <w:rPr>
                <w:rFonts w:asciiTheme="majorBidi" w:hAnsiTheme="majorBidi" w:cstheme="majorBidi"/>
                <w:sz w:val="22"/>
                <w:szCs w:val="22"/>
              </w:rPr>
            </w:pPr>
          </w:p>
        </w:tc>
        <w:tc>
          <w:tcPr>
            <w:tcW w:w="1016" w:type="dxa"/>
          </w:tcPr>
          <w:p w14:paraId="32E2AF1E" w14:textId="62DFC6D3" w:rsidR="00313345" w:rsidRPr="009303C5" w:rsidRDefault="00313345" w:rsidP="00313345">
            <w:pPr>
              <w:spacing w:after="160" w:line="36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Bus 39</w:t>
            </w:r>
          </w:p>
        </w:tc>
        <w:tc>
          <w:tcPr>
            <w:tcW w:w="1958" w:type="dxa"/>
          </w:tcPr>
          <w:p w14:paraId="3D64E2D3" w14:textId="28D763B2"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0.400</w:t>
            </w:r>
          </w:p>
        </w:tc>
        <w:tc>
          <w:tcPr>
            <w:tcW w:w="1166" w:type="dxa"/>
          </w:tcPr>
          <w:p w14:paraId="625E7E39" w14:textId="6A186227"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29.937</w:t>
            </w:r>
          </w:p>
        </w:tc>
        <w:tc>
          <w:tcPr>
            <w:tcW w:w="1236" w:type="dxa"/>
          </w:tcPr>
          <w:p w14:paraId="5E1D3077" w14:textId="447A5EBD"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14.780</w:t>
            </w:r>
          </w:p>
        </w:tc>
        <w:tc>
          <w:tcPr>
            <w:tcW w:w="1166" w:type="dxa"/>
          </w:tcPr>
          <w:p w14:paraId="20D92451" w14:textId="25915A12"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486A49">
              <w:rPr>
                <w:rFonts w:asciiTheme="majorBidi" w:hAnsiTheme="majorBidi" w:cstheme="majorBidi"/>
                <w:sz w:val="22"/>
                <w:szCs w:val="22"/>
              </w:rPr>
              <w:t>14.793</w:t>
            </w:r>
          </w:p>
        </w:tc>
      </w:tr>
      <w:tr w:rsidR="00313345" w:rsidRPr="009303C5" w14:paraId="64D2289F" w14:textId="77777777" w:rsidTr="0031334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6" w:type="dxa"/>
            <w:vMerge w:val="restart"/>
          </w:tcPr>
          <w:p w14:paraId="636585FA" w14:textId="040B035B" w:rsidR="00313345" w:rsidRPr="00486A49" w:rsidRDefault="00313345" w:rsidP="00313345">
            <w:pPr>
              <w:spacing w:after="160" w:line="360" w:lineRule="auto"/>
              <w:rPr>
                <w:rFonts w:asciiTheme="majorBidi" w:hAnsiTheme="majorBidi" w:cstheme="majorBidi"/>
                <w:sz w:val="22"/>
                <w:szCs w:val="22"/>
              </w:rPr>
            </w:pPr>
            <w:r>
              <w:rPr>
                <w:sz w:val="22"/>
                <w:szCs w:val="22"/>
              </w:rPr>
              <w:t>Case 1</w:t>
            </w:r>
          </w:p>
        </w:tc>
        <w:tc>
          <w:tcPr>
            <w:tcW w:w="1016" w:type="dxa"/>
          </w:tcPr>
          <w:p w14:paraId="535F7479" w14:textId="255C5CEC" w:rsidR="00313345" w:rsidRPr="009303C5" w:rsidRDefault="00313345" w:rsidP="00313345">
            <w:pPr>
              <w:spacing w:after="160" w:line="360" w:lineRule="auto"/>
              <w:cnfStyle w:val="000000100000" w:firstRow="0" w:lastRow="0" w:firstColumn="0" w:lastColumn="0" w:oddVBand="0" w:evenVBand="0" w:oddHBand="1" w:evenHBand="0" w:firstRowFirstColumn="0" w:firstRowLastColumn="0" w:lastRowFirstColumn="0" w:lastRowLastColumn="0"/>
              <w:rPr>
                <w:sz w:val="22"/>
                <w:szCs w:val="22"/>
              </w:rPr>
            </w:pPr>
            <w:r w:rsidRPr="00486A49">
              <w:rPr>
                <w:rFonts w:asciiTheme="majorBidi" w:hAnsiTheme="majorBidi" w:cstheme="majorBidi"/>
                <w:sz w:val="22"/>
                <w:szCs w:val="22"/>
              </w:rPr>
              <w:t>Bus 1</w:t>
            </w:r>
          </w:p>
        </w:tc>
        <w:tc>
          <w:tcPr>
            <w:tcW w:w="1958" w:type="dxa"/>
          </w:tcPr>
          <w:p w14:paraId="1004359A" w14:textId="68A6E7B9"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rFonts w:asciiTheme="majorBidi" w:hAnsiTheme="majorBidi" w:cstheme="majorBidi"/>
                <w:sz w:val="22"/>
                <w:szCs w:val="22"/>
              </w:rPr>
              <w:t>33.000</w:t>
            </w:r>
          </w:p>
        </w:tc>
        <w:tc>
          <w:tcPr>
            <w:tcW w:w="1166" w:type="dxa"/>
          </w:tcPr>
          <w:p w14:paraId="0C892127" w14:textId="6614A408"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rFonts w:asciiTheme="majorBidi" w:hAnsiTheme="majorBidi" w:cstheme="majorBidi"/>
                <w:sz w:val="22"/>
                <w:szCs w:val="22"/>
              </w:rPr>
              <w:t>22.187</w:t>
            </w:r>
          </w:p>
        </w:tc>
        <w:tc>
          <w:tcPr>
            <w:tcW w:w="1236" w:type="dxa"/>
          </w:tcPr>
          <w:p w14:paraId="03C97E3C" w14:textId="40E5C277"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rFonts w:asciiTheme="majorBidi" w:hAnsiTheme="majorBidi" w:cstheme="majorBidi"/>
                <w:sz w:val="22"/>
                <w:szCs w:val="22"/>
              </w:rPr>
              <w:t>8.765</w:t>
            </w:r>
          </w:p>
        </w:tc>
        <w:tc>
          <w:tcPr>
            <w:tcW w:w="1166" w:type="dxa"/>
          </w:tcPr>
          <w:p w14:paraId="63FC6596" w14:textId="496216DD"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486A49">
              <w:rPr>
                <w:rFonts w:asciiTheme="majorBidi" w:hAnsiTheme="majorBidi" w:cstheme="majorBidi"/>
                <w:sz w:val="22"/>
                <w:szCs w:val="22"/>
              </w:rPr>
              <w:t>9.063</w:t>
            </w:r>
          </w:p>
        </w:tc>
      </w:tr>
      <w:tr w:rsidR="00313345" w:rsidRPr="009303C5" w14:paraId="16764C72" w14:textId="77777777" w:rsidTr="00313345">
        <w:trPr>
          <w:jc w:val="center"/>
        </w:trPr>
        <w:tc>
          <w:tcPr>
            <w:cnfStyle w:val="001000000000" w:firstRow="0" w:lastRow="0" w:firstColumn="1" w:lastColumn="0" w:oddVBand="0" w:evenVBand="0" w:oddHBand="0" w:evenHBand="0" w:firstRowFirstColumn="0" w:firstRowLastColumn="0" w:lastRowFirstColumn="0" w:lastRowLastColumn="0"/>
            <w:tcW w:w="1016" w:type="dxa"/>
            <w:vMerge/>
          </w:tcPr>
          <w:p w14:paraId="2D6D1F7B" w14:textId="77777777" w:rsidR="00313345" w:rsidRPr="00486A49" w:rsidRDefault="00313345" w:rsidP="00313345">
            <w:pPr>
              <w:spacing w:after="160" w:line="360" w:lineRule="auto"/>
              <w:rPr>
                <w:rFonts w:asciiTheme="majorBidi" w:hAnsiTheme="majorBidi" w:cstheme="majorBidi"/>
                <w:sz w:val="22"/>
                <w:szCs w:val="22"/>
              </w:rPr>
            </w:pPr>
          </w:p>
        </w:tc>
        <w:tc>
          <w:tcPr>
            <w:tcW w:w="1016" w:type="dxa"/>
          </w:tcPr>
          <w:p w14:paraId="2C2BA734" w14:textId="48D1A328" w:rsidR="00313345" w:rsidRPr="009303C5" w:rsidRDefault="00313345" w:rsidP="00313345">
            <w:pPr>
              <w:spacing w:after="160"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486A49">
              <w:rPr>
                <w:rFonts w:asciiTheme="majorBidi" w:hAnsiTheme="majorBidi" w:cstheme="majorBidi"/>
                <w:sz w:val="22"/>
                <w:szCs w:val="22"/>
              </w:rPr>
              <w:t>Bus 39</w:t>
            </w:r>
          </w:p>
        </w:tc>
        <w:tc>
          <w:tcPr>
            <w:tcW w:w="1958" w:type="dxa"/>
          </w:tcPr>
          <w:p w14:paraId="21BA4BB0" w14:textId="3DD09293"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rFonts w:asciiTheme="majorBidi" w:hAnsiTheme="majorBidi" w:cstheme="majorBidi"/>
                <w:sz w:val="22"/>
                <w:szCs w:val="22"/>
              </w:rPr>
              <w:t>0.400</w:t>
            </w:r>
          </w:p>
        </w:tc>
        <w:tc>
          <w:tcPr>
            <w:tcW w:w="1166" w:type="dxa"/>
          </w:tcPr>
          <w:p w14:paraId="02F65198" w14:textId="0593F7AF"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rFonts w:asciiTheme="majorBidi" w:hAnsiTheme="majorBidi" w:cstheme="majorBidi"/>
                <w:sz w:val="22"/>
                <w:szCs w:val="22"/>
              </w:rPr>
              <w:t>29.937</w:t>
            </w:r>
          </w:p>
        </w:tc>
        <w:tc>
          <w:tcPr>
            <w:tcW w:w="1236" w:type="dxa"/>
          </w:tcPr>
          <w:p w14:paraId="3EA4DF9A" w14:textId="1891A5BB"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rFonts w:asciiTheme="majorBidi" w:hAnsiTheme="majorBidi" w:cstheme="majorBidi"/>
                <w:sz w:val="22"/>
                <w:szCs w:val="22"/>
              </w:rPr>
              <w:t>14.780</w:t>
            </w:r>
          </w:p>
        </w:tc>
        <w:tc>
          <w:tcPr>
            <w:tcW w:w="1166" w:type="dxa"/>
          </w:tcPr>
          <w:p w14:paraId="5622F74E" w14:textId="268FB068"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486A49">
              <w:rPr>
                <w:rFonts w:asciiTheme="majorBidi" w:hAnsiTheme="majorBidi" w:cstheme="majorBidi"/>
                <w:sz w:val="22"/>
                <w:szCs w:val="22"/>
              </w:rPr>
              <w:t>14.793</w:t>
            </w:r>
          </w:p>
        </w:tc>
      </w:tr>
      <w:tr w:rsidR="00313345" w:rsidRPr="009303C5" w14:paraId="23E50C2A" w14:textId="77777777" w:rsidTr="0031334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6" w:type="dxa"/>
            <w:vMerge w:val="restart"/>
          </w:tcPr>
          <w:p w14:paraId="74D2AFF4" w14:textId="358C6345" w:rsidR="00313345" w:rsidRPr="006D36FA" w:rsidRDefault="00313345" w:rsidP="00313345">
            <w:pPr>
              <w:spacing w:after="160" w:line="360" w:lineRule="auto"/>
              <w:rPr>
                <w:sz w:val="22"/>
                <w:szCs w:val="22"/>
              </w:rPr>
            </w:pPr>
            <w:r>
              <w:rPr>
                <w:sz w:val="22"/>
                <w:szCs w:val="22"/>
              </w:rPr>
              <w:t>Case 2</w:t>
            </w:r>
          </w:p>
        </w:tc>
        <w:tc>
          <w:tcPr>
            <w:tcW w:w="1016" w:type="dxa"/>
          </w:tcPr>
          <w:p w14:paraId="2F32B9C0" w14:textId="4E5D8561" w:rsidR="00313345" w:rsidRPr="009303C5" w:rsidRDefault="00313345" w:rsidP="00313345">
            <w:pPr>
              <w:spacing w:after="160" w:line="360" w:lineRule="auto"/>
              <w:cnfStyle w:val="000000100000" w:firstRow="0" w:lastRow="0" w:firstColumn="0" w:lastColumn="0" w:oddVBand="0" w:evenVBand="0" w:oddHBand="1" w:evenHBand="0" w:firstRowFirstColumn="0" w:firstRowLastColumn="0" w:lastRowFirstColumn="0" w:lastRowLastColumn="0"/>
              <w:rPr>
                <w:sz w:val="22"/>
                <w:szCs w:val="22"/>
              </w:rPr>
            </w:pPr>
            <w:r w:rsidRPr="006D36FA">
              <w:rPr>
                <w:sz w:val="22"/>
                <w:szCs w:val="22"/>
              </w:rPr>
              <w:t>Bus 1</w:t>
            </w:r>
          </w:p>
        </w:tc>
        <w:tc>
          <w:tcPr>
            <w:tcW w:w="1958" w:type="dxa"/>
          </w:tcPr>
          <w:p w14:paraId="480CCA79" w14:textId="2BFC04D3"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6D36FA">
              <w:rPr>
                <w:sz w:val="22"/>
                <w:szCs w:val="22"/>
              </w:rPr>
              <w:t>33.000</w:t>
            </w:r>
          </w:p>
        </w:tc>
        <w:tc>
          <w:tcPr>
            <w:tcW w:w="1166" w:type="dxa"/>
          </w:tcPr>
          <w:p w14:paraId="2DC067FD" w14:textId="72361599"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6D36FA">
              <w:rPr>
                <w:sz w:val="22"/>
                <w:szCs w:val="22"/>
              </w:rPr>
              <w:t>22.236</w:t>
            </w:r>
            <w:r>
              <w:rPr>
                <w:sz w:val="22"/>
                <w:szCs w:val="22"/>
              </w:rPr>
              <w:t xml:space="preserve"> </w:t>
            </w:r>
            <w:r>
              <w:rPr>
                <w:sz w:val="22"/>
                <w:szCs w:val="22"/>
              </w:rPr>
              <w:br/>
              <w:t>(+0.22%)</w:t>
            </w:r>
          </w:p>
        </w:tc>
        <w:tc>
          <w:tcPr>
            <w:tcW w:w="1236" w:type="dxa"/>
          </w:tcPr>
          <w:p w14:paraId="49621B31" w14:textId="1FE7790F"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6D36FA">
              <w:rPr>
                <w:sz w:val="22"/>
                <w:szCs w:val="22"/>
              </w:rPr>
              <w:t>8.800</w:t>
            </w:r>
            <w:r>
              <w:rPr>
                <w:sz w:val="22"/>
                <w:szCs w:val="22"/>
              </w:rPr>
              <w:t xml:space="preserve"> </w:t>
            </w:r>
            <w:r>
              <w:rPr>
                <w:sz w:val="22"/>
                <w:szCs w:val="22"/>
              </w:rPr>
              <w:br/>
              <w:t>(+0.4%)</w:t>
            </w:r>
          </w:p>
        </w:tc>
        <w:tc>
          <w:tcPr>
            <w:tcW w:w="1166" w:type="dxa"/>
          </w:tcPr>
          <w:p w14:paraId="53BA0F2D" w14:textId="0E1BEC46"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6D36FA">
              <w:rPr>
                <w:sz w:val="22"/>
                <w:szCs w:val="22"/>
              </w:rPr>
              <w:t>9.098</w:t>
            </w:r>
            <w:r>
              <w:rPr>
                <w:sz w:val="22"/>
                <w:szCs w:val="22"/>
              </w:rPr>
              <w:t xml:space="preserve"> </w:t>
            </w:r>
            <w:r>
              <w:rPr>
                <w:sz w:val="22"/>
                <w:szCs w:val="22"/>
              </w:rPr>
              <w:br/>
              <w:t>(+0.39%)</w:t>
            </w:r>
          </w:p>
        </w:tc>
      </w:tr>
      <w:tr w:rsidR="00313345" w:rsidRPr="009303C5" w14:paraId="186DC91D" w14:textId="77777777" w:rsidTr="00313345">
        <w:trPr>
          <w:jc w:val="center"/>
        </w:trPr>
        <w:tc>
          <w:tcPr>
            <w:cnfStyle w:val="001000000000" w:firstRow="0" w:lastRow="0" w:firstColumn="1" w:lastColumn="0" w:oddVBand="0" w:evenVBand="0" w:oddHBand="0" w:evenHBand="0" w:firstRowFirstColumn="0" w:firstRowLastColumn="0" w:lastRowFirstColumn="0" w:lastRowLastColumn="0"/>
            <w:tcW w:w="1016" w:type="dxa"/>
            <w:vMerge/>
          </w:tcPr>
          <w:p w14:paraId="2C01F4AB" w14:textId="77777777" w:rsidR="00313345" w:rsidRPr="006D36FA" w:rsidRDefault="00313345" w:rsidP="00313345">
            <w:pPr>
              <w:spacing w:after="160" w:line="360" w:lineRule="auto"/>
              <w:rPr>
                <w:sz w:val="22"/>
                <w:szCs w:val="22"/>
              </w:rPr>
            </w:pPr>
          </w:p>
        </w:tc>
        <w:tc>
          <w:tcPr>
            <w:tcW w:w="1016" w:type="dxa"/>
          </w:tcPr>
          <w:p w14:paraId="2510606E" w14:textId="51B51C0D" w:rsidR="00313345" w:rsidRPr="009303C5" w:rsidRDefault="00313345" w:rsidP="00313345">
            <w:pPr>
              <w:spacing w:after="160"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6D36FA">
              <w:rPr>
                <w:sz w:val="22"/>
                <w:szCs w:val="22"/>
              </w:rPr>
              <w:t>Bus 39</w:t>
            </w:r>
          </w:p>
        </w:tc>
        <w:tc>
          <w:tcPr>
            <w:tcW w:w="1958" w:type="dxa"/>
          </w:tcPr>
          <w:p w14:paraId="00502625" w14:textId="2029B8CD"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36FA">
              <w:rPr>
                <w:sz w:val="22"/>
                <w:szCs w:val="22"/>
              </w:rPr>
              <w:t>0.400</w:t>
            </w:r>
          </w:p>
        </w:tc>
        <w:tc>
          <w:tcPr>
            <w:tcW w:w="1166" w:type="dxa"/>
          </w:tcPr>
          <w:p w14:paraId="1DD4062D" w14:textId="6043F944"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36FA">
              <w:rPr>
                <w:sz w:val="22"/>
                <w:szCs w:val="22"/>
              </w:rPr>
              <w:t>159.635</w:t>
            </w:r>
            <w:r>
              <w:rPr>
                <w:sz w:val="22"/>
                <w:szCs w:val="22"/>
              </w:rPr>
              <w:t xml:space="preserve"> </w:t>
            </w:r>
            <w:r>
              <w:rPr>
                <w:sz w:val="22"/>
                <w:szCs w:val="22"/>
              </w:rPr>
              <w:br/>
              <w:t>(+433%)</w:t>
            </w:r>
          </w:p>
        </w:tc>
        <w:tc>
          <w:tcPr>
            <w:tcW w:w="1236" w:type="dxa"/>
          </w:tcPr>
          <w:p w14:paraId="69FDB0AE" w14:textId="2ABE9C9E"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36FA">
              <w:rPr>
                <w:sz w:val="22"/>
                <w:szCs w:val="22"/>
              </w:rPr>
              <w:t>78.133</w:t>
            </w:r>
            <w:r>
              <w:rPr>
                <w:sz w:val="22"/>
                <w:szCs w:val="22"/>
              </w:rPr>
              <w:t xml:space="preserve"> </w:t>
            </w:r>
            <w:r>
              <w:rPr>
                <w:sz w:val="22"/>
                <w:szCs w:val="22"/>
              </w:rPr>
              <w:br/>
              <w:t>(+428.6%)</w:t>
            </w:r>
          </w:p>
        </w:tc>
        <w:tc>
          <w:tcPr>
            <w:tcW w:w="1166" w:type="dxa"/>
          </w:tcPr>
          <w:p w14:paraId="4470049D" w14:textId="6D8B16FD" w:rsidR="00313345" w:rsidRPr="009303C5" w:rsidRDefault="00313345" w:rsidP="00313345">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36FA">
              <w:rPr>
                <w:sz w:val="22"/>
                <w:szCs w:val="22"/>
              </w:rPr>
              <w:t>78.517</w:t>
            </w:r>
            <w:r>
              <w:rPr>
                <w:sz w:val="22"/>
                <w:szCs w:val="22"/>
              </w:rPr>
              <w:t xml:space="preserve"> </w:t>
            </w:r>
            <w:r>
              <w:rPr>
                <w:sz w:val="22"/>
                <w:szCs w:val="22"/>
              </w:rPr>
              <w:br/>
              <w:t>(+430.7%)</w:t>
            </w:r>
          </w:p>
        </w:tc>
      </w:tr>
      <w:tr w:rsidR="00313345" w:rsidRPr="009303C5" w14:paraId="6828F9DE" w14:textId="77777777" w:rsidTr="0031334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6" w:type="dxa"/>
            <w:vMerge w:val="restart"/>
          </w:tcPr>
          <w:p w14:paraId="3505839F" w14:textId="65C92FA7" w:rsidR="00313345" w:rsidRPr="009303C5" w:rsidRDefault="00313345" w:rsidP="00313345">
            <w:pPr>
              <w:spacing w:after="160" w:line="360" w:lineRule="auto"/>
              <w:rPr>
                <w:sz w:val="22"/>
                <w:szCs w:val="22"/>
              </w:rPr>
            </w:pPr>
            <w:r>
              <w:rPr>
                <w:sz w:val="22"/>
                <w:szCs w:val="22"/>
              </w:rPr>
              <w:t>Case 3</w:t>
            </w:r>
          </w:p>
        </w:tc>
        <w:tc>
          <w:tcPr>
            <w:tcW w:w="1016" w:type="dxa"/>
          </w:tcPr>
          <w:p w14:paraId="46C91B5A" w14:textId="621404B5" w:rsidR="00313345" w:rsidRPr="009303C5" w:rsidRDefault="00313345" w:rsidP="00313345">
            <w:pPr>
              <w:spacing w:after="160" w:line="360" w:lineRule="auto"/>
              <w:cnfStyle w:val="000000100000" w:firstRow="0" w:lastRow="0" w:firstColumn="0" w:lastColumn="0" w:oddVBand="0" w:evenVBand="0" w:oddHBand="1" w:evenHBand="0" w:firstRowFirstColumn="0" w:firstRowLastColumn="0" w:lastRowFirstColumn="0" w:lastRowLastColumn="0"/>
              <w:rPr>
                <w:sz w:val="22"/>
                <w:szCs w:val="22"/>
              </w:rPr>
            </w:pPr>
            <w:r w:rsidRPr="009303C5">
              <w:rPr>
                <w:sz w:val="22"/>
                <w:szCs w:val="22"/>
              </w:rPr>
              <w:t>Bus 1</w:t>
            </w:r>
          </w:p>
        </w:tc>
        <w:tc>
          <w:tcPr>
            <w:tcW w:w="1958" w:type="dxa"/>
          </w:tcPr>
          <w:p w14:paraId="2C2B1FEB" w14:textId="2BA3F40D"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9303C5">
              <w:rPr>
                <w:sz w:val="22"/>
                <w:szCs w:val="22"/>
              </w:rPr>
              <w:t>33.000</w:t>
            </w:r>
          </w:p>
        </w:tc>
        <w:tc>
          <w:tcPr>
            <w:tcW w:w="1166" w:type="dxa"/>
          </w:tcPr>
          <w:p w14:paraId="0D743425" w14:textId="0BFDCD97"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9303C5">
              <w:rPr>
                <w:sz w:val="22"/>
                <w:szCs w:val="22"/>
              </w:rPr>
              <w:t>22.309</w:t>
            </w:r>
            <w:r>
              <w:rPr>
                <w:sz w:val="22"/>
                <w:szCs w:val="22"/>
              </w:rPr>
              <w:t xml:space="preserve"> </w:t>
            </w:r>
            <w:r>
              <w:rPr>
                <w:sz w:val="22"/>
                <w:szCs w:val="22"/>
              </w:rPr>
              <w:br/>
              <w:t>(+0.55%)</w:t>
            </w:r>
          </w:p>
        </w:tc>
        <w:tc>
          <w:tcPr>
            <w:tcW w:w="1236" w:type="dxa"/>
          </w:tcPr>
          <w:p w14:paraId="3E0124A4" w14:textId="22C4E011"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9303C5">
              <w:rPr>
                <w:sz w:val="22"/>
                <w:szCs w:val="22"/>
              </w:rPr>
              <w:t>8.748</w:t>
            </w:r>
            <w:r>
              <w:rPr>
                <w:sz w:val="22"/>
                <w:szCs w:val="22"/>
              </w:rPr>
              <w:t xml:space="preserve"> </w:t>
            </w:r>
            <w:r>
              <w:rPr>
                <w:sz w:val="22"/>
                <w:szCs w:val="22"/>
              </w:rPr>
              <w:br/>
              <w:t>(-0.19%)</w:t>
            </w:r>
          </w:p>
        </w:tc>
        <w:tc>
          <w:tcPr>
            <w:tcW w:w="1166" w:type="dxa"/>
          </w:tcPr>
          <w:p w14:paraId="4CE78011" w14:textId="75D4A737" w:rsidR="00313345" w:rsidRPr="009303C5" w:rsidRDefault="00313345" w:rsidP="0031334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9303C5">
              <w:rPr>
                <w:sz w:val="22"/>
                <w:szCs w:val="22"/>
              </w:rPr>
              <w:t>9.150</w:t>
            </w:r>
            <w:r>
              <w:rPr>
                <w:sz w:val="22"/>
                <w:szCs w:val="22"/>
              </w:rPr>
              <w:t xml:space="preserve"> </w:t>
            </w:r>
            <w:r>
              <w:rPr>
                <w:sz w:val="22"/>
                <w:szCs w:val="22"/>
              </w:rPr>
              <w:br/>
              <w:t>(+0.96%)</w:t>
            </w:r>
          </w:p>
        </w:tc>
      </w:tr>
      <w:tr w:rsidR="00F404B2" w:rsidRPr="009303C5" w14:paraId="3F11F6B8" w14:textId="77777777" w:rsidTr="00313345">
        <w:trPr>
          <w:jc w:val="center"/>
        </w:trPr>
        <w:tc>
          <w:tcPr>
            <w:cnfStyle w:val="001000000000" w:firstRow="0" w:lastRow="0" w:firstColumn="1" w:lastColumn="0" w:oddVBand="0" w:evenVBand="0" w:oddHBand="0" w:evenHBand="0" w:firstRowFirstColumn="0" w:firstRowLastColumn="0" w:lastRowFirstColumn="0" w:lastRowLastColumn="0"/>
            <w:tcW w:w="1016" w:type="dxa"/>
            <w:vMerge/>
            <w:tcBorders>
              <w:bottom w:val="single" w:sz="4" w:space="0" w:color="auto"/>
            </w:tcBorders>
          </w:tcPr>
          <w:p w14:paraId="5A466D12" w14:textId="77777777" w:rsidR="00F404B2" w:rsidRPr="009303C5" w:rsidRDefault="00F404B2" w:rsidP="00F404B2">
            <w:pPr>
              <w:spacing w:after="160" w:line="360" w:lineRule="auto"/>
              <w:rPr>
                <w:sz w:val="22"/>
                <w:szCs w:val="22"/>
              </w:rPr>
            </w:pPr>
          </w:p>
        </w:tc>
        <w:tc>
          <w:tcPr>
            <w:tcW w:w="1016" w:type="dxa"/>
            <w:tcBorders>
              <w:bottom w:val="single" w:sz="4" w:space="0" w:color="auto"/>
            </w:tcBorders>
          </w:tcPr>
          <w:p w14:paraId="1D01265F" w14:textId="2F974BDF" w:rsidR="00F404B2" w:rsidRPr="009303C5" w:rsidRDefault="00F404B2" w:rsidP="00F404B2">
            <w:pPr>
              <w:spacing w:after="160"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9303C5">
              <w:rPr>
                <w:sz w:val="22"/>
                <w:szCs w:val="22"/>
              </w:rPr>
              <w:t>Bus 39</w:t>
            </w:r>
          </w:p>
        </w:tc>
        <w:tc>
          <w:tcPr>
            <w:tcW w:w="1958" w:type="dxa"/>
            <w:tcBorders>
              <w:bottom w:val="single" w:sz="4" w:space="0" w:color="auto"/>
            </w:tcBorders>
          </w:tcPr>
          <w:p w14:paraId="5029DF08" w14:textId="52E07021" w:rsidR="00F404B2" w:rsidRPr="009303C5"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9303C5">
              <w:rPr>
                <w:sz w:val="22"/>
                <w:szCs w:val="22"/>
              </w:rPr>
              <w:t>0.400</w:t>
            </w:r>
          </w:p>
        </w:tc>
        <w:tc>
          <w:tcPr>
            <w:tcW w:w="1166" w:type="dxa"/>
            <w:tcBorders>
              <w:bottom w:val="single" w:sz="4" w:space="0" w:color="auto"/>
            </w:tcBorders>
          </w:tcPr>
          <w:p w14:paraId="715E0B8C" w14:textId="7A1FEE46" w:rsidR="00F404B2" w:rsidRPr="009303C5"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9303C5">
              <w:rPr>
                <w:sz w:val="22"/>
                <w:szCs w:val="22"/>
              </w:rPr>
              <w:t>252.154</w:t>
            </w:r>
            <w:r>
              <w:rPr>
                <w:sz w:val="22"/>
                <w:szCs w:val="22"/>
              </w:rPr>
              <w:t xml:space="preserve"> </w:t>
            </w:r>
            <w:r w:rsidR="00313345">
              <w:rPr>
                <w:sz w:val="22"/>
                <w:szCs w:val="22"/>
              </w:rPr>
              <w:br/>
            </w:r>
            <w:r>
              <w:rPr>
                <w:sz w:val="22"/>
                <w:szCs w:val="22"/>
              </w:rPr>
              <w:t>(+742%)</w:t>
            </w:r>
          </w:p>
        </w:tc>
        <w:tc>
          <w:tcPr>
            <w:tcW w:w="1236" w:type="dxa"/>
            <w:tcBorders>
              <w:bottom w:val="single" w:sz="4" w:space="0" w:color="auto"/>
            </w:tcBorders>
          </w:tcPr>
          <w:p w14:paraId="3FEDEB4D" w14:textId="3604F907" w:rsidR="00F404B2" w:rsidRPr="009303C5"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9303C5">
              <w:rPr>
                <w:sz w:val="22"/>
                <w:szCs w:val="22"/>
              </w:rPr>
              <w:t>116.017</w:t>
            </w:r>
            <w:r>
              <w:rPr>
                <w:sz w:val="22"/>
                <w:szCs w:val="22"/>
              </w:rPr>
              <w:t xml:space="preserve"> </w:t>
            </w:r>
            <w:r w:rsidR="00313345">
              <w:rPr>
                <w:sz w:val="22"/>
                <w:szCs w:val="22"/>
              </w:rPr>
              <w:br/>
            </w:r>
            <w:r>
              <w:rPr>
                <w:sz w:val="22"/>
                <w:szCs w:val="22"/>
              </w:rPr>
              <w:t>(+684.9%)</w:t>
            </w:r>
          </w:p>
        </w:tc>
        <w:tc>
          <w:tcPr>
            <w:tcW w:w="1166" w:type="dxa"/>
            <w:tcBorders>
              <w:bottom w:val="single" w:sz="4" w:space="0" w:color="auto"/>
            </w:tcBorders>
          </w:tcPr>
          <w:p w14:paraId="2568C31D" w14:textId="77D25649" w:rsidR="00F404B2" w:rsidRPr="009303C5" w:rsidRDefault="00F404B2" w:rsidP="00F404B2">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9303C5">
              <w:rPr>
                <w:sz w:val="22"/>
                <w:szCs w:val="22"/>
              </w:rPr>
              <w:t>125.342</w:t>
            </w:r>
            <w:r>
              <w:rPr>
                <w:sz w:val="22"/>
                <w:szCs w:val="22"/>
              </w:rPr>
              <w:t xml:space="preserve"> </w:t>
            </w:r>
            <w:r w:rsidR="00313345">
              <w:rPr>
                <w:sz w:val="22"/>
                <w:szCs w:val="22"/>
              </w:rPr>
              <w:br/>
            </w:r>
            <w:r>
              <w:rPr>
                <w:sz w:val="22"/>
                <w:szCs w:val="22"/>
              </w:rPr>
              <w:t>(+7473%)</w:t>
            </w:r>
          </w:p>
        </w:tc>
      </w:tr>
    </w:tbl>
    <w:p w14:paraId="76283DA1" w14:textId="77777777" w:rsidR="00313345" w:rsidRDefault="00313345" w:rsidP="00313345">
      <w:pPr>
        <w:rPr>
          <w:lang w:val="tr-TR"/>
        </w:rPr>
      </w:pPr>
    </w:p>
    <w:p w14:paraId="53CC7B0E" w14:textId="4A5C07B3" w:rsidR="00313345" w:rsidRPr="00313345" w:rsidRDefault="00313345" w:rsidP="00611456">
      <w:pPr>
        <w:pStyle w:val="Heading2"/>
        <w:numPr>
          <w:ilvl w:val="1"/>
          <w:numId w:val="35"/>
        </w:numPr>
        <w:spacing w:line="360" w:lineRule="auto"/>
        <w:jc w:val="both"/>
        <w:rPr>
          <w:lang w:val="tr-TR"/>
        </w:rPr>
      </w:pPr>
      <w:bookmarkStart w:id="41" w:name="_Toc205672550"/>
      <w:r>
        <w:rPr>
          <w:lang w:val="tr-TR"/>
        </w:rPr>
        <w:t>Battery Sizing</w:t>
      </w:r>
      <w:bookmarkEnd w:id="41"/>
      <w:r>
        <w:rPr>
          <w:lang w:val="tr-TR"/>
        </w:rPr>
        <w:tab/>
      </w:r>
    </w:p>
    <w:p w14:paraId="198E3892" w14:textId="06A174C1" w:rsidR="00460540" w:rsidRDefault="00460540" w:rsidP="00AE2884">
      <w:pPr>
        <w:spacing w:line="360" w:lineRule="auto"/>
        <w:jc w:val="both"/>
      </w:pPr>
      <w:r w:rsidRPr="00460540">
        <w:t xml:space="preserve">In this section, the battery sizing for the hybrid renewable energy system is recalculated to meet the energy demands of the grid and ensure optimal storage for power generated by the PV system. </w:t>
      </w:r>
      <w:r w:rsidR="003D0493" w:rsidRPr="003D0493">
        <w:t xml:space="preserve">To determine the appropriate size of the battery for the system, several factors need to be considered, including the energy demand, autonomy, depth of </w:t>
      </w:r>
      <w:r w:rsidR="00522D9C" w:rsidRPr="003D0493">
        <w:t>discharge,</w:t>
      </w:r>
      <w:r w:rsidR="003D0493" w:rsidRPr="003D0493">
        <w:t xml:space="preserve"> and efficiency of the battery. The battery will store excess energy generated </w:t>
      </w:r>
      <w:r w:rsidR="003D0493" w:rsidRPr="003D0493">
        <w:lastRenderedPageBreak/>
        <w:t>by the PV system during periods of high solar radiation, which can then be used during periods of low or no generation.</w:t>
      </w:r>
    </w:p>
    <w:p w14:paraId="770FA753" w14:textId="69C56339" w:rsidR="00AA0A35" w:rsidRDefault="003D0493" w:rsidP="00BA1E12">
      <w:pPr>
        <w:spacing w:line="360" w:lineRule="auto"/>
        <w:jc w:val="both"/>
      </w:pPr>
      <w:r w:rsidRPr="003D0493">
        <w:t>The following assumptions</w:t>
      </w:r>
      <w:r>
        <w:t xml:space="preserve"> shown in Table </w:t>
      </w:r>
      <w:r w:rsidR="00313345">
        <w:t>8</w:t>
      </w:r>
      <w:r w:rsidRPr="003D0493">
        <w:t xml:space="preserve"> were made for the battery sizing calculations:</w:t>
      </w:r>
    </w:p>
    <w:p w14:paraId="58827B81" w14:textId="1DD7F02A" w:rsidR="00AE2884" w:rsidRPr="00AE2884" w:rsidRDefault="00AE2884" w:rsidP="00AE2884">
      <w:pPr>
        <w:pStyle w:val="Caption"/>
        <w:keepNext/>
        <w:rPr>
          <w:color w:val="auto"/>
          <w:sz w:val="22"/>
          <w:szCs w:val="22"/>
        </w:rPr>
      </w:pPr>
      <w:bookmarkStart w:id="42" w:name="_Toc188962805"/>
      <w:r w:rsidRPr="00AE2884">
        <w:rPr>
          <w:b/>
          <w:bCs/>
          <w:i w:val="0"/>
          <w:iCs w:val="0"/>
          <w:color w:val="auto"/>
          <w:sz w:val="22"/>
          <w:szCs w:val="22"/>
        </w:rPr>
        <w:t xml:space="preserve">Table </w:t>
      </w:r>
      <w:r w:rsidR="00313345">
        <w:rPr>
          <w:b/>
          <w:bCs/>
          <w:i w:val="0"/>
          <w:iCs w:val="0"/>
          <w:color w:val="auto"/>
          <w:sz w:val="22"/>
          <w:szCs w:val="22"/>
        </w:rPr>
        <w:t>8</w:t>
      </w:r>
      <w:r w:rsidRPr="00AE2884">
        <w:rPr>
          <w:color w:val="auto"/>
          <w:sz w:val="22"/>
          <w:szCs w:val="22"/>
        </w:rPr>
        <w:br/>
        <w:t>Battery Sizing Assumptions</w:t>
      </w:r>
      <w:bookmarkEnd w:id="42"/>
    </w:p>
    <w:tbl>
      <w:tblPr>
        <w:tblStyle w:val="PlainTable2"/>
        <w:tblW w:w="0" w:type="auto"/>
        <w:jc w:val="center"/>
        <w:tblLook w:val="04A0" w:firstRow="1" w:lastRow="0" w:firstColumn="1" w:lastColumn="0" w:noHBand="0" w:noVBand="1"/>
      </w:tblPr>
      <w:tblGrid>
        <w:gridCol w:w="3060"/>
        <w:gridCol w:w="1980"/>
      </w:tblGrid>
      <w:tr w:rsidR="00460540" w14:paraId="00FF6461" w14:textId="77777777" w:rsidTr="003D049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Borders>
              <w:top w:val="single" w:sz="4" w:space="0" w:color="7F7F7F" w:themeColor="text1" w:themeTint="80"/>
              <w:bottom w:val="single" w:sz="4" w:space="0" w:color="auto"/>
            </w:tcBorders>
            <w:vAlign w:val="center"/>
          </w:tcPr>
          <w:p w14:paraId="3669F008" w14:textId="00D609A8" w:rsidR="00460540" w:rsidRDefault="00460540" w:rsidP="00460540">
            <w:pPr>
              <w:spacing w:line="360" w:lineRule="auto"/>
              <w:jc w:val="center"/>
            </w:pPr>
            <w:r w:rsidRPr="00571ED0">
              <w:t>Assumption</w:t>
            </w:r>
          </w:p>
        </w:tc>
        <w:tc>
          <w:tcPr>
            <w:tcW w:w="1980" w:type="dxa"/>
            <w:tcBorders>
              <w:top w:val="single" w:sz="4" w:space="0" w:color="7F7F7F" w:themeColor="text1" w:themeTint="80"/>
              <w:bottom w:val="single" w:sz="4" w:space="0" w:color="auto"/>
            </w:tcBorders>
            <w:vAlign w:val="center"/>
          </w:tcPr>
          <w:p w14:paraId="192A25F8" w14:textId="2E3D31B9" w:rsidR="00460540" w:rsidRDefault="00460540" w:rsidP="00460540">
            <w:pPr>
              <w:spacing w:line="360" w:lineRule="auto"/>
              <w:jc w:val="center"/>
              <w:cnfStyle w:val="100000000000" w:firstRow="1" w:lastRow="0" w:firstColumn="0" w:lastColumn="0" w:oddVBand="0" w:evenVBand="0" w:oddHBand="0" w:evenHBand="0" w:firstRowFirstColumn="0" w:firstRowLastColumn="0" w:lastRowFirstColumn="0" w:lastRowLastColumn="0"/>
            </w:pPr>
            <w:r w:rsidRPr="00571ED0">
              <w:t>Value</w:t>
            </w:r>
          </w:p>
        </w:tc>
      </w:tr>
      <w:tr w:rsidR="003D0493" w14:paraId="2AA10AEC" w14:textId="77777777" w:rsidTr="003D04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Borders>
              <w:top w:val="single" w:sz="4" w:space="0" w:color="auto"/>
              <w:bottom w:val="nil"/>
            </w:tcBorders>
          </w:tcPr>
          <w:p w14:paraId="60BA8313" w14:textId="2041CCA7" w:rsidR="003D0493" w:rsidRDefault="003D0493" w:rsidP="003D0493">
            <w:pPr>
              <w:spacing w:line="360" w:lineRule="auto"/>
            </w:pPr>
            <w:r>
              <w:t xml:space="preserve">Days of </w:t>
            </w:r>
            <w:r w:rsidRPr="00843D36">
              <w:t>Autonomy</w:t>
            </w:r>
          </w:p>
        </w:tc>
        <w:tc>
          <w:tcPr>
            <w:tcW w:w="1980" w:type="dxa"/>
            <w:tcBorders>
              <w:top w:val="single" w:sz="4" w:space="0" w:color="auto"/>
              <w:bottom w:val="nil"/>
            </w:tcBorders>
            <w:vAlign w:val="center"/>
          </w:tcPr>
          <w:p w14:paraId="6E4365B0" w14:textId="7F36A60F" w:rsidR="003D0493" w:rsidRDefault="003D0493" w:rsidP="003D0493">
            <w:pPr>
              <w:spacing w:line="360" w:lineRule="auto"/>
              <w:jc w:val="center"/>
              <w:cnfStyle w:val="000000100000" w:firstRow="0" w:lastRow="0" w:firstColumn="0" w:lastColumn="0" w:oddVBand="0" w:evenVBand="0" w:oddHBand="1" w:evenHBand="0" w:firstRowFirstColumn="0" w:firstRowLastColumn="0" w:lastRowFirstColumn="0" w:lastRowLastColumn="0"/>
            </w:pPr>
            <w:r w:rsidRPr="00843D36">
              <w:t>1 day</w:t>
            </w:r>
          </w:p>
        </w:tc>
      </w:tr>
      <w:tr w:rsidR="003D0493" w14:paraId="3FA4B0A0" w14:textId="77777777" w:rsidTr="003D0493">
        <w:trPr>
          <w:jc w:val="center"/>
        </w:trPr>
        <w:tc>
          <w:tcPr>
            <w:cnfStyle w:val="001000000000" w:firstRow="0" w:lastRow="0" w:firstColumn="1" w:lastColumn="0" w:oddVBand="0" w:evenVBand="0" w:oddHBand="0" w:evenHBand="0" w:firstRowFirstColumn="0" w:firstRowLastColumn="0" w:lastRowFirstColumn="0" w:lastRowLastColumn="0"/>
            <w:tcW w:w="3060" w:type="dxa"/>
            <w:tcBorders>
              <w:top w:val="nil"/>
              <w:bottom w:val="nil"/>
            </w:tcBorders>
          </w:tcPr>
          <w:p w14:paraId="7F2CCE7B" w14:textId="335FC86A" w:rsidR="003D0493" w:rsidRDefault="003D0493" w:rsidP="003D0493">
            <w:pPr>
              <w:spacing w:line="360" w:lineRule="auto"/>
            </w:pPr>
            <w:r w:rsidRPr="00843D36">
              <w:t>Depth of Discharge</w:t>
            </w:r>
          </w:p>
        </w:tc>
        <w:tc>
          <w:tcPr>
            <w:tcW w:w="1980" w:type="dxa"/>
            <w:tcBorders>
              <w:top w:val="nil"/>
              <w:bottom w:val="nil"/>
            </w:tcBorders>
            <w:vAlign w:val="center"/>
          </w:tcPr>
          <w:p w14:paraId="74FA4136" w14:textId="2A3CFAB8" w:rsidR="003D0493" w:rsidRDefault="003D0493" w:rsidP="003D0493">
            <w:pPr>
              <w:spacing w:line="360" w:lineRule="auto"/>
              <w:jc w:val="center"/>
              <w:cnfStyle w:val="000000000000" w:firstRow="0" w:lastRow="0" w:firstColumn="0" w:lastColumn="0" w:oddVBand="0" w:evenVBand="0" w:oddHBand="0" w:evenHBand="0" w:firstRowFirstColumn="0" w:firstRowLastColumn="0" w:lastRowFirstColumn="0" w:lastRowLastColumn="0"/>
            </w:pPr>
            <w:r>
              <w:t>90%</w:t>
            </w:r>
          </w:p>
        </w:tc>
      </w:tr>
      <w:tr w:rsidR="003D0493" w14:paraId="5853B23C" w14:textId="77777777" w:rsidTr="003D04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Borders>
              <w:top w:val="nil"/>
              <w:bottom w:val="nil"/>
            </w:tcBorders>
          </w:tcPr>
          <w:p w14:paraId="2C18B548" w14:textId="188BBBD8" w:rsidR="003D0493" w:rsidRDefault="003D0493" w:rsidP="003D0493">
            <w:pPr>
              <w:spacing w:line="360" w:lineRule="auto"/>
            </w:pPr>
            <w:r w:rsidRPr="00843D36">
              <w:t>Efficiency</w:t>
            </w:r>
          </w:p>
        </w:tc>
        <w:tc>
          <w:tcPr>
            <w:tcW w:w="1980" w:type="dxa"/>
            <w:tcBorders>
              <w:top w:val="nil"/>
              <w:bottom w:val="nil"/>
            </w:tcBorders>
            <w:vAlign w:val="center"/>
          </w:tcPr>
          <w:p w14:paraId="4AEF45C0" w14:textId="52959DC1" w:rsidR="003D0493" w:rsidRDefault="003D0493" w:rsidP="003D0493">
            <w:pPr>
              <w:spacing w:line="360" w:lineRule="auto"/>
              <w:jc w:val="center"/>
              <w:cnfStyle w:val="000000100000" w:firstRow="0" w:lastRow="0" w:firstColumn="0" w:lastColumn="0" w:oddVBand="0" w:evenVBand="0" w:oddHBand="1" w:evenHBand="0" w:firstRowFirstColumn="0" w:firstRowLastColumn="0" w:lastRowFirstColumn="0" w:lastRowLastColumn="0"/>
            </w:pPr>
            <w:r w:rsidRPr="00843D36">
              <w:t>97.8%</w:t>
            </w:r>
          </w:p>
        </w:tc>
      </w:tr>
      <w:tr w:rsidR="003D0493" w14:paraId="5AC98B02" w14:textId="77777777" w:rsidTr="003D0493">
        <w:trPr>
          <w:jc w:val="center"/>
        </w:trPr>
        <w:tc>
          <w:tcPr>
            <w:cnfStyle w:val="001000000000" w:firstRow="0" w:lastRow="0" w:firstColumn="1" w:lastColumn="0" w:oddVBand="0" w:evenVBand="0" w:oddHBand="0" w:evenHBand="0" w:firstRowFirstColumn="0" w:firstRowLastColumn="0" w:lastRowFirstColumn="0" w:lastRowLastColumn="0"/>
            <w:tcW w:w="3060" w:type="dxa"/>
            <w:tcBorders>
              <w:top w:val="nil"/>
              <w:bottom w:val="single" w:sz="4" w:space="0" w:color="auto"/>
            </w:tcBorders>
          </w:tcPr>
          <w:p w14:paraId="1DE99FAF" w14:textId="27D69C88" w:rsidR="003D0493" w:rsidRDefault="003D0493" w:rsidP="003D0493">
            <w:pPr>
              <w:spacing w:line="360" w:lineRule="auto"/>
              <w:jc w:val="both"/>
            </w:pPr>
            <w:r w:rsidRPr="00843D36">
              <w:t>Sunshine Hours</w:t>
            </w:r>
          </w:p>
        </w:tc>
        <w:tc>
          <w:tcPr>
            <w:tcW w:w="1980" w:type="dxa"/>
            <w:tcBorders>
              <w:top w:val="nil"/>
              <w:bottom w:val="single" w:sz="4" w:space="0" w:color="auto"/>
            </w:tcBorders>
            <w:vAlign w:val="center"/>
          </w:tcPr>
          <w:p w14:paraId="269FC807" w14:textId="7F6986A5" w:rsidR="003D0493" w:rsidRDefault="003D0493" w:rsidP="003D0493">
            <w:pPr>
              <w:spacing w:line="360" w:lineRule="auto"/>
              <w:jc w:val="center"/>
              <w:cnfStyle w:val="000000000000" w:firstRow="0" w:lastRow="0" w:firstColumn="0" w:lastColumn="0" w:oddVBand="0" w:evenVBand="0" w:oddHBand="0" w:evenHBand="0" w:firstRowFirstColumn="0" w:firstRowLastColumn="0" w:lastRowFirstColumn="0" w:lastRowLastColumn="0"/>
            </w:pPr>
            <w:r w:rsidRPr="00843D36">
              <w:t>6.7 hours</w:t>
            </w:r>
          </w:p>
        </w:tc>
      </w:tr>
    </w:tbl>
    <w:p w14:paraId="20F66B67" w14:textId="77777777" w:rsidR="00460540" w:rsidRDefault="00460540" w:rsidP="00460540">
      <w:pPr>
        <w:spacing w:line="360" w:lineRule="auto"/>
        <w:jc w:val="both"/>
      </w:pPr>
    </w:p>
    <w:p w14:paraId="766AE123" w14:textId="2E08ADC3" w:rsidR="003D0493" w:rsidRDefault="003D0493" w:rsidP="004D53C7">
      <w:pPr>
        <w:spacing w:line="360" w:lineRule="auto"/>
        <w:jc w:val="both"/>
      </w:pPr>
      <w:r w:rsidRPr="003D0493">
        <w:t xml:space="preserve">These assumptions are critical in determining the battery size and ensuring accurate calculations based on realistic operating conditions. As noted in Table </w:t>
      </w:r>
      <w:r w:rsidR="00313345">
        <w:t>8</w:t>
      </w:r>
      <w:r w:rsidRPr="003D0493">
        <w:t>, the autonomy is set to 1 day, meaning the battery is expected to supply power for a full day without recharging. The DoD is considered as 0.9, meaning 90% of the total capacity of the battery can be utilized. Efficiency is set at 97.8%, which is a typical value for modern lithium-ion batteries.</w:t>
      </w:r>
    </w:p>
    <w:p w14:paraId="05D4E4C9" w14:textId="77777777" w:rsidR="003D0493" w:rsidRDefault="003D0493" w:rsidP="004D53C7">
      <w:pPr>
        <w:spacing w:line="360" w:lineRule="auto"/>
        <w:jc w:val="both"/>
      </w:pPr>
      <w:r w:rsidRPr="003D0493">
        <w:t>The required battery size can be determined using the following formula:</w:t>
      </w:r>
    </w:p>
    <w:p w14:paraId="713FA5C3" w14:textId="009677DF" w:rsidR="004D53C7" w:rsidRPr="003D0493" w:rsidRDefault="004D53C7" w:rsidP="004D53C7">
      <w:pPr>
        <w:spacing w:line="360" w:lineRule="auto"/>
        <w:jc w:val="both"/>
      </w:pPr>
      <m:oMathPara>
        <m:oMath>
          <m:r>
            <w:rPr>
              <w:rFonts w:ascii="Cambria Math" w:hAnsi="Cambria Math"/>
            </w:rPr>
            <m:t>Battery Capacity=</m:t>
          </m:r>
          <m:f>
            <m:fPr>
              <m:ctrlPr>
                <w:rPr>
                  <w:rFonts w:ascii="Cambria Math" w:hAnsi="Cambria Math"/>
                  <w:i/>
                </w:rPr>
              </m:ctrlPr>
            </m:fPr>
            <m:num>
              <m:r>
                <w:rPr>
                  <w:rFonts w:ascii="Cambria Math" w:hAnsi="Cambria Math"/>
                </w:rPr>
                <m:t>Power Required×Duration required</m:t>
              </m:r>
            </m:num>
            <m:den>
              <m:r>
                <w:rPr>
                  <w:rFonts w:ascii="Cambria Math" w:hAnsi="Cambria Math"/>
                </w:rPr>
                <m:t>Efficiecncy ×DoD</m:t>
              </m:r>
            </m:den>
          </m:f>
          <m:r>
            <w:rPr>
              <w:rFonts w:ascii="Cambria Math" w:hAnsi="Cambria Math"/>
            </w:rPr>
            <m:t xml:space="preserve">            (1)</m:t>
          </m:r>
        </m:oMath>
      </m:oMathPara>
    </w:p>
    <w:p w14:paraId="256D6710" w14:textId="74E20957" w:rsidR="003D0493" w:rsidRDefault="003D0493" w:rsidP="004D53C7">
      <w:pPr>
        <w:spacing w:line="360" w:lineRule="auto"/>
      </w:pPr>
      <w:r>
        <w:t>Where:</w:t>
      </w:r>
      <w:r w:rsidR="004D53C7">
        <w:t xml:space="preserve"> </w:t>
      </w:r>
      <w:r>
        <w:t>DoD</w:t>
      </w:r>
      <w:r w:rsidR="004D53C7">
        <w:t xml:space="preserve"> is</w:t>
      </w:r>
      <w:r>
        <w:t xml:space="preserve"> Depth of discharge</w:t>
      </w:r>
      <w:r w:rsidR="004D53C7">
        <w:t>,</w:t>
      </w:r>
      <w:r>
        <w:t xml:space="preserve"> </w:t>
      </w:r>
      <w:r w:rsidR="004D53C7">
        <w:t>assumed</w:t>
      </w:r>
      <w:r>
        <w:t xml:space="preserve"> 0.9 for lithium-ion batteries.</w:t>
      </w:r>
    </w:p>
    <w:p w14:paraId="490D0A48" w14:textId="5D37CF4D" w:rsidR="004D53C7" w:rsidRDefault="004D53C7" w:rsidP="004D53C7">
      <w:pPr>
        <w:spacing w:line="360" w:lineRule="auto"/>
      </w:pPr>
      <w:r>
        <w:t>Applying equation 1 to the calculated battery capacities for each case will result in the following:</w:t>
      </w:r>
    </w:p>
    <w:p w14:paraId="14503823" w14:textId="65002A74" w:rsidR="004D53C7" w:rsidRDefault="004D53C7">
      <w:pPr>
        <w:pStyle w:val="ListParagraph"/>
        <w:numPr>
          <w:ilvl w:val="0"/>
          <w:numId w:val="20"/>
        </w:numPr>
        <w:spacing w:line="360" w:lineRule="auto"/>
      </w:pPr>
      <w:r>
        <w:t>Case 1 (1 MW PV): The required battery capacity is 7.61 MWh.</w:t>
      </w:r>
    </w:p>
    <w:p w14:paraId="6486513B" w14:textId="52699907" w:rsidR="004D53C7" w:rsidRDefault="004D53C7">
      <w:pPr>
        <w:pStyle w:val="ListParagraph"/>
        <w:numPr>
          <w:ilvl w:val="0"/>
          <w:numId w:val="20"/>
        </w:numPr>
        <w:spacing w:line="360" w:lineRule="auto"/>
      </w:pPr>
      <w:r>
        <w:lastRenderedPageBreak/>
        <w:t>Case 2 (3 MW PV): The required battery capacity is 22.84 MWh.</w:t>
      </w:r>
    </w:p>
    <w:p w14:paraId="04A2654C" w14:textId="74AB545D" w:rsidR="00D21E00" w:rsidRDefault="004D53C7" w:rsidP="00097216">
      <w:pPr>
        <w:pStyle w:val="ListParagraph"/>
        <w:numPr>
          <w:ilvl w:val="0"/>
          <w:numId w:val="20"/>
        </w:numPr>
        <w:spacing w:line="360" w:lineRule="auto"/>
      </w:pPr>
      <w:r>
        <w:t>Case 3 (6 MW PV): The required battery capacity is 45.67 MWh.</w:t>
      </w:r>
    </w:p>
    <w:p w14:paraId="68805D84" w14:textId="3568A7D8" w:rsidR="00D21E00" w:rsidRDefault="006C6E56" w:rsidP="00611456">
      <w:pPr>
        <w:pStyle w:val="Heading2"/>
        <w:numPr>
          <w:ilvl w:val="1"/>
          <w:numId w:val="35"/>
        </w:numPr>
        <w:spacing w:line="360" w:lineRule="auto"/>
        <w:jc w:val="both"/>
      </w:pPr>
      <w:bookmarkStart w:id="43" w:name="_Toc205672551"/>
      <w:r>
        <w:rPr>
          <w:lang w:val="tr-TR"/>
        </w:rPr>
        <w:t>Voltage Profile</w:t>
      </w:r>
      <w:r w:rsidR="00D21E00">
        <w:rPr>
          <w:lang w:val="tr-TR"/>
        </w:rPr>
        <w:t>s</w:t>
      </w:r>
      <w:bookmarkEnd w:id="43"/>
      <w:r>
        <w:rPr>
          <w:lang w:val="tr-TR"/>
        </w:rPr>
        <w:tab/>
      </w:r>
    </w:p>
    <w:p w14:paraId="01DEEF48" w14:textId="63700036" w:rsidR="00D21E00" w:rsidRDefault="00D21E00" w:rsidP="00D21E00">
      <w:pPr>
        <w:spacing w:line="360" w:lineRule="auto"/>
        <w:jc w:val="both"/>
      </w:pPr>
      <w:r>
        <w:t xml:space="preserve">This part of </w:t>
      </w:r>
      <w:r w:rsidR="005145CA">
        <w:t>the study</w:t>
      </w:r>
      <w:r>
        <w:t xml:space="preserve"> will discuss the voltage profiles for the </w:t>
      </w:r>
      <w:proofErr w:type="spellStart"/>
      <w:r>
        <w:t>Arraba</w:t>
      </w:r>
      <w:proofErr w:type="spellEnd"/>
      <w:r>
        <w:t xml:space="preserve"> village electrical network under the four scenarios. The voltage profiles at each bus in the network are crucial for evaluating the system’s performance, particularly in terms of voltage stability, which is an essential aspect of the overall network reliability. The voltage profile for all cases is shown in Figure </w:t>
      </w:r>
      <w:r w:rsidR="00704B8C">
        <w:t>6</w:t>
      </w:r>
      <w:r>
        <w:t>, providing a comprehensive view of the voltage behavior across the network.</w:t>
      </w:r>
    </w:p>
    <w:p w14:paraId="073C8567" w14:textId="0FFDBB61" w:rsidR="004D53C7" w:rsidRPr="00BC2F0A" w:rsidRDefault="004D53C7" w:rsidP="0023765E">
      <w:pPr>
        <w:pStyle w:val="Caption"/>
        <w:keepNext/>
        <w:spacing w:line="360" w:lineRule="auto"/>
        <w:rPr>
          <w:color w:val="auto"/>
          <w:sz w:val="22"/>
          <w:szCs w:val="22"/>
        </w:rPr>
      </w:pPr>
      <w:bookmarkStart w:id="44" w:name="_Toc201839289"/>
      <w:r w:rsidRPr="00BC2F0A">
        <w:rPr>
          <w:b/>
          <w:bCs/>
          <w:i w:val="0"/>
          <w:iCs w:val="0"/>
          <w:color w:val="auto"/>
          <w:sz w:val="22"/>
          <w:szCs w:val="22"/>
        </w:rPr>
        <w:t xml:space="preserve">Figure </w:t>
      </w:r>
      <w:r w:rsidR="00704B8C">
        <w:rPr>
          <w:b/>
          <w:bCs/>
          <w:i w:val="0"/>
          <w:iCs w:val="0"/>
          <w:color w:val="auto"/>
          <w:sz w:val="22"/>
          <w:szCs w:val="22"/>
        </w:rPr>
        <w:t>6</w:t>
      </w:r>
      <w:r>
        <w:rPr>
          <w:color w:val="auto"/>
          <w:sz w:val="22"/>
          <w:szCs w:val="22"/>
        </w:rPr>
        <w:br/>
      </w:r>
      <w:r w:rsidRPr="00BC2F0A">
        <w:rPr>
          <w:color w:val="auto"/>
          <w:sz w:val="22"/>
          <w:szCs w:val="22"/>
        </w:rPr>
        <w:t>Voltage Profile for Different Cases</w:t>
      </w:r>
      <w:bookmarkEnd w:id="44"/>
    </w:p>
    <w:p w14:paraId="52E448CB" w14:textId="6BD065F9" w:rsidR="009D6EF2" w:rsidRDefault="004D53C7" w:rsidP="00097216">
      <w:pPr>
        <w:spacing w:line="360" w:lineRule="auto"/>
        <w:rPr>
          <w:i/>
          <w:iCs/>
          <w:sz w:val="22"/>
          <w:szCs w:val="22"/>
        </w:rPr>
      </w:pPr>
      <w:r>
        <w:rPr>
          <w:noProof/>
        </w:rPr>
        <w:drawing>
          <wp:inline distT="0" distB="0" distL="0" distR="0" wp14:anchorId="38A61238" wp14:editId="7C14EE49">
            <wp:extent cx="5410200" cy="3920837"/>
            <wp:effectExtent l="0" t="0" r="0" b="3810"/>
            <wp:docPr id="110071560" name="Chart 1">
              <a:extLst xmlns:a="http://schemas.openxmlformats.org/drawingml/2006/main">
                <a:ext uri="{FF2B5EF4-FFF2-40B4-BE49-F238E27FC236}">
                  <a16:creationId xmlns:a16="http://schemas.microsoft.com/office/drawing/2014/main" id="{E15ABDEA-A4A4-4EF0-4A60-504E5CE215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C1669D2" w14:textId="77777777" w:rsidR="009D6EF2" w:rsidRPr="001544B6" w:rsidRDefault="009D6EF2" w:rsidP="001544B6">
      <w:pPr>
        <w:spacing w:line="360" w:lineRule="auto"/>
        <w:rPr>
          <w:i/>
          <w:iCs/>
          <w:sz w:val="22"/>
          <w:szCs w:val="22"/>
        </w:rPr>
      </w:pPr>
    </w:p>
    <w:p w14:paraId="57C5775F" w14:textId="2707DD51" w:rsidR="00D21E00" w:rsidRPr="00D21E00" w:rsidRDefault="00D21E00">
      <w:pPr>
        <w:pStyle w:val="ListParagraph"/>
        <w:numPr>
          <w:ilvl w:val="0"/>
          <w:numId w:val="14"/>
        </w:numPr>
        <w:spacing w:line="360" w:lineRule="auto"/>
        <w:jc w:val="both"/>
        <w:rPr>
          <w:b/>
          <w:bCs/>
        </w:rPr>
      </w:pPr>
      <w:r w:rsidRPr="00D21E00">
        <w:rPr>
          <w:b/>
          <w:bCs/>
        </w:rPr>
        <w:t>Case 0: Current Network Configuration</w:t>
      </w:r>
      <w:r>
        <w:rPr>
          <w:b/>
          <w:bCs/>
        </w:rPr>
        <w:t>:</w:t>
      </w:r>
    </w:p>
    <w:p w14:paraId="3058BFDE" w14:textId="2D48F583" w:rsidR="00D21E00" w:rsidRDefault="002F68B4" w:rsidP="00762447">
      <w:pPr>
        <w:spacing w:line="360" w:lineRule="auto"/>
        <w:jc w:val="both"/>
      </w:pPr>
      <w:r w:rsidRPr="002F68B4">
        <w:lastRenderedPageBreak/>
        <w:t>As shown in Appendix A</w:t>
      </w:r>
      <w:r w:rsidR="00D21E00">
        <w:t xml:space="preserve">, the voltage profiles across the network </w:t>
      </w:r>
      <w:r>
        <w:t xml:space="preserve">in Case 0 </w:t>
      </w:r>
      <w:r w:rsidR="00D21E00">
        <w:t xml:space="preserve">generally show stable voltage levels, with only minor fluctuations at different buses. </w:t>
      </w:r>
      <w:r w:rsidR="003C0010" w:rsidRPr="003C0010">
        <w:t>For instance, Bus 1 maintains a voltage of 100%, while other buses like Bus 25 and Bus 26 experience slightly lower voltages of 99.549% and 99.418%, respectively. This is expected, as the system is purely reliant on the 1 MW PV generation without any energy storage, making it susceptible to fluctuations caused by varying generation and load conditions.</w:t>
      </w:r>
      <w:r w:rsidR="003C0010">
        <w:t xml:space="preserve"> </w:t>
      </w:r>
      <w:r w:rsidR="00D21E00">
        <w:t xml:space="preserve">The network experiences small but significant voltage drops at distant buses (e.g., Bus 25 and Bus 26), which could indicate potential voltage instability issues under </w:t>
      </w:r>
      <w:proofErr w:type="gramStart"/>
      <w:r w:rsidR="00D21E00">
        <w:t>load</w:t>
      </w:r>
      <w:proofErr w:type="gramEnd"/>
      <w:r w:rsidR="00D21E00">
        <w:t xml:space="preserve"> or </w:t>
      </w:r>
      <w:r w:rsidR="005145CA">
        <w:t>higher</w:t>
      </w:r>
      <w:r w:rsidR="00D21E00">
        <w:t xml:space="preserve"> generation conditions.</w:t>
      </w:r>
    </w:p>
    <w:p w14:paraId="4209E2B6" w14:textId="6D99FBD4" w:rsidR="00D21E00" w:rsidRPr="00AC4635" w:rsidRDefault="00D21E00">
      <w:pPr>
        <w:pStyle w:val="ListParagraph"/>
        <w:numPr>
          <w:ilvl w:val="0"/>
          <w:numId w:val="14"/>
        </w:numPr>
        <w:spacing w:line="360" w:lineRule="auto"/>
        <w:jc w:val="both"/>
        <w:rPr>
          <w:b/>
          <w:bCs/>
        </w:rPr>
      </w:pPr>
      <w:r w:rsidRPr="00AC4635">
        <w:rPr>
          <w:b/>
          <w:bCs/>
        </w:rPr>
        <w:t xml:space="preserve">Case 1: 1 MW PV System with 17% </w:t>
      </w:r>
      <w:r w:rsidR="00AC4635">
        <w:rPr>
          <w:b/>
          <w:bCs/>
        </w:rPr>
        <w:t>P:</w:t>
      </w:r>
      <w:r w:rsidRPr="00AC4635">
        <w:rPr>
          <w:b/>
          <w:bCs/>
        </w:rPr>
        <w:t xml:space="preserve"> and ESS</w:t>
      </w:r>
    </w:p>
    <w:p w14:paraId="330C25E2" w14:textId="2550A933" w:rsidR="00D21E00" w:rsidRDefault="00D21E00" w:rsidP="00AC4635">
      <w:pPr>
        <w:spacing w:line="360" w:lineRule="auto"/>
        <w:jc w:val="both"/>
      </w:pPr>
      <w:r>
        <w:t xml:space="preserve">The introduction of the </w:t>
      </w:r>
      <w:r w:rsidR="00414BCF">
        <w:t>ESS</w:t>
      </w:r>
      <w:r>
        <w:t xml:space="preserve"> in Case 1 helps to stabilize the voltage profile, especially during charging and discharging cycles of the battery. When charging, the voltage at the buses remains almost unchanged from Case 0, with slight improvements in voltage stability across most of the network. For example, Bus 1 remains at 100%, and Bus 25 and Bus 26 show minor improvements in voltage (99.49% and 99.34%, respectively)</w:t>
      </w:r>
      <w:r w:rsidR="002F68B4">
        <w:t>, f</w:t>
      </w:r>
      <w:r w:rsidR="002F68B4" w:rsidRPr="002F68B4">
        <w:t xml:space="preserve">or more detailed information, </w:t>
      </w:r>
      <w:r w:rsidR="00522D9C" w:rsidRPr="002F68B4">
        <w:t>referring</w:t>
      </w:r>
      <w:r w:rsidR="002F68B4" w:rsidRPr="002F68B4">
        <w:t xml:space="preserve"> to Appendix B</w:t>
      </w:r>
      <w:r>
        <w:t>.</w:t>
      </w:r>
    </w:p>
    <w:p w14:paraId="0CB56AB3" w14:textId="4A0F0CCC" w:rsidR="00D21E00" w:rsidRDefault="002F68B4" w:rsidP="00D21E00">
      <w:pPr>
        <w:spacing w:line="360" w:lineRule="auto"/>
        <w:jc w:val="both"/>
      </w:pPr>
      <w:r>
        <w:t>As shown in Appendix C d</w:t>
      </w:r>
      <w:r w:rsidR="003C0010" w:rsidRPr="003C0010">
        <w:t>uring discharging, the voltage levels slightly dip compared to the charging scenario, but the ESS still plays a role in minimizing larger voltage fluctuations. The voltage profile at most of the buses remains above 99%, indicating that the ESS has effectively mitigated fluctuations that could otherwise lead to instability.</w:t>
      </w:r>
    </w:p>
    <w:p w14:paraId="26CAFE9D" w14:textId="38577239" w:rsidR="00D21E00" w:rsidRPr="00AC4635" w:rsidRDefault="00D21E00">
      <w:pPr>
        <w:pStyle w:val="ListParagraph"/>
        <w:numPr>
          <w:ilvl w:val="0"/>
          <w:numId w:val="14"/>
        </w:numPr>
        <w:spacing w:line="360" w:lineRule="auto"/>
        <w:jc w:val="both"/>
        <w:rPr>
          <w:b/>
          <w:bCs/>
        </w:rPr>
      </w:pPr>
      <w:r w:rsidRPr="00AC4635">
        <w:rPr>
          <w:b/>
          <w:bCs/>
        </w:rPr>
        <w:t xml:space="preserve">Case 2: 3 MW PV System with 50% </w:t>
      </w:r>
      <w:r w:rsidR="00AC4635">
        <w:rPr>
          <w:b/>
          <w:bCs/>
        </w:rPr>
        <w:t>PL</w:t>
      </w:r>
      <w:r w:rsidRPr="00AC4635">
        <w:rPr>
          <w:b/>
          <w:bCs/>
        </w:rPr>
        <w:t xml:space="preserve"> and ESS</w:t>
      </w:r>
    </w:p>
    <w:p w14:paraId="3175DD98" w14:textId="01ECDBFC" w:rsidR="00D21E00" w:rsidRDefault="00D21E00" w:rsidP="00AC4635">
      <w:pPr>
        <w:spacing w:line="360" w:lineRule="auto"/>
        <w:jc w:val="both"/>
      </w:pPr>
      <w:r>
        <w:t xml:space="preserve">With the increased PV capacity in Case 2, voltage profiles </w:t>
      </w:r>
      <w:r w:rsidR="002F68B4">
        <w:t xml:space="preserve">presented in Appendix D </w:t>
      </w:r>
      <w:r>
        <w:t>show relatively high stability across the network, but there are minor variations compared to Case 1. The higher penetration level of renewable energy, paired with the ESS, helps to handle higher PV generation and manage fluctuating demand. Buses closer to the generation point, such as Bus 1 and Bus 2, maintain their voltages at or above 99.97% during both charging and discharging states.</w:t>
      </w:r>
    </w:p>
    <w:p w14:paraId="7A331A4E" w14:textId="4344CCEC" w:rsidR="00D21E00" w:rsidRDefault="00D21E00" w:rsidP="005145CA">
      <w:pPr>
        <w:spacing w:line="360" w:lineRule="auto"/>
        <w:jc w:val="both"/>
      </w:pPr>
      <w:r>
        <w:t xml:space="preserve">For buses farther from the PV generation point </w:t>
      </w:r>
      <w:r w:rsidR="00AC4635">
        <w:t xml:space="preserve">like </w:t>
      </w:r>
      <w:r>
        <w:t xml:space="preserve">Bus 25 and Bus 26, the voltages are generally within acceptable limits, though there is a slight reduction during discharging </w:t>
      </w:r>
      <w:r>
        <w:lastRenderedPageBreak/>
        <w:t xml:space="preserve">99.55% and 99.42%, respectively. </w:t>
      </w:r>
      <w:r w:rsidR="002F68B4">
        <w:t>As shown in Appendix E t</w:t>
      </w:r>
      <w:r>
        <w:t>hese slight voltage reductions during discharging are still manageable and indicate that the ESS is helping to smooth out the power flows.</w:t>
      </w:r>
    </w:p>
    <w:p w14:paraId="158510C8" w14:textId="23FE1331" w:rsidR="00D21E00" w:rsidRPr="00AC4635" w:rsidRDefault="00D21E00">
      <w:pPr>
        <w:pStyle w:val="ListParagraph"/>
        <w:numPr>
          <w:ilvl w:val="0"/>
          <w:numId w:val="14"/>
        </w:numPr>
        <w:spacing w:line="360" w:lineRule="auto"/>
        <w:jc w:val="both"/>
        <w:rPr>
          <w:b/>
          <w:bCs/>
        </w:rPr>
      </w:pPr>
      <w:r w:rsidRPr="00AC4635">
        <w:rPr>
          <w:b/>
          <w:bCs/>
        </w:rPr>
        <w:t xml:space="preserve">Case 3: 6 MW PV with 100% </w:t>
      </w:r>
      <w:r w:rsidR="00AC4635">
        <w:rPr>
          <w:b/>
          <w:bCs/>
        </w:rPr>
        <w:t>PL</w:t>
      </w:r>
      <w:r w:rsidRPr="00AC4635">
        <w:rPr>
          <w:b/>
          <w:bCs/>
        </w:rPr>
        <w:t xml:space="preserve"> and ESS</w:t>
      </w:r>
    </w:p>
    <w:p w14:paraId="65A844E1" w14:textId="30B09920" w:rsidR="00D21E00" w:rsidRDefault="00D21E00" w:rsidP="00AC4635">
      <w:pPr>
        <w:spacing w:line="360" w:lineRule="auto"/>
        <w:jc w:val="both"/>
      </w:pPr>
      <w:r>
        <w:t xml:space="preserve">In Case 3, the 100% penetration of PV energy leads to near-ideal voltage stability across most of the network. The introduction of ESS is crucial here as it allows for balancing the high generation from the PV system and managing the excess energy during periods of low load or during peak sunlight hours. Voltage levels at key </w:t>
      </w:r>
      <w:proofErr w:type="gramStart"/>
      <w:r>
        <w:t>buses</w:t>
      </w:r>
      <w:proofErr w:type="gramEnd"/>
      <w:r>
        <w:t xml:space="preserve"> </w:t>
      </w:r>
      <w:r w:rsidR="00AC4635">
        <w:t>as</w:t>
      </w:r>
      <w:r>
        <w:t xml:space="preserve"> Bus 1, Bus 2, and Bus 9 remain at or above 100%, even during both charging and discharging of the ESS</w:t>
      </w:r>
      <w:r w:rsidR="004F5027">
        <w:t>, see Appendix F and Appendix G for more details</w:t>
      </w:r>
      <w:r>
        <w:t>.</w:t>
      </w:r>
    </w:p>
    <w:p w14:paraId="03674C06" w14:textId="6B5C2EF1" w:rsidR="00D21E00" w:rsidRDefault="00D21E00" w:rsidP="00D21E00">
      <w:pPr>
        <w:spacing w:line="360" w:lineRule="auto"/>
        <w:jc w:val="both"/>
      </w:pPr>
      <w:r>
        <w:t xml:space="preserve">However, some minor voltage fluctuations are observed at distant buses </w:t>
      </w:r>
      <w:r w:rsidR="00AC4635">
        <w:t xml:space="preserve">like </w:t>
      </w:r>
      <w:r>
        <w:t>e.g., Bus 25 and Bus 26, with voltages around 99.66% and 99.56% during charging and discharging. These fluctuations are indicative of the challenges faced when dealing with high penetration of renewable energy but remain within acceptable voltage limits. The performance at these distant buses suggests that the system can handle the full 6 MW of PV generation effectively, as the voltage drops are small and do not pose significant risks to the network's stability.</w:t>
      </w:r>
    </w:p>
    <w:p w14:paraId="6FB88FF8" w14:textId="7BA1F680" w:rsidR="0072550D" w:rsidRDefault="00D21E00" w:rsidP="00762447">
      <w:pPr>
        <w:spacing w:line="360" w:lineRule="auto"/>
        <w:jc w:val="both"/>
      </w:pPr>
      <w:r>
        <w:t>The voltage profiles across all cases demonstrate that the integration of an ESS improves the overall voltage stability, particularly during charging and discharging cycles. In all cases, the ESS plays a significant role in mitigating voltage drops and ensuring consistent voltage levels across the network, especially during times of high generation or varying demand. As the PV penetration increases, the network becomes more reliant on the ESS to balance energy flows and maintain voltage stability, with minor voltage drops observed in the more distant buses. Overall, the integration of ESS in Cases 1, 2, and 3 provides clear benefits in maintaining voltage stability and supporting the increasing renewable energy penetration.</w:t>
      </w:r>
    </w:p>
    <w:p w14:paraId="145A145D" w14:textId="0E6F85F7" w:rsidR="0072550D" w:rsidRDefault="009E779A" w:rsidP="00611456">
      <w:pPr>
        <w:pStyle w:val="Heading2"/>
        <w:numPr>
          <w:ilvl w:val="1"/>
          <w:numId w:val="35"/>
        </w:numPr>
        <w:spacing w:line="360" w:lineRule="auto"/>
        <w:jc w:val="both"/>
      </w:pPr>
      <w:bookmarkStart w:id="45" w:name="_Toc205672552"/>
      <w:r w:rsidRPr="009E779A">
        <w:rPr>
          <w:lang w:eastAsia="ar-SA"/>
        </w:rPr>
        <w:t>Peak-Shaving Effect</w:t>
      </w:r>
      <w:bookmarkEnd w:id="45"/>
      <w:r w:rsidR="0072550D">
        <w:rPr>
          <w:lang w:val="tr-TR"/>
        </w:rPr>
        <w:tab/>
      </w:r>
    </w:p>
    <w:p w14:paraId="58F6E3A0" w14:textId="26B785CC" w:rsidR="0072550D" w:rsidRDefault="009E779A" w:rsidP="008A3F8D">
      <w:pPr>
        <w:spacing w:line="360" w:lineRule="auto"/>
        <w:jc w:val="both"/>
        <w:rPr>
          <w:lang w:eastAsia="ar-SA"/>
        </w:rPr>
      </w:pPr>
      <w:r w:rsidRPr="009E779A">
        <w:rPr>
          <w:lang w:eastAsia="ar-SA"/>
        </w:rPr>
        <w:t>To complement the static analysis, a dynamic time-domain simulation was conducted to evaluate the operational performance of the PV and Energy ESS</w:t>
      </w:r>
      <w:r>
        <w:rPr>
          <w:lang w:eastAsia="ar-SA"/>
        </w:rPr>
        <w:t xml:space="preserve"> </w:t>
      </w:r>
      <w:r w:rsidRPr="009E779A">
        <w:rPr>
          <w:lang w:eastAsia="ar-SA"/>
        </w:rPr>
        <w:t xml:space="preserve">integration under real-time load variations. This section emphasizes the peak-shaving capabilities of the ESS </w:t>
      </w:r>
      <w:r w:rsidRPr="009E779A">
        <w:rPr>
          <w:lang w:eastAsia="ar-SA"/>
        </w:rPr>
        <w:lastRenderedPageBreak/>
        <w:t xml:space="preserve">across all four cases by analyzing the 24-hour power demand profiles and comparing the original grid demand with the net demand observed after PV and ESS </w:t>
      </w:r>
      <w:proofErr w:type="spellStart"/>
      <w:proofErr w:type="gramStart"/>
      <w:r w:rsidRPr="009E779A">
        <w:rPr>
          <w:lang w:eastAsia="ar-SA"/>
        </w:rPr>
        <w:t>deployment.</w:t>
      </w:r>
      <w:r w:rsidR="0072550D">
        <w:rPr>
          <w:lang w:eastAsia="ar-SA"/>
        </w:rPr>
        <w:t>of</w:t>
      </w:r>
      <w:proofErr w:type="spellEnd"/>
      <w:proofErr w:type="gramEnd"/>
      <w:r w:rsidR="0072550D">
        <w:rPr>
          <w:lang w:eastAsia="ar-SA"/>
        </w:rPr>
        <w:t xml:space="preserve"> the electrical system, including both transmission and storage components.</w:t>
      </w:r>
    </w:p>
    <w:p w14:paraId="3A4AD0A8" w14:textId="77777777" w:rsidR="009E779A" w:rsidRPr="00D21E00" w:rsidRDefault="009E779A" w:rsidP="009E779A">
      <w:pPr>
        <w:pStyle w:val="ListParagraph"/>
        <w:numPr>
          <w:ilvl w:val="0"/>
          <w:numId w:val="14"/>
        </w:numPr>
        <w:spacing w:line="360" w:lineRule="auto"/>
        <w:jc w:val="both"/>
        <w:rPr>
          <w:b/>
          <w:bCs/>
        </w:rPr>
      </w:pPr>
      <w:r w:rsidRPr="00D21E00">
        <w:rPr>
          <w:b/>
          <w:bCs/>
        </w:rPr>
        <w:t>Case 0: Current Network Configuration</w:t>
      </w:r>
      <w:r>
        <w:rPr>
          <w:b/>
          <w:bCs/>
        </w:rPr>
        <w:t>:</w:t>
      </w:r>
    </w:p>
    <w:p w14:paraId="097DAF53" w14:textId="76C1424C" w:rsidR="009E779A" w:rsidRDefault="009E779A" w:rsidP="008A3F8D">
      <w:pPr>
        <w:spacing w:line="360" w:lineRule="auto"/>
        <w:jc w:val="both"/>
        <w:rPr>
          <w:lang w:eastAsia="ar-SA"/>
        </w:rPr>
      </w:pPr>
      <w:r w:rsidRPr="009E779A">
        <w:rPr>
          <w:lang w:eastAsia="ar-SA"/>
        </w:rPr>
        <w:t>In the baseline configuration, where the system includes a 1 MW PV installation without any energy storage, the grid is responsible for supplying the entire load profile. Without the ability to store excess PV energy or shift loads, the network experiences full exposure to peak demand events, particularly during the evening hours between 6:00 PM and 9:00 PM. This results in a pronounced peak in power consumption, placing considerable stress on transformers and distribution infrastructure. Additionally, any midday PV surplus cannot be effectively utilized or stored, leading to wasted generation and a poor load factor. The load profile remains unchanged throughout the day, which highlights the limitations of a PV-only system in terms of peak management.</w:t>
      </w:r>
    </w:p>
    <w:p w14:paraId="5614CD9F" w14:textId="77777777" w:rsidR="009E779A" w:rsidRPr="00AC4635" w:rsidRDefault="009E779A" w:rsidP="009E779A">
      <w:pPr>
        <w:pStyle w:val="ListParagraph"/>
        <w:numPr>
          <w:ilvl w:val="0"/>
          <w:numId w:val="14"/>
        </w:numPr>
        <w:spacing w:line="360" w:lineRule="auto"/>
        <w:jc w:val="both"/>
        <w:rPr>
          <w:b/>
          <w:bCs/>
        </w:rPr>
      </w:pPr>
      <w:r w:rsidRPr="00AC4635">
        <w:rPr>
          <w:b/>
          <w:bCs/>
        </w:rPr>
        <w:t xml:space="preserve">Case 1: 1 MW PV System with 17% </w:t>
      </w:r>
      <w:r>
        <w:rPr>
          <w:b/>
          <w:bCs/>
        </w:rPr>
        <w:t>P:</w:t>
      </w:r>
      <w:r w:rsidRPr="00AC4635">
        <w:rPr>
          <w:b/>
          <w:bCs/>
        </w:rPr>
        <w:t xml:space="preserve"> and ESS</w:t>
      </w:r>
    </w:p>
    <w:p w14:paraId="4BD6CA34" w14:textId="22E3EBDF" w:rsidR="009E779A" w:rsidRDefault="009E779A" w:rsidP="008A3F8D">
      <w:pPr>
        <w:spacing w:line="360" w:lineRule="auto"/>
        <w:jc w:val="both"/>
        <w:rPr>
          <w:lang w:eastAsia="ar-SA"/>
        </w:rPr>
      </w:pPr>
      <w:r w:rsidRPr="009E779A">
        <w:rPr>
          <w:lang w:eastAsia="ar-SA"/>
        </w:rPr>
        <w:t xml:space="preserve">With the integration of an ESS into the existing 1 MW PV system at a 17% penetration level, noticeable improvements begin to emerge. The simulation results, as illustrated in </w:t>
      </w:r>
      <w:r w:rsidRPr="001544B6">
        <w:rPr>
          <w:lang w:eastAsia="ar-SA"/>
        </w:rPr>
        <w:t xml:space="preserve">Figure </w:t>
      </w:r>
      <w:r w:rsidR="00704B8C">
        <w:rPr>
          <w:lang w:eastAsia="ar-SA"/>
        </w:rPr>
        <w:t>7</w:t>
      </w:r>
      <w:r w:rsidRPr="009E779A">
        <w:rPr>
          <w:lang w:eastAsia="ar-SA"/>
        </w:rPr>
        <w:t>, indicate that the ESS discharges strategically during peak demand hours, particularly in the early evening, resulting in a reduction in peak load from approximately 2,700 kW to around 1,800 kW. This represents a peak shaving of roughly 33%. During early morning hours, the ESS is charged from either the PV surplus or the grid during off-peak times. Although the capacity of the ESS is limited, its operation clearly smooths the load profile and slightly enhances voltage stability. This case demonstrates the initial benefits of ESS integration, where even a modest storage solution can reduce strain on the network and provide economic and technical advantages.</w:t>
      </w:r>
    </w:p>
    <w:p w14:paraId="0633A38C" w14:textId="77777777" w:rsidR="0023765E" w:rsidRDefault="0023765E" w:rsidP="008A3F8D">
      <w:pPr>
        <w:spacing w:line="360" w:lineRule="auto"/>
        <w:jc w:val="both"/>
        <w:rPr>
          <w:lang w:eastAsia="ar-SA"/>
        </w:rPr>
      </w:pPr>
    </w:p>
    <w:p w14:paraId="07C9E2FC" w14:textId="51E7BE49" w:rsidR="001544B6" w:rsidRDefault="001544B6" w:rsidP="001544B6">
      <w:pPr>
        <w:pStyle w:val="Caption"/>
        <w:rPr>
          <w:lang w:eastAsia="ar-SA"/>
        </w:rPr>
      </w:pPr>
      <w:bookmarkStart w:id="46" w:name="_Toc201839290"/>
      <w:r w:rsidRPr="001544B6">
        <w:rPr>
          <w:b/>
          <w:bCs/>
          <w:i w:val="0"/>
          <w:iCs w:val="0"/>
          <w:color w:val="auto"/>
          <w:sz w:val="22"/>
          <w:szCs w:val="22"/>
        </w:rPr>
        <w:t xml:space="preserve">Figure </w:t>
      </w:r>
      <w:r w:rsidR="00704B8C">
        <w:rPr>
          <w:b/>
          <w:bCs/>
          <w:i w:val="0"/>
          <w:iCs w:val="0"/>
          <w:color w:val="auto"/>
          <w:sz w:val="22"/>
          <w:szCs w:val="22"/>
        </w:rPr>
        <w:t>7</w:t>
      </w:r>
      <w:r>
        <w:br/>
      </w:r>
      <w:r w:rsidRPr="001544B6">
        <w:rPr>
          <w:color w:val="auto"/>
          <w:sz w:val="22"/>
          <w:szCs w:val="22"/>
          <w:lang w:eastAsia="ar-SA"/>
        </w:rPr>
        <w:t>Dynamic Load Profile for Case 1 at 1 MW PV with 17% Penetration and ESS</w:t>
      </w:r>
      <w:bookmarkEnd w:id="46"/>
    </w:p>
    <w:p w14:paraId="3C185233" w14:textId="122EB67B" w:rsidR="009E779A" w:rsidRDefault="001544B6" w:rsidP="001544B6">
      <w:pPr>
        <w:spacing w:line="360" w:lineRule="auto"/>
        <w:jc w:val="center"/>
        <w:rPr>
          <w:lang w:eastAsia="ar-SA"/>
        </w:rPr>
      </w:pPr>
      <w:r>
        <w:rPr>
          <w:noProof/>
        </w:rPr>
        <w:lastRenderedPageBreak/>
        <w:drawing>
          <wp:inline distT="0" distB="0" distL="0" distR="0" wp14:anchorId="37AE8F70" wp14:editId="5E51184D">
            <wp:extent cx="5410200" cy="2605826"/>
            <wp:effectExtent l="0" t="0" r="0" b="4445"/>
            <wp:docPr id="112836457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364579"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5496380" cy="2647335"/>
                    </a:xfrm>
                    <a:prstGeom prst="rect">
                      <a:avLst/>
                    </a:prstGeom>
                  </pic:spPr>
                </pic:pic>
              </a:graphicData>
            </a:graphic>
          </wp:inline>
        </w:drawing>
      </w:r>
    </w:p>
    <w:p w14:paraId="0C16326A" w14:textId="77777777" w:rsidR="009E779A" w:rsidRPr="00AC4635" w:rsidRDefault="009E779A" w:rsidP="009E779A">
      <w:pPr>
        <w:pStyle w:val="ListParagraph"/>
        <w:numPr>
          <w:ilvl w:val="0"/>
          <w:numId w:val="14"/>
        </w:numPr>
        <w:spacing w:line="360" w:lineRule="auto"/>
        <w:jc w:val="both"/>
        <w:rPr>
          <w:b/>
          <w:bCs/>
        </w:rPr>
      </w:pPr>
      <w:r w:rsidRPr="00AC4635">
        <w:rPr>
          <w:b/>
          <w:bCs/>
        </w:rPr>
        <w:t xml:space="preserve">Case 2: 3 MW PV System with 50% </w:t>
      </w:r>
      <w:r>
        <w:rPr>
          <w:b/>
          <w:bCs/>
        </w:rPr>
        <w:t>PL</w:t>
      </w:r>
      <w:r w:rsidRPr="00AC4635">
        <w:rPr>
          <w:b/>
          <w:bCs/>
        </w:rPr>
        <w:t xml:space="preserve"> and ESS</w:t>
      </w:r>
    </w:p>
    <w:p w14:paraId="744037B2" w14:textId="1F21D8BD" w:rsidR="009E779A" w:rsidRDefault="009E779A" w:rsidP="009E779A">
      <w:pPr>
        <w:spacing w:line="360" w:lineRule="auto"/>
        <w:jc w:val="both"/>
        <w:rPr>
          <w:lang w:eastAsia="ar-SA"/>
        </w:rPr>
      </w:pPr>
      <w:r w:rsidRPr="009E779A">
        <w:rPr>
          <w:lang w:eastAsia="ar-SA"/>
        </w:rPr>
        <w:t xml:space="preserve">As the PV capacity increases to 3 MW and penetration reaches 50%, the impact of the ESS on the load profile becomes significantly more pronounced. The simulation data, shown </w:t>
      </w:r>
      <w:r w:rsidRPr="00276D76">
        <w:rPr>
          <w:lang w:eastAsia="ar-SA"/>
        </w:rPr>
        <w:t xml:space="preserve">in Figure </w:t>
      </w:r>
      <w:r w:rsidR="00704B8C">
        <w:rPr>
          <w:lang w:eastAsia="ar-SA"/>
        </w:rPr>
        <w:t>8</w:t>
      </w:r>
      <w:r w:rsidRPr="009E779A">
        <w:rPr>
          <w:lang w:eastAsia="ar-SA"/>
        </w:rPr>
        <w:t>, reveal multiple instances of net demand dips throughout the day, particularly between late morning and mid-afternoon, as the ESS is charged during surplus PV generation. These dips are followed by a substantial reduction in peak demand during the evening hours. The peak load is reduced from approximately 2,7</w:t>
      </w:r>
      <w:r w:rsidR="0029060B">
        <w:rPr>
          <w:lang w:eastAsia="ar-SA"/>
        </w:rPr>
        <w:t>0</w:t>
      </w:r>
      <w:r w:rsidRPr="009E779A">
        <w:rPr>
          <w:lang w:eastAsia="ar-SA"/>
        </w:rPr>
        <w:t>0 kW to 1,350 kW, yielding a peak-shaving benefit of nearly 51%. Moreover, brief export events begin to appear as the PV system occasionally generates more energy than both the load and ESS can accommodate. This case illustrates the dual benefit of flattening the load curve and enabling grid exports, signifying an increasingly self-sufficient and efficient energy system.</w:t>
      </w:r>
    </w:p>
    <w:p w14:paraId="10680D4A" w14:textId="77777777" w:rsidR="0023765E" w:rsidRDefault="0023765E" w:rsidP="009E779A">
      <w:pPr>
        <w:spacing w:line="360" w:lineRule="auto"/>
        <w:jc w:val="both"/>
        <w:rPr>
          <w:lang w:eastAsia="ar-SA"/>
        </w:rPr>
      </w:pPr>
    </w:p>
    <w:p w14:paraId="14750348" w14:textId="77777777" w:rsidR="0023765E" w:rsidRDefault="0023765E" w:rsidP="009E779A">
      <w:pPr>
        <w:spacing w:line="360" w:lineRule="auto"/>
        <w:jc w:val="both"/>
        <w:rPr>
          <w:lang w:eastAsia="ar-SA"/>
        </w:rPr>
      </w:pPr>
    </w:p>
    <w:p w14:paraId="4226D2AA" w14:textId="77777777" w:rsidR="0023765E" w:rsidRDefault="0023765E" w:rsidP="009E779A">
      <w:pPr>
        <w:spacing w:line="360" w:lineRule="auto"/>
        <w:jc w:val="both"/>
        <w:rPr>
          <w:lang w:eastAsia="ar-SA"/>
        </w:rPr>
      </w:pPr>
    </w:p>
    <w:p w14:paraId="726E43F0" w14:textId="556A4C2E" w:rsidR="00276D76" w:rsidRDefault="001544B6" w:rsidP="0023765E">
      <w:pPr>
        <w:pStyle w:val="Caption"/>
        <w:spacing w:line="360" w:lineRule="auto"/>
        <w:rPr>
          <w:color w:val="auto"/>
          <w:sz w:val="22"/>
          <w:szCs w:val="22"/>
        </w:rPr>
      </w:pPr>
      <w:bookmarkStart w:id="47" w:name="_Toc201839291"/>
      <w:r w:rsidRPr="00276D76">
        <w:rPr>
          <w:b/>
          <w:bCs/>
          <w:i w:val="0"/>
          <w:iCs w:val="0"/>
          <w:color w:val="auto"/>
          <w:sz w:val="22"/>
          <w:szCs w:val="22"/>
        </w:rPr>
        <w:t xml:space="preserve">Figure </w:t>
      </w:r>
      <w:r w:rsidR="00704B8C">
        <w:rPr>
          <w:b/>
          <w:bCs/>
          <w:i w:val="0"/>
          <w:iCs w:val="0"/>
          <w:color w:val="auto"/>
          <w:sz w:val="22"/>
          <w:szCs w:val="22"/>
        </w:rPr>
        <w:t>8</w:t>
      </w:r>
      <w:r w:rsidR="00276D76" w:rsidRPr="00276D76">
        <w:rPr>
          <w:b/>
          <w:bCs/>
          <w:i w:val="0"/>
          <w:iCs w:val="0"/>
          <w:color w:val="auto"/>
          <w:sz w:val="22"/>
          <w:szCs w:val="22"/>
        </w:rPr>
        <w:t xml:space="preserve"> </w:t>
      </w:r>
      <w:r w:rsidR="00276D76" w:rsidRPr="00276D76">
        <w:rPr>
          <w:color w:val="auto"/>
          <w:sz w:val="22"/>
          <w:szCs w:val="22"/>
        </w:rPr>
        <w:br/>
        <w:t>Dynamic Load Profile for Case 2 – 3 MW PV with 50% Penetration and ESS</w:t>
      </w:r>
      <w:bookmarkEnd w:id="47"/>
    </w:p>
    <w:p w14:paraId="46FF4829" w14:textId="326DA077" w:rsidR="00276D76" w:rsidRPr="00276D76" w:rsidRDefault="00276D76" w:rsidP="00276D76">
      <w:pPr>
        <w:pStyle w:val="Caption"/>
      </w:pPr>
      <w:r>
        <w:rPr>
          <w:noProof/>
        </w:rPr>
        <w:lastRenderedPageBreak/>
        <w:drawing>
          <wp:inline distT="0" distB="0" distL="0" distR="0" wp14:anchorId="53F3D956" wp14:editId="24766F58">
            <wp:extent cx="5401310" cy="3352800"/>
            <wp:effectExtent l="0" t="0" r="8890" b="0"/>
            <wp:docPr id="66248024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480246" name=""/>
                    <pic:cNvPicPr/>
                  </pic:nvPicPr>
                  <pic:blipFill>
                    <a:blip r:embed="rId23">
                      <a:extLst>
                        <a:ext uri="{96DAC541-7B7A-43D3-8B79-37D633B846F1}">
                          <asvg:svgBlip xmlns:asvg="http://schemas.microsoft.com/office/drawing/2016/SVG/main" r:embed="rId24"/>
                        </a:ext>
                      </a:extLst>
                    </a:blip>
                    <a:stretch>
                      <a:fillRect/>
                    </a:stretch>
                  </pic:blipFill>
                  <pic:spPr>
                    <a:xfrm>
                      <a:off x="0" y="0"/>
                      <a:ext cx="5401310" cy="3352800"/>
                    </a:xfrm>
                    <a:prstGeom prst="rect">
                      <a:avLst/>
                    </a:prstGeom>
                  </pic:spPr>
                </pic:pic>
              </a:graphicData>
            </a:graphic>
          </wp:inline>
        </w:drawing>
      </w:r>
    </w:p>
    <w:p w14:paraId="42484A07" w14:textId="75227C16" w:rsidR="009E779A" w:rsidRPr="009E779A" w:rsidRDefault="009E779A" w:rsidP="009E779A">
      <w:pPr>
        <w:pStyle w:val="ListParagraph"/>
        <w:numPr>
          <w:ilvl w:val="0"/>
          <w:numId w:val="14"/>
        </w:numPr>
        <w:spacing w:line="360" w:lineRule="auto"/>
        <w:jc w:val="both"/>
        <w:rPr>
          <w:b/>
          <w:bCs/>
        </w:rPr>
      </w:pPr>
      <w:r w:rsidRPr="009E779A">
        <w:rPr>
          <w:b/>
          <w:bCs/>
        </w:rPr>
        <w:t>Case 3: 6 MW PV with 100% PL and ESS</w:t>
      </w:r>
    </w:p>
    <w:p w14:paraId="6A4CB652" w14:textId="2B069B6A" w:rsidR="009E779A" w:rsidRDefault="009E779A" w:rsidP="009E779A">
      <w:pPr>
        <w:spacing w:line="360" w:lineRule="auto"/>
        <w:jc w:val="both"/>
        <w:rPr>
          <w:lang w:eastAsia="ar-SA"/>
        </w:rPr>
      </w:pPr>
      <w:r w:rsidRPr="009E779A">
        <w:rPr>
          <w:lang w:eastAsia="ar-SA"/>
        </w:rPr>
        <w:t xml:space="preserve">In the final and most advanced scenario, the system operates with 6 MW of PV capacity, reaching 100% penetration. The combination of high solar generation and robust energy storage produces the most favorable results. </w:t>
      </w:r>
      <w:proofErr w:type="gramStart"/>
      <w:r w:rsidRPr="009E779A">
        <w:rPr>
          <w:lang w:eastAsia="ar-SA"/>
        </w:rPr>
        <w:t>The power</w:t>
      </w:r>
      <w:proofErr w:type="gramEnd"/>
      <w:r w:rsidRPr="009E779A">
        <w:rPr>
          <w:lang w:eastAsia="ar-SA"/>
        </w:rPr>
        <w:t xml:space="preserve"> profiles, presented in </w:t>
      </w:r>
      <w:r w:rsidRPr="00276D76">
        <w:rPr>
          <w:lang w:eastAsia="ar-SA"/>
        </w:rPr>
        <w:t xml:space="preserve">Figure </w:t>
      </w:r>
      <w:r w:rsidR="00704B8C">
        <w:rPr>
          <w:lang w:eastAsia="ar-SA"/>
        </w:rPr>
        <w:t>9</w:t>
      </w:r>
      <w:r w:rsidRPr="00276D76">
        <w:rPr>
          <w:lang w:eastAsia="ar-SA"/>
        </w:rPr>
        <w:t>,</w:t>
      </w:r>
      <w:r w:rsidRPr="009E779A">
        <w:rPr>
          <w:lang w:eastAsia="ar-SA"/>
        </w:rPr>
        <w:t xml:space="preserve"> demonstrate that throughout the early morning hours, the net power is consistently negative or near zero, indicating frequent export or battery charging behavior. Between 9:00 AM and 12:00 PM, and again from 3:00 PM to 5:00 PM, large export events are observed due to PV overproduction exceeding local demand and ESS charging capability. Most importantly, the evening peak, typically the most critical period for grid stress, is significantly mitigated. Net demand is reduced from about 2,700 kW to less than 1,000 kW, translating into a 63% reduction. The resulting load profile is smooth, stable, and ideal for both utility-scale operation and customer-side reliability. This case confirms the technical viability of achieving near-complete peak shaving through high-penetration PV combined with energy storage.</w:t>
      </w:r>
    </w:p>
    <w:p w14:paraId="5D987048" w14:textId="061CA67E" w:rsidR="009E779A" w:rsidRPr="00276D76" w:rsidRDefault="00276D76" w:rsidP="00276D76">
      <w:pPr>
        <w:pStyle w:val="Caption"/>
        <w:rPr>
          <w:color w:val="auto"/>
          <w:sz w:val="22"/>
          <w:szCs w:val="22"/>
          <w:lang w:eastAsia="ar-SA"/>
        </w:rPr>
      </w:pPr>
      <w:bookmarkStart w:id="48" w:name="_Toc201839292"/>
      <w:r w:rsidRPr="00276D76">
        <w:rPr>
          <w:b/>
          <w:bCs/>
          <w:i w:val="0"/>
          <w:iCs w:val="0"/>
          <w:color w:val="auto"/>
          <w:sz w:val="22"/>
          <w:szCs w:val="22"/>
        </w:rPr>
        <w:t xml:space="preserve">Figure </w:t>
      </w:r>
      <w:r w:rsidR="00704B8C">
        <w:rPr>
          <w:b/>
          <w:bCs/>
          <w:i w:val="0"/>
          <w:iCs w:val="0"/>
          <w:color w:val="auto"/>
          <w:sz w:val="22"/>
          <w:szCs w:val="22"/>
        </w:rPr>
        <w:t>9</w:t>
      </w:r>
      <w:r w:rsidRPr="00276D76">
        <w:rPr>
          <w:i w:val="0"/>
          <w:iCs w:val="0"/>
          <w:color w:val="auto"/>
          <w:sz w:val="32"/>
          <w:szCs w:val="32"/>
        </w:rPr>
        <w:t xml:space="preserve"> </w:t>
      </w:r>
      <w:r w:rsidRPr="00276D76">
        <w:rPr>
          <w:i w:val="0"/>
          <w:iCs w:val="0"/>
          <w:color w:val="auto"/>
          <w:sz w:val="32"/>
          <w:szCs w:val="32"/>
        </w:rPr>
        <w:br/>
      </w:r>
      <w:r w:rsidRPr="00276D76">
        <w:rPr>
          <w:color w:val="auto"/>
          <w:sz w:val="22"/>
          <w:szCs w:val="22"/>
        </w:rPr>
        <w:t>Dynamic Load Profile for Case 3 – 6 MW PV with 100% Penetration and ESS</w:t>
      </w:r>
      <w:bookmarkEnd w:id="48"/>
    </w:p>
    <w:p w14:paraId="30CD8F8D" w14:textId="78855C08" w:rsidR="009E779A" w:rsidRDefault="00276D76" w:rsidP="008A3F8D">
      <w:pPr>
        <w:spacing w:line="360" w:lineRule="auto"/>
        <w:jc w:val="both"/>
        <w:rPr>
          <w:lang w:eastAsia="ar-SA"/>
        </w:rPr>
      </w:pPr>
      <w:r>
        <w:rPr>
          <w:noProof/>
        </w:rPr>
        <w:lastRenderedPageBreak/>
        <w:drawing>
          <wp:inline distT="0" distB="0" distL="0" distR="0" wp14:anchorId="2F289F1C" wp14:editId="7037F7EF">
            <wp:extent cx="5401310" cy="2814955"/>
            <wp:effectExtent l="0" t="0" r="8890" b="4445"/>
            <wp:docPr id="94724043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240438" name=""/>
                    <pic:cNvPicPr/>
                  </pic:nvPicPr>
                  <pic:blipFill>
                    <a:blip r:embed="rId25">
                      <a:extLst>
                        <a:ext uri="{96DAC541-7B7A-43D3-8B79-37D633B846F1}">
                          <asvg:svgBlip xmlns:asvg="http://schemas.microsoft.com/office/drawing/2016/SVG/main" r:embed="rId26"/>
                        </a:ext>
                      </a:extLst>
                    </a:blip>
                    <a:stretch>
                      <a:fillRect/>
                    </a:stretch>
                  </pic:blipFill>
                  <pic:spPr>
                    <a:xfrm>
                      <a:off x="0" y="0"/>
                      <a:ext cx="5401310" cy="2814955"/>
                    </a:xfrm>
                    <a:prstGeom prst="rect">
                      <a:avLst/>
                    </a:prstGeom>
                  </pic:spPr>
                </pic:pic>
              </a:graphicData>
            </a:graphic>
          </wp:inline>
        </w:drawing>
      </w:r>
    </w:p>
    <w:p w14:paraId="2FA1C18E" w14:textId="77777777" w:rsidR="009E779A" w:rsidRDefault="009E779A" w:rsidP="00611456">
      <w:pPr>
        <w:pStyle w:val="Heading2"/>
        <w:numPr>
          <w:ilvl w:val="1"/>
          <w:numId w:val="35"/>
        </w:numPr>
        <w:spacing w:line="360" w:lineRule="auto"/>
        <w:jc w:val="both"/>
      </w:pPr>
      <w:bookmarkStart w:id="49" w:name="_Toc205672553"/>
      <w:r>
        <w:rPr>
          <w:lang w:eastAsia="ar-SA"/>
        </w:rPr>
        <w:t>Loss Analysis</w:t>
      </w:r>
      <w:bookmarkEnd w:id="49"/>
      <w:r>
        <w:rPr>
          <w:lang w:val="tr-TR"/>
        </w:rPr>
        <w:tab/>
      </w:r>
    </w:p>
    <w:p w14:paraId="6781D851" w14:textId="6E9A4DAB" w:rsidR="00276D76" w:rsidRDefault="009E779A" w:rsidP="0023765E">
      <w:pPr>
        <w:spacing w:line="360" w:lineRule="auto"/>
        <w:jc w:val="both"/>
        <w:rPr>
          <w:lang w:eastAsia="ar-SA"/>
        </w:rPr>
      </w:pPr>
      <w:r>
        <w:rPr>
          <w:lang w:eastAsia="ar-SA"/>
        </w:rPr>
        <w:t xml:space="preserve">This section evaluates the power losses across the different cases for the </w:t>
      </w:r>
      <w:proofErr w:type="spellStart"/>
      <w:r>
        <w:rPr>
          <w:lang w:eastAsia="ar-SA"/>
        </w:rPr>
        <w:t>Arraba</w:t>
      </w:r>
      <w:proofErr w:type="spellEnd"/>
      <w:r>
        <w:rPr>
          <w:lang w:eastAsia="ar-SA"/>
        </w:rPr>
        <w:t xml:space="preserve"> village electrical network. The losses are analyzed during both the charging and discharging phases of ESS in Cases 1, 2, and 3, in addition to the apparent losses in Case 0, which serves as the base case. Power losses are crucial indicators for assessing the efficiency of the electrical system, including both transmission and storage components.</w:t>
      </w:r>
    </w:p>
    <w:p w14:paraId="02426BCC" w14:textId="77777777" w:rsidR="0072550D" w:rsidRPr="00D21E00" w:rsidRDefault="0072550D">
      <w:pPr>
        <w:pStyle w:val="ListParagraph"/>
        <w:numPr>
          <w:ilvl w:val="0"/>
          <w:numId w:val="14"/>
        </w:numPr>
        <w:spacing w:line="360" w:lineRule="auto"/>
        <w:jc w:val="both"/>
        <w:rPr>
          <w:b/>
          <w:bCs/>
        </w:rPr>
      </w:pPr>
      <w:r w:rsidRPr="00D21E00">
        <w:rPr>
          <w:b/>
          <w:bCs/>
        </w:rPr>
        <w:t>Case 0: Current Network Configuration</w:t>
      </w:r>
      <w:r>
        <w:rPr>
          <w:b/>
          <w:bCs/>
        </w:rPr>
        <w:t>:</w:t>
      </w:r>
    </w:p>
    <w:p w14:paraId="4EBB3A86" w14:textId="5B015EBD" w:rsidR="0072550D" w:rsidRDefault="0072550D" w:rsidP="00762447">
      <w:pPr>
        <w:spacing w:line="360" w:lineRule="auto"/>
        <w:jc w:val="both"/>
        <w:rPr>
          <w:lang w:eastAsia="ar-SA"/>
        </w:rPr>
      </w:pPr>
      <w:r>
        <w:rPr>
          <w:lang w:eastAsia="ar-SA"/>
        </w:rPr>
        <w:t>In Case 0, the apparent power losses are calculated to be 0.064 MW. These losses primarily result from the transmission and distribution of energy within the network without any energy storage system. The absence of ESS means that there is no additional mechanism to manage the power flow, which could otherwise help to reduce losses. This value represents a baseline for comparison against the other cases that include energy storage systems.</w:t>
      </w:r>
    </w:p>
    <w:p w14:paraId="0FCAFB09" w14:textId="77777777" w:rsidR="0072550D" w:rsidRPr="00AC4635" w:rsidRDefault="0072550D">
      <w:pPr>
        <w:pStyle w:val="ListParagraph"/>
        <w:numPr>
          <w:ilvl w:val="0"/>
          <w:numId w:val="14"/>
        </w:numPr>
        <w:spacing w:line="360" w:lineRule="auto"/>
        <w:jc w:val="both"/>
        <w:rPr>
          <w:b/>
          <w:bCs/>
        </w:rPr>
      </w:pPr>
      <w:r w:rsidRPr="00AC4635">
        <w:rPr>
          <w:b/>
          <w:bCs/>
        </w:rPr>
        <w:t xml:space="preserve">Case 1: 1 MW PV System with 17% </w:t>
      </w:r>
      <w:r>
        <w:rPr>
          <w:b/>
          <w:bCs/>
        </w:rPr>
        <w:t>P:</w:t>
      </w:r>
      <w:r w:rsidRPr="00AC4635">
        <w:rPr>
          <w:b/>
          <w:bCs/>
        </w:rPr>
        <w:t xml:space="preserve"> and ESS</w:t>
      </w:r>
    </w:p>
    <w:p w14:paraId="6521E40C" w14:textId="77777777" w:rsidR="0072550D" w:rsidRDefault="0072550D" w:rsidP="0072550D">
      <w:pPr>
        <w:spacing w:line="360" w:lineRule="auto"/>
        <w:jc w:val="both"/>
        <w:rPr>
          <w:lang w:eastAsia="ar-SA"/>
        </w:rPr>
      </w:pPr>
      <w:r>
        <w:rPr>
          <w:lang w:eastAsia="ar-SA"/>
        </w:rPr>
        <w:t>In Case 1, the presence of the ESS during charging reduces the apparent AC losses significantly compared to Case 0. The total AC losses are only 0.016 MW, which is a substantial improvement. However, there are still DC losses of 0.03 MW, which can be attributed to the inefficiencies in the charging process of the ESS. These losses occur as the energy is converted from AC to DC and stored in the battery.</w:t>
      </w:r>
    </w:p>
    <w:p w14:paraId="643203D4" w14:textId="27721F2D" w:rsidR="0072550D" w:rsidRDefault="003C0010" w:rsidP="0072550D">
      <w:pPr>
        <w:spacing w:line="360" w:lineRule="auto"/>
        <w:jc w:val="both"/>
        <w:rPr>
          <w:lang w:eastAsia="ar-SA"/>
        </w:rPr>
      </w:pPr>
      <w:r w:rsidRPr="003C0010">
        <w:rPr>
          <w:lang w:eastAsia="ar-SA"/>
        </w:rPr>
        <w:lastRenderedPageBreak/>
        <w:t xml:space="preserve">During </w:t>
      </w:r>
      <w:proofErr w:type="gramStart"/>
      <w:r w:rsidRPr="003C0010">
        <w:rPr>
          <w:lang w:eastAsia="ar-SA"/>
        </w:rPr>
        <w:t>discharging</w:t>
      </w:r>
      <w:proofErr w:type="gramEnd"/>
      <w:r w:rsidRPr="003C0010">
        <w:rPr>
          <w:lang w:eastAsia="ar-SA"/>
        </w:rPr>
        <w:t xml:space="preserve">, the apparent AC losses </w:t>
      </w:r>
      <w:proofErr w:type="gramStart"/>
      <w:r w:rsidRPr="003C0010">
        <w:rPr>
          <w:lang w:eastAsia="ar-SA"/>
        </w:rPr>
        <w:t>increase</w:t>
      </w:r>
      <w:proofErr w:type="gramEnd"/>
      <w:r w:rsidRPr="003C0010">
        <w:rPr>
          <w:lang w:eastAsia="ar-SA"/>
        </w:rPr>
        <w:t xml:space="preserve"> slightly to 0.019 MW compared to the charging phase. However, the DC losses are negligible, indicating that the discharging process is relatively efficient when compared to charging, especially as the ESS facilitates smoother energy release.</w:t>
      </w:r>
    </w:p>
    <w:p w14:paraId="421CAFF9" w14:textId="77777777" w:rsidR="0072550D" w:rsidRPr="00AC4635" w:rsidRDefault="0072550D">
      <w:pPr>
        <w:pStyle w:val="ListParagraph"/>
        <w:numPr>
          <w:ilvl w:val="0"/>
          <w:numId w:val="14"/>
        </w:numPr>
        <w:spacing w:line="360" w:lineRule="auto"/>
        <w:jc w:val="both"/>
        <w:rPr>
          <w:b/>
          <w:bCs/>
        </w:rPr>
      </w:pPr>
      <w:r w:rsidRPr="00AC4635">
        <w:rPr>
          <w:b/>
          <w:bCs/>
        </w:rPr>
        <w:t xml:space="preserve">Case 2: 3 MW PV System with 50% </w:t>
      </w:r>
      <w:r>
        <w:rPr>
          <w:b/>
          <w:bCs/>
        </w:rPr>
        <w:t>PL</w:t>
      </w:r>
      <w:r w:rsidRPr="00AC4635">
        <w:rPr>
          <w:b/>
          <w:bCs/>
        </w:rPr>
        <w:t xml:space="preserve"> and ESS</w:t>
      </w:r>
    </w:p>
    <w:p w14:paraId="420E975D" w14:textId="77777777" w:rsidR="0072550D" w:rsidRDefault="0072550D" w:rsidP="0072550D">
      <w:pPr>
        <w:spacing w:line="360" w:lineRule="auto"/>
        <w:jc w:val="both"/>
        <w:rPr>
          <w:lang w:eastAsia="ar-SA"/>
        </w:rPr>
      </w:pPr>
      <w:r>
        <w:rPr>
          <w:lang w:eastAsia="ar-SA"/>
        </w:rPr>
        <w:t>In Case 2, the increase in PV system penetration leads to higher apparent AC losses of 0.026 MW during charging. Additionally, the DC losses are recorded at 0.021 MW. The higher power generation from the PV system means that more energy is being converted and stored, leading to slightly higher losses during both AC to DC conversion and storage.</w:t>
      </w:r>
    </w:p>
    <w:p w14:paraId="7FFDC6B0" w14:textId="492DFD33" w:rsidR="004D53C7" w:rsidRDefault="0072550D" w:rsidP="005145CA">
      <w:pPr>
        <w:spacing w:line="360" w:lineRule="auto"/>
        <w:jc w:val="both"/>
        <w:rPr>
          <w:lang w:eastAsia="ar-SA"/>
        </w:rPr>
      </w:pPr>
      <w:r>
        <w:rPr>
          <w:lang w:eastAsia="ar-SA"/>
        </w:rPr>
        <w:t xml:space="preserve">During discharging, the apparent AC losses </w:t>
      </w:r>
      <w:r w:rsidR="004F5027">
        <w:rPr>
          <w:lang w:eastAsia="ar-SA"/>
        </w:rPr>
        <w:t>decreased</w:t>
      </w:r>
      <w:r>
        <w:rPr>
          <w:lang w:eastAsia="ar-SA"/>
        </w:rPr>
        <w:t xml:space="preserve"> to 0.017 MW, which is slightly lower than during charging. Additionally, the DC losses are minimal at 0.001 MW, reflecting a more efficient discharge process.</w:t>
      </w:r>
    </w:p>
    <w:p w14:paraId="12BC3B83" w14:textId="77777777" w:rsidR="0072550D" w:rsidRPr="00AC4635" w:rsidRDefault="0072550D">
      <w:pPr>
        <w:pStyle w:val="ListParagraph"/>
        <w:numPr>
          <w:ilvl w:val="0"/>
          <w:numId w:val="14"/>
        </w:numPr>
        <w:spacing w:line="360" w:lineRule="auto"/>
        <w:jc w:val="both"/>
        <w:rPr>
          <w:b/>
          <w:bCs/>
        </w:rPr>
      </w:pPr>
      <w:r w:rsidRPr="00AC4635">
        <w:rPr>
          <w:b/>
          <w:bCs/>
        </w:rPr>
        <w:t xml:space="preserve">Case 3: 6 MW PV with 100% </w:t>
      </w:r>
      <w:r>
        <w:rPr>
          <w:b/>
          <w:bCs/>
        </w:rPr>
        <w:t>PL</w:t>
      </w:r>
      <w:r w:rsidRPr="00AC4635">
        <w:rPr>
          <w:b/>
          <w:bCs/>
        </w:rPr>
        <w:t xml:space="preserve"> and ESS</w:t>
      </w:r>
    </w:p>
    <w:p w14:paraId="7D80A7F0" w14:textId="77777777" w:rsidR="003C0010" w:rsidRDefault="0072550D" w:rsidP="003C0010">
      <w:pPr>
        <w:spacing w:line="360" w:lineRule="auto"/>
        <w:jc w:val="both"/>
        <w:rPr>
          <w:lang w:eastAsia="ar-SA"/>
        </w:rPr>
      </w:pPr>
      <w:r>
        <w:rPr>
          <w:lang w:eastAsia="ar-SA"/>
        </w:rPr>
        <w:t xml:space="preserve">In Case 3, the highest penetration of PV energy results in the highest observed losses during charging. The apparent AC losses are 0.059 MW, and the DC losses are significantly higher at 0.077 MW. </w:t>
      </w:r>
      <w:r w:rsidR="003C0010" w:rsidRPr="003C0010">
        <w:rPr>
          <w:lang w:eastAsia="ar-SA"/>
        </w:rPr>
        <w:t>The increase in DC losses reflects the challenges associated with managing large amounts of energy during the charging phase. These losses, particularly the higher DC losses in Case 3, underscore the inefficiencies in large-scale energy storage systems when handling higher PV generation, but they remain manageable during discharging.</w:t>
      </w:r>
    </w:p>
    <w:p w14:paraId="2B3FC9C8" w14:textId="0DFAE72B" w:rsidR="0072550D" w:rsidRDefault="0072550D" w:rsidP="00762447">
      <w:pPr>
        <w:spacing w:line="360" w:lineRule="auto"/>
        <w:jc w:val="both"/>
        <w:rPr>
          <w:lang w:eastAsia="ar-SA"/>
        </w:rPr>
      </w:pPr>
      <w:proofErr w:type="gramStart"/>
      <w:r>
        <w:rPr>
          <w:lang w:eastAsia="ar-SA"/>
        </w:rPr>
        <w:t>Similar to</w:t>
      </w:r>
      <w:proofErr w:type="gramEnd"/>
      <w:r>
        <w:rPr>
          <w:lang w:eastAsia="ar-SA"/>
        </w:rPr>
        <w:t xml:space="preserve"> Case 2, the apparent AC losses during </w:t>
      </w:r>
      <w:proofErr w:type="gramStart"/>
      <w:r>
        <w:rPr>
          <w:lang w:eastAsia="ar-SA"/>
        </w:rPr>
        <w:t>discharging</w:t>
      </w:r>
      <w:proofErr w:type="gramEnd"/>
      <w:r>
        <w:rPr>
          <w:lang w:eastAsia="ar-SA"/>
        </w:rPr>
        <w:t xml:space="preserve"> are 0.021 MW, which is a reduction from the charging phase. The DC losses during </w:t>
      </w:r>
      <w:proofErr w:type="gramStart"/>
      <w:r>
        <w:rPr>
          <w:lang w:eastAsia="ar-SA"/>
        </w:rPr>
        <w:t>discharging</w:t>
      </w:r>
      <w:proofErr w:type="gramEnd"/>
      <w:r>
        <w:rPr>
          <w:lang w:eastAsia="ar-SA"/>
        </w:rPr>
        <w:t xml:space="preserve"> are minimal at 0.001 MW, demonstrating the relatively high efficiency of the ESS during energy release.</w:t>
      </w:r>
    </w:p>
    <w:p w14:paraId="34A30092" w14:textId="46F634B6" w:rsidR="0072550D" w:rsidRDefault="0072550D" w:rsidP="00762447">
      <w:pPr>
        <w:spacing w:line="360" w:lineRule="auto"/>
        <w:jc w:val="both"/>
        <w:rPr>
          <w:lang w:eastAsia="ar-SA"/>
        </w:rPr>
      </w:pPr>
      <w:r>
        <w:rPr>
          <w:lang w:eastAsia="ar-SA"/>
        </w:rPr>
        <w:t xml:space="preserve">The power loss analysis reveals important insights into the efficiency of the system under different scenarios. In general, the introduction of the ESS in Cases 1, 2, and 3 leads to a reduction in apparent AC losses compared to Case 0. However, </w:t>
      </w:r>
      <w:r w:rsidR="005145CA">
        <w:rPr>
          <w:lang w:eastAsia="ar-SA"/>
        </w:rPr>
        <w:t>DC</w:t>
      </w:r>
      <w:r>
        <w:rPr>
          <w:lang w:eastAsia="ar-SA"/>
        </w:rPr>
        <w:t xml:space="preserve"> losses vary depending on the charging and discharging processes, with Case 3 experiencing the highest losses due to the larger amount of energy being stored and managed.</w:t>
      </w:r>
    </w:p>
    <w:p w14:paraId="70CB0FF7" w14:textId="7E5FB049" w:rsidR="006C6E56" w:rsidRDefault="005145CA" w:rsidP="0072550D">
      <w:pPr>
        <w:spacing w:line="360" w:lineRule="auto"/>
        <w:jc w:val="both"/>
        <w:rPr>
          <w:lang w:eastAsia="ar-SA"/>
        </w:rPr>
      </w:pPr>
      <w:r>
        <w:rPr>
          <w:lang w:eastAsia="ar-SA"/>
        </w:rPr>
        <w:lastRenderedPageBreak/>
        <w:t xml:space="preserve">Figure </w:t>
      </w:r>
      <w:r w:rsidR="009D6EF2">
        <w:rPr>
          <w:lang w:eastAsia="ar-SA"/>
        </w:rPr>
        <w:t>23</w:t>
      </w:r>
      <w:r w:rsidR="0072550D">
        <w:rPr>
          <w:lang w:eastAsia="ar-SA"/>
        </w:rPr>
        <w:t xml:space="preserve"> compares the total losses (AC and DC) during both charging and discharging across all cases. As seen in </w:t>
      </w:r>
      <w:proofErr w:type="gramStart"/>
      <w:r w:rsidR="0072550D">
        <w:rPr>
          <w:lang w:eastAsia="ar-SA"/>
        </w:rPr>
        <w:t xml:space="preserve">the </w:t>
      </w:r>
      <w:r w:rsidR="00F13588">
        <w:rPr>
          <w:lang w:eastAsia="ar-SA"/>
        </w:rPr>
        <w:t>F</w:t>
      </w:r>
      <w:r w:rsidR="0072550D">
        <w:rPr>
          <w:lang w:eastAsia="ar-SA"/>
        </w:rPr>
        <w:t>igure</w:t>
      </w:r>
      <w:proofErr w:type="gramEnd"/>
      <w:r w:rsidR="00414BCF">
        <w:rPr>
          <w:lang w:eastAsia="ar-SA"/>
        </w:rPr>
        <w:t xml:space="preserve"> </w:t>
      </w:r>
      <w:r w:rsidR="00704B8C">
        <w:rPr>
          <w:lang w:eastAsia="ar-SA"/>
        </w:rPr>
        <w:t>10</w:t>
      </w:r>
      <w:r w:rsidR="0072550D">
        <w:rPr>
          <w:lang w:eastAsia="ar-SA"/>
        </w:rPr>
        <w:t>, the losses increase with the penetration level of the PV system, particularly during the charging phase. However, the presence of the ESS generally helps reduce the losses during discharging, with Case 3 showing relatively low discharging losses despite the higher charging losses.</w:t>
      </w:r>
    </w:p>
    <w:p w14:paraId="12DF3F05" w14:textId="05A6BED6" w:rsidR="00BC2F0A" w:rsidRPr="00BC2F0A" w:rsidRDefault="00BC2F0A" w:rsidP="00276D76">
      <w:pPr>
        <w:pStyle w:val="Caption"/>
        <w:keepNext/>
        <w:spacing w:line="360" w:lineRule="auto"/>
        <w:rPr>
          <w:color w:val="auto"/>
          <w:sz w:val="22"/>
          <w:szCs w:val="22"/>
        </w:rPr>
      </w:pPr>
      <w:bookmarkStart w:id="50" w:name="_Toc201839293"/>
      <w:r w:rsidRPr="00BC2F0A">
        <w:rPr>
          <w:b/>
          <w:bCs/>
          <w:i w:val="0"/>
          <w:iCs w:val="0"/>
          <w:color w:val="auto"/>
          <w:sz w:val="22"/>
          <w:szCs w:val="22"/>
        </w:rPr>
        <w:t xml:space="preserve">Figure </w:t>
      </w:r>
      <w:r w:rsidR="00704B8C">
        <w:rPr>
          <w:b/>
          <w:bCs/>
          <w:i w:val="0"/>
          <w:iCs w:val="0"/>
          <w:color w:val="auto"/>
          <w:sz w:val="22"/>
          <w:szCs w:val="22"/>
        </w:rPr>
        <w:t>10</w:t>
      </w:r>
      <w:r w:rsidRPr="00BC2F0A">
        <w:rPr>
          <w:color w:val="auto"/>
          <w:sz w:val="22"/>
          <w:szCs w:val="22"/>
        </w:rPr>
        <w:br/>
        <w:t>Comparison of AC and DC Power Losses Across Different Cases</w:t>
      </w:r>
      <w:bookmarkEnd w:id="50"/>
    </w:p>
    <w:p w14:paraId="04C41634" w14:textId="77777777" w:rsidR="005C159D" w:rsidRDefault="00375523" w:rsidP="005C159D">
      <w:pPr>
        <w:spacing w:line="360" w:lineRule="auto"/>
        <w:jc w:val="center"/>
        <w:rPr>
          <w:rtl/>
          <w:lang w:eastAsia="ar-SA"/>
        </w:rPr>
      </w:pPr>
      <w:r>
        <w:rPr>
          <w:noProof/>
        </w:rPr>
        <w:drawing>
          <wp:inline distT="0" distB="0" distL="0" distR="0" wp14:anchorId="7D11EC70" wp14:editId="7EDF5F1E">
            <wp:extent cx="5433060" cy="2613660"/>
            <wp:effectExtent l="0" t="0" r="15240" b="15240"/>
            <wp:docPr id="638459084" name="Chart 1">
              <a:extLst xmlns:a="http://schemas.openxmlformats.org/drawingml/2006/main">
                <a:ext uri="{FF2B5EF4-FFF2-40B4-BE49-F238E27FC236}">
                  <a16:creationId xmlns:a16="http://schemas.microsoft.com/office/drawing/2014/main" id="{BB177502-F3E2-863E-37A5-031763B875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56F0AFC" w14:textId="5A4882D1" w:rsidR="008A3F8D" w:rsidRDefault="008A3F8D" w:rsidP="00611456">
      <w:pPr>
        <w:pStyle w:val="Heading2"/>
        <w:numPr>
          <w:ilvl w:val="1"/>
          <w:numId w:val="35"/>
        </w:numPr>
        <w:spacing w:line="360" w:lineRule="auto"/>
        <w:jc w:val="both"/>
      </w:pPr>
      <w:bookmarkStart w:id="51" w:name="_Toc205672554"/>
      <w:r>
        <w:rPr>
          <w:lang w:val="tr-TR" w:eastAsia="ar-SA"/>
        </w:rPr>
        <w:t>Economic</w:t>
      </w:r>
      <w:r>
        <w:rPr>
          <w:lang w:eastAsia="ar-SA"/>
        </w:rPr>
        <w:t xml:space="preserve"> Analysis</w:t>
      </w:r>
      <w:bookmarkEnd w:id="51"/>
      <w:r>
        <w:rPr>
          <w:lang w:val="tr-TR"/>
        </w:rPr>
        <w:tab/>
      </w:r>
    </w:p>
    <w:p w14:paraId="3576B0F2" w14:textId="144261D2" w:rsidR="008A3F8D" w:rsidRDefault="008A3F8D" w:rsidP="008A3F8D">
      <w:pPr>
        <w:spacing w:line="360" w:lineRule="auto"/>
        <w:jc w:val="both"/>
        <w:rPr>
          <w:lang w:eastAsia="ar-SA"/>
        </w:rPr>
      </w:pPr>
      <w:r w:rsidRPr="008A3F8D">
        <w:rPr>
          <w:lang w:eastAsia="ar-SA"/>
        </w:rPr>
        <w:t>The economic analysis of integrating an ESS</w:t>
      </w:r>
      <w:r>
        <w:rPr>
          <w:lang w:eastAsia="ar-SA"/>
        </w:rPr>
        <w:t xml:space="preserve"> </w:t>
      </w:r>
      <w:r w:rsidRPr="008A3F8D">
        <w:rPr>
          <w:lang w:eastAsia="ar-SA"/>
        </w:rPr>
        <w:t>with a grid-connected PV system was conducted using the System Advisor Model (SAM) and the Battery Energy Capital Cost table provided. The analysis focuses on evaluating the capital cost, operating costs, payback period, and levelized cost of energy (LCOE) for three cases involving different sizes of PV systems and ESS configurations.</w:t>
      </w:r>
    </w:p>
    <w:p w14:paraId="6B5CB39A" w14:textId="0020AAB3" w:rsidR="00D004A1" w:rsidRDefault="00D004A1" w:rsidP="008A3F8D">
      <w:pPr>
        <w:spacing w:line="360" w:lineRule="auto"/>
        <w:jc w:val="both"/>
        <w:rPr>
          <w:lang w:eastAsia="ar-SA"/>
        </w:rPr>
      </w:pPr>
      <w:r w:rsidRPr="00D004A1">
        <w:rPr>
          <w:lang w:eastAsia="ar-SA"/>
        </w:rPr>
        <w:t xml:space="preserve">The capital cost of the Li-Ion battery for each case was calculated based on the energy cost per kWh. The cost </w:t>
      </w:r>
      <w:r>
        <w:rPr>
          <w:lang w:eastAsia="ar-SA"/>
        </w:rPr>
        <w:t>assumed to be</w:t>
      </w:r>
      <w:r w:rsidRPr="00D004A1">
        <w:rPr>
          <w:lang w:eastAsia="ar-SA"/>
        </w:rPr>
        <w:t xml:space="preserve"> $184</w:t>
      </w:r>
      <w:r w:rsidR="006828C7">
        <w:rPr>
          <w:lang w:eastAsia="ar-SA"/>
        </w:rPr>
        <w:t>/kWh</w:t>
      </w:r>
      <w:r w:rsidR="00755581">
        <w:rPr>
          <w:lang w:eastAsia="ar-SA"/>
        </w:rPr>
        <w:t xml:space="preserve"> in 2025</w:t>
      </w:r>
      <w:r>
        <w:rPr>
          <w:lang w:eastAsia="ar-SA"/>
        </w:rPr>
        <w:t xml:space="preserve"> according to </w:t>
      </w:r>
      <w:proofErr w:type="gramStart"/>
      <w:r w:rsidR="00755581">
        <w:rPr>
          <w:lang w:eastAsia="ar-SA"/>
        </w:rPr>
        <w:t>the ATB</w:t>
      </w:r>
      <w:proofErr w:type="gramEnd"/>
      <w:r w:rsidR="00755581">
        <w:rPr>
          <w:lang w:eastAsia="ar-SA"/>
        </w:rPr>
        <w:t xml:space="preserve"> [41].</w:t>
      </w:r>
      <w:r w:rsidRPr="00D004A1">
        <w:rPr>
          <w:lang w:eastAsia="ar-SA"/>
        </w:rPr>
        <w:t xml:space="preserve"> Using the battery capacity for each case, the total battery capital cost was determined.</w:t>
      </w:r>
    </w:p>
    <w:p w14:paraId="20F92397" w14:textId="77777777" w:rsidR="00B94BF6" w:rsidRDefault="00B94BF6" w:rsidP="00611456">
      <w:pPr>
        <w:pStyle w:val="Heading2"/>
        <w:numPr>
          <w:ilvl w:val="2"/>
          <w:numId w:val="35"/>
        </w:numPr>
        <w:spacing w:line="360" w:lineRule="auto"/>
        <w:jc w:val="both"/>
      </w:pPr>
      <w:bookmarkStart w:id="52" w:name="_Toc205672555"/>
      <w:r>
        <w:rPr>
          <w:lang w:val="tr-TR" w:eastAsia="ar-SA"/>
        </w:rPr>
        <w:t>Inputs for SAM</w:t>
      </w:r>
      <w:bookmarkEnd w:id="52"/>
      <w:r>
        <w:rPr>
          <w:lang w:val="tr-TR"/>
        </w:rPr>
        <w:tab/>
      </w:r>
    </w:p>
    <w:p w14:paraId="10D720FD" w14:textId="00424B7B" w:rsidR="00B94BF6" w:rsidRDefault="00B94BF6" w:rsidP="005145CA">
      <w:pPr>
        <w:spacing w:line="360" w:lineRule="auto"/>
        <w:jc w:val="both"/>
        <w:rPr>
          <w:lang w:eastAsia="ar-SA"/>
        </w:rPr>
      </w:pPr>
      <w:r w:rsidRPr="00B94BF6">
        <w:rPr>
          <w:lang w:eastAsia="ar-SA"/>
        </w:rPr>
        <w:t>The economic evaluation conducted using the S</w:t>
      </w:r>
      <w:r w:rsidR="003B5C54">
        <w:rPr>
          <w:lang w:eastAsia="ar-SA"/>
        </w:rPr>
        <w:t>AM</w:t>
      </w:r>
      <w:r w:rsidRPr="00B94BF6">
        <w:rPr>
          <w:lang w:eastAsia="ar-SA"/>
        </w:rPr>
        <w:t xml:space="preserve"> required several key input parameters related to capital costs for the PV system and </w:t>
      </w:r>
      <w:r w:rsidR="006828C7">
        <w:rPr>
          <w:lang w:eastAsia="ar-SA"/>
        </w:rPr>
        <w:t>ESS</w:t>
      </w:r>
      <w:r w:rsidRPr="00B94BF6">
        <w:rPr>
          <w:lang w:eastAsia="ar-SA"/>
        </w:rPr>
        <w:t xml:space="preserve">. These inputs, which reflect both direct </w:t>
      </w:r>
      <w:r w:rsidRPr="00B94BF6">
        <w:rPr>
          <w:lang w:eastAsia="ar-SA"/>
        </w:rPr>
        <w:lastRenderedPageBreak/>
        <w:t>and indirect costs, were used</w:t>
      </w:r>
      <w:r w:rsidR="006828C7">
        <w:rPr>
          <w:lang w:eastAsia="ar-SA"/>
        </w:rPr>
        <w:t xml:space="preserve"> based on ATB</w:t>
      </w:r>
      <w:r w:rsidRPr="00B94BF6">
        <w:rPr>
          <w:lang w:eastAsia="ar-SA"/>
        </w:rPr>
        <w:t xml:space="preserve"> to estimate the total investment required for each configuration</w:t>
      </w:r>
      <w:r w:rsidR="006828C7">
        <w:rPr>
          <w:lang w:eastAsia="ar-SA"/>
        </w:rPr>
        <w:t xml:space="preserve"> [41]</w:t>
      </w:r>
      <w:r w:rsidRPr="00B94BF6">
        <w:rPr>
          <w:lang w:eastAsia="ar-SA"/>
        </w:rPr>
        <w:t>. T</w:t>
      </w:r>
      <w:r w:rsidR="005145CA">
        <w:rPr>
          <w:lang w:eastAsia="ar-SA"/>
        </w:rPr>
        <w:t>a</w:t>
      </w:r>
      <w:r w:rsidRPr="00B94BF6">
        <w:rPr>
          <w:lang w:eastAsia="ar-SA"/>
        </w:rPr>
        <w:t>ble</w:t>
      </w:r>
      <w:r>
        <w:rPr>
          <w:lang w:eastAsia="ar-SA"/>
        </w:rPr>
        <w:t xml:space="preserve"> </w:t>
      </w:r>
      <w:r w:rsidR="00313345">
        <w:rPr>
          <w:lang w:eastAsia="ar-SA"/>
        </w:rPr>
        <w:t>9</w:t>
      </w:r>
      <w:r w:rsidRPr="00B94BF6">
        <w:rPr>
          <w:lang w:eastAsia="ar-SA"/>
        </w:rPr>
        <w:t xml:space="preserve"> summarizes the specific input costs used in the model</w:t>
      </w:r>
      <w:r w:rsidR="005145CA">
        <w:rPr>
          <w:lang w:eastAsia="ar-SA"/>
        </w:rPr>
        <w:t>.</w:t>
      </w:r>
    </w:p>
    <w:p w14:paraId="76765526" w14:textId="46550CFE" w:rsidR="003D4467" w:rsidRPr="003D4467" w:rsidRDefault="003D4467" w:rsidP="00276D76">
      <w:pPr>
        <w:pStyle w:val="Caption"/>
        <w:keepNext/>
        <w:spacing w:line="360" w:lineRule="auto"/>
        <w:rPr>
          <w:color w:val="auto"/>
          <w:sz w:val="22"/>
          <w:szCs w:val="22"/>
        </w:rPr>
      </w:pPr>
      <w:bookmarkStart w:id="53" w:name="_Toc188962806"/>
      <w:r w:rsidRPr="003D4467">
        <w:rPr>
          <w:b/>
          <w:bCs/>
          <w:i w:val="0"/>
          <w:iCs w:val="0"/>
          <w:color w:val="auto"/>
          <w:sz w:val="22"/>
          <w:szCs w:val="22"/>
        </w:rPr>
        <w:t>Table</w:t>
      </w:r>
      <w:r w:rsidR="00BA1E12">
        <w:rPr>
          <w:b/>
          <w:bCs/>
          <w:i w:val="0"/>
          <w:iCs w:val="0"/>
          <w:color w:val="auto"/>
          <w:sz w:val="22"/>
          <w:szCs w:val="22"/>
        </w:rPr>
        <w:t xml:space="preserve"> </w:t>
      </w:r>
      <w:r w:rsidR="00313345">
        <w:rPr>
          <w:b/>
          <w:bCs/>
          <w:i w:val="0"/>
          <w:iCs w:val="0"/>
          <w:color w:val="auto"/>
          <w:sz w:val="22"/>
          <w:szCs w:val="22"/>
        </w:rPr>
        <w:t>9</w:t>
      </w:r>
      <w:r w:rsidRPr="003D4467">
        <w:rPr>
          <w:color w:val="auto"/>
          <w:sz w:val="22"/>
          <w:szCs w:val="22"/>
        </w:rPr>
        <w:br/>
        <w:t>Capital Cost Inputs for SAM Model</w:t>
      </w:r>
      <w:bookmarkEnd w:id="53"/>
    </w:p>
    <w:tbl>
      <w:tblPr>
        <w:tblStyle w:val="PlainTable3"/>
        <w:tblW w:w="0" w:type="auto"/>
        <w:tblLook w:val="04A0" w:firstRow="1" w:lastRow="0" w:firstColumn="1" w:lastColumn="0" w:noHBand="0" w:noVBand="1"/>
      </w:tblPr>
      <w:tblGrid>
        <w:gridCol w:w="5397"/>
        <w:gridCol w:w="3104"/>
      </w:tblGrid>
      <w:tr w:rsidR="00B94BF6" w:rsidRPr="00522D9C" w14:paraId="795B662D" w14:textId="77777777" w:rsidTr="004459B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501" w:type="dxa"/>
            <w:gridSpan w:val="2"/>
            <w:tcBorders>
              <w:top w:val="single" w:sz="4" w:space="0" w:color="auto"/>
            </w:tcBorders>
          </w:tcPr>
          <w:p w14:paraId="24C01E69" w14:textId="77777777"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Direct Capital Costs</w:t>
            </w:r>
          </w:p>
        </w:tc>
      </w:tr>
      <w:tr w:rsidR="00B94BF6" w:rsidRPr="00522D9C" w14:paraId="6ECB3C63" w14:textId="77777777" w:rsidTr="00445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97" w:type="dxa"/>
          </w:tcPr>
          <w:p w14:paraId="426BC9DA" w14:textId="40248DE9"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Module</w:t>
            </w:r>
          </w:p>
        </w:tc>
        <w:tc>
          <w:tcPr>
            <w:tcW w:w="3104" w:type="dxa"/>
            <w:vAlign w:val="center"/>
          </w:tcPr>
          <w:p w14:paraId="3C2B93A0" w14:textId="77777777" w:rsidR="00B94BF6" w:rsidRPr="00522D9C" w:rsidRDefault="00B94BF6" w:rsidP="00B94B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rtl/>
                <w14:ligatures w14:val="standardContextual"/>
              </w:rPr>
            </w:pPr>
            <w:r w:rsidRPr="00522D9C">
              <w:rPr>
                <w:rFonts w:asciiTheme="majorBidi" w:eastAsia="Aptos" w:hAnsiTheme="majorBidi" w:cstheme="majorBidi"/>
                <w:kern w:val="2"/>
                <w:sz w:val="22"/>
                <w:szCs w:val="22"/>
                <w14:ligatures w14:val="standardContextual"/>
              </w:rPr>
              <w:t>0.</w:t>
            </w:r>
            <w:r w:rsidRPr="00522D9C">
              <w:rPr>
                <w:rFonts w:asciiTheme="majorBidi" w:eastAsia="Aptos" w:hAnsiTheme="majorBidi" w:cstheme="majorBidi"/>
                <w:kern w:val="2"/>
                <w:sz w:val="22"/>
                <w:szCs w:val="22"/>
                <w:rtl/>
                <w14:ligatures w14:val="standardContextual"/>
              </w:rPr>
              <w:t>2</w:t>
            </w:r>
            <w:r w:rsidRPr="00522D9C">
              <w:rPr>
                <w:rFonts w:asciiTheme="majorBidi" w:eastAsia="Aptos" w:hAnsiTheme="majorBidi" w:cstheme="majorBidi"/>
                <w:kern w:val="2"/>
                <w:sz w:val="22"/>
                <w:szCs w:val="22"/>
                <w14:ligatures w14:val="standardContextual"/>
              </w:rPr>
              <w:t>$/</w:t>
            </w:r>
            <w:proofErr w:type="spellStart"/>
            <w:r w:rsidRPr="00522D9C">
              <w:rPr>
                <w:rFonts w:asciiTheme="majorBidi" w:eastAsia="Aptos" w:hAnsiTheme="majorBidi" w:cstheme="majorBidi"/>
                <w:kern w:val="2"/>
                <w:sz w:val="22"/>
                <w:szCs w:val="22"/>
                <w14:ligatures w14:val="standardContextual"/>
              </w:rPr>
              <w:t>Wdc</w:t>
            </w:r>
            <w:proofErr w:type="spellEnd"/>
          </w:p>
        </w:tc>
      </w:tr>
      <w:tr w:rsidR="00B94BF6" w:rsidRPr="00522D9C" w14:paraId="32782E26" w14:textId="77777777" w:rsidTr="004459BD">
        <w:tc>
          <w:tcPr>
            <w:cnfStyle w:val="001000000000" w:firstRow="0" w:lastRow="0" w:firstColumn="1" w:lastColumn="0" w:oddVBand="0" w:evenVBand="0" w:oddHBand="0" w:evenHBand="0" w:firstRowFirstColumn="0" w:firstRowLastColumn="0" w:lastRowFirstColumn="0" w:lastRowLastColumn="0"/>
            <w:tcW w:w="5397" w:type="dxa"/>
          </w:tcPr>
          <w:p w14:paraId="05D884F3" w14:textId="1EC7AAF0"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Inverter</w:t>
            </w:r>
          </w:p>
        </w:tc>
        <w:tc>
          <w:tcPr>
            <w:tcW w:w="3104" w:type="dxa"/>
            <w:vAlign w:val="center"/>
          </w:tcPr>
          <w:p w14:paraId="5E710FCE" w14:textId="77777777" w:rsidR="00B94BF6" w:rsidRPr="00522D9C" w:rsidRDefault="00B94BF6" w:rsidP="00B94B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0.06$/W</w:t>
            </w:r>
          </w:p>
        </w:tc>
      </w:tr>
      <w:tr w:rsidR="00B94BF6" w:rsidRPr="00522D9C" w14:paraId="3D1294AC" w14:textId="77777777" w:rsidTr="00445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97" w:type="dxa"/>
          </w:tcPr>
          <w:p w14:paraId="478F3940" w14:textId="6B6E8ACB"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Lithium-Ion Battery (Lib Pack)</w:t>
            </w:r>
          </w:p>
        </w:tc>
        <w:tc>
          <w:tcPr>
            <w:tcW w:w="3104" w:type="dxa"/>
            <w:vAlign w:val="center"/>
          </w:tcPr>
          <w:p w14:paraId="5C943719" w14:textId="77777777" w:rsidR="00B94BF6" w:rsidRPr="00522D9C" w:rsidRDefault="00B94BF6" w:rsidP="00B94B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rtl/>
                <w14:ligatures w14:val="standardContextual"/>
              </w:rPr>
            </w:pPr>
            <w:r w:rsidRPr="00522D9C">
              <w:rPr>
                <w:rFonts w:asciiTheme="majorBidi" w:eastAsia="Aptos" w:hAnsiTheme="majorBidi" w:cstheme="majorBidi"/>
                <w:kern w:val="2"/>
                <w:sz w:val="22"/>
                <w:szCs w:val="22"/>
                <w14:ligatures w14:val="standardContextual"/>
              </w:rPr>
              <w:t>184.00$/kWh</w:t>
            </w:r>
          </w:p>
        </w:tc>
      </w:tr>
      <w:tr w:rsidR="00B94BF6" w:rsidRPr="00522D9C" w14:paraId="4BCB700F" w14:textId="77777777" w:rsidTr="004459BD">
        <w:tc>
          <w:tcPr>
            <w:cnfStyle w:val="001000000000" w:firstRow="0" w:lastRow="0" w:firstColumn="1" w:lastColumn="0" w:oddVBand="0" w:evenVBand="0" w:oddHBand="0" w:evenHBand="0" w:firstRowFirstColumn="0" w:firstRowLastColumn="0" w:lastRowFirstColumn="0" w:lastRowLastColumn="0"/>
            <w:tcW w:w="5397" w:type="dxa"/>
          </w:tcPr>
          <w:p w14:paraId="48741014" w14:textId="4F7DFAC3" w:rsidR="00B94BF6" w:rsidRPr="00522D9C" w:rsidRDefault="00B94BF6" w:rsidP="00522D9C">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 xml:space="preserve">Electrical </w:t>
            </w:r>
            <w:proofErr w:type="gramStart"/>
            <w:r w:rsidRPr="00522D9C">
              <w:rPr>
                <w:rFonts w:asciiTheme="majorBidi" w:eastAsia="Aptos" w:hAnsiTheme="majorBidi" w:cstheme="majorBidi"/>
                <w:caps w:val="0"/>
                <w:kern w:val="2"/>
                <w:sz w:val="22"/>
                <w:szCs w:val="22"/>
                <w14:ligatures w14:val="standardContextual"/>
              </w:rPr>
              <w:t xml:space="preserve">BOS </w:t>
            </w:r>
            <w:r w:rsidR="00522D9C" w:rsidRPr="00522D9C">
              <w:rPr>
                <w:rFonts w:asciiTheme="majorBidi" w:eastAsia="Aptos" w:hAnsiTheme="majorBidi" w:cstheme="majorBidi"/>
                <w:kern w:val="2"/>
                <w:sz w:val="22"/>
                <w:szCs w:val="22"/>
                <w14:ligatures w14:val="standardContextual"/>
              </w:rPr>
              <w:t xml:space="preserve"> (</w:t>
            </w:r>
            <w:proofErr w:type="gramEnd"/>
            <w:r w:rsidRPr="00522D9C">
              <w:rPr>
                <w:rFonts w:asciiTheme="majorBidi" w:eastAsia="Aptos" w:hAnsiTheme="majorBidi" w:cstheme="majorBidi"/>
                <w:b w:val="0"/>
                <w:bCs w:val="0"/>
                <w:caps w:val="0"/>
                <w:kern w:val="2"/>
                <w:sz w:val="22"/>
                <w:szCs w:val="22"/>
                <w14:ligatures w14:val="standardContextual"/>
              </w:rPr>
              <w:t>Includes conduit, wiring, dc cable,</w:t>
            </w:r>
            <w:r w:rsidR="00522D9C" w:rsidRPr="00522D9C">
              <w:rPr>
                <w:rFonts w:asciiTheme="majorBidi" w:eastAsia="Aptos" w:hAnsiTheme="majorBidi" w:cstheme="majorBidi"/>
                <w:b w:val="0"/>
                <w:bCs w:val="0"/>
                <w:caps w:val="0"/>
                <w:kern w:val="2"/>
                <w:sz w:val="22"/>
                <w:szCs w:val="22"/>
                <w14:ligatures w14:val="standardContextual"/>
              </w:rPr>
              <w:t xml:space="preserve"> </w:t>
            </w:r>
            <w:proofErr w:type="spellStart"/>
            <w:r w:rsidR="00522D9C" w:rsidRPr="00522D9C">
              <w:rPr>
                <w:rFonts w:asciiTheme="majorBidi" w:eastAsia="Aptos" w:hAnsiTheme="majorBidi" w:cstheme="majorBidi"/>
                <w:b w:val="0"/>
                <w:bCs w:val="0"/>
                <w:caps w:val="0"/>
                <w:kern w:val="2"/>
                <w:sz w:val="22"/>
                <w:szCs w:val="22"/>
                <w14:ligatures w14:val="standardContextual"/>
              </w:rPr>
              <w:t>etc</w:t>
            </w:r>
            <w:proofErr w:type="spellEnd"/>
            <w:r w:rsidR="00522D9C" w:rsidRPr="00522D9C">
              <w:rPr>
                <w:rFonts w:asciiTheme="majorBidi" w:eastAsia="Aptos" w:hAnsiTheme="majorBidi" w:cstheme="majorBidi"/>
                <w:b w:val="0"/>
                <w:bCs w:val="0"/>
                <w:caps w:val="0"/>
                <w:kern w:val="2"/>
                <w:sz w:val="22"/>
                <w:szCs w:val="22"/>
                <w14:ligatures w14:val="standardContextual"/>
              </w:rPr>
              <w:t>)</w:t>
            </w:r>
          </w:p>
        </w:tc>
        <w:tc>
          <w:tcPr>
            <w:tcW w:w="3104" w:type="dxa"/>
            <w:vAlign w:val="center"/>
          </w:tcPr>
          <w:p w14:paraId="2799A13D" w14:textId="77777777" w:rsidR="00B94BF6" w:rsidRPr="00522D9C" w:rsidRDefault="00B94BF6" w:rsidP="00B94B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$0.07–$0.14/W</w:t>
            </w:r>
          </w:p>
        </w:tc>
      </w:tr>
      <w:tr w:rsidR="00B94BF6" w:rsidRPr="00522D9C" w14:paraId="48B8E4FF" w14:textId="77777777" w:rsidTr="00445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97" w:type="dxa"/>
            <w:tcBorders>
              <w:bottom w:val="single" w:sz="4" w:space="0" w:color="auto"/>
            </w:tcBorders>
          </w:tcPr>
          <w:p w14:paraId="5696D38D" w14:textId="77777777"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Installation labor</w:t>
            </w:r>
          </w:p>
        </w:tc>
        <w:tc>
          <w:tcPr>
            <w:tcW w:w="3104" w:type="dxa"/>
            <w:tcBorders>
              <w:bottom w:val="single" w:sz="4" w:space="0" w:color="auto"/>
            </w:tcBorders>
            <w:vAlign w:val="center"/>
          </w:tcPr>
          <w:p w14:paraId="733EBBD6" w14:textId="77777777" w:rsidR="00B94BF6" w:rsidRPr="00522D9C" w:rsidRDefault="00B94BF6" w:rsidP="00B94B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0.0</w:t>
            </w:r>
            <w:r w:rsidRPr="00522D9C">
              <w:rPr>
                <w:rFonts w:asciiTheme="majorBidi" w:eastAsia="Aptos" w:hAnsiTheme="majorBidi" w:cstheme="majorBidi"/>
                <w:kern w:val="2"/>
                <w:sz w:val="22"/>
                <w:szCs w:val="22"/>
                <w:rtl/>
                <w14:ligatures w14:val="standardContextual"/>
              </w:rPr>
              <w:t>1</w:t>
            </w:r>
            <w:r w:rsidRPr="00522D9C">
              <w:rPr>
                <w:rFonts w:asciiTheme="majorBidi" w:eastAsia="Aptos" w:hAnsiTheme="majorBidi" w:cstheme="majorBidi"/>
                <w:kern w:val="2"/>
                <w:sz w:val="22"/>
                <w:szCs w:val="22"/>
                <w14:ligatures w14:val="standardContextual"/>
              </w:rPr>
              <w:t>$</w:t>
            </w:r>
            <w:proofErr w:type="spellStart"/>
            <w:r w:rsidRPr="00522D9C">
              <w:rPr>
                <w:rFonts w:asciiTheme="majorBidi" w:eastAsia="Aptos" w:hAnsiTheme="majorBidi" w:cstheme="majorBidi"/>
                <w:kern w:val="2"/>
                <w:sz w:val="22"/>
                <w:szCs w:val="22"/>
                <w14:ligatures w14:val="standardContextual"/>
              </w:rPr>
              <w:t>Wdc</w:t>
            </w:r>
            <w:proofErr w:type="spellEnd"/>
          </w:p>
        </w:tc>
      </w:tr>
      <w:tr w:rsidR="00B94BF6" w:rsidRPr="00522D9C" w14:paraId="46C46B68" w14:textId="77777777" w:rsidTr="004459BD">
        <w:tc>
          <w:tcPr>
            <w:cnfStyle w:val="001000000000" w:firstRow="0" w:lastRow="0" w:firstColumn="1" w:lastColumn="0" w:oddVBand="0" w:evenVBand="0" w:oddHBand="0" w:evenHBand="0" w:firstRowFirstColumn="0" w:firstRowLastColumn="0" w:lastRowFirstColumn="0" w:lastRowLastColumn="0"/>
            <w:tcW w:w="8501" w:type="dxa"/>
            <w:gridSpan w:val="2"/>
            <w:tcBorders>
              <w:top w:val="single" w:sz="4" w:space="0" w:color="auto"/>
              <w:bottom w:val="single" w:sz="4" w:space="0" w:color="auto"/>
            </w:tcBorders>
          </w:tcPr>
          <w:p w14:paraId="7835E5F9" w14:textId="77777777"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Indirect Capital Costs</w:t>
            </w:r>
          </w:p>
        </w:tc>
      </w:tr>
      <w:tr w:rsidR="00B94BF6" w:rsidRPr="00522D9C" w14:paraId="109E939D" w14:textId="77777777" w:rsidTr="004459BD">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397" w:type="dxa"/>
            <w:tcBorders>
              <w:top w:val="single" w:sz="4" w:space="0" w:color="auto"/>
            </w:tcBorders>
          </w:tcPr>
          <w:p w14:paraId="7859489F" w14:textId="0D611266"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Engineering And Developer Overhead + Grid Interconnection</w:t>
            </w:r>
          </w:p>
        </w:tc>
        <w:tc>
          <w:tcPr>
            <w:tcW w:w="3104" w:type="dxa"/>
            <w:tcBorders>
              <w:top w:val="single" w:sz="4" w:space="0" w:color="auto"/>
            </w:tcBorders>
            <w:vAlign w:val="center"/>
          </w:tcPr>
          <w:p w14:paraId="144405C8" w14:textId="77777777" w:rsidR="00B94BF6" w:rsidRPr="00522D9C" w:rsidRDefault="00B94BF6" w:rsidP="00B94B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0.02$/</w:t>
            </w:r>
            <w:proofErr w:type="spellStart"/>
            <w:r w:rsidRPr="00522D9C">
              <w:rPr>
                <w:rFonts w:asciiTheme="majorBidi" w:eastAsia="Aptos" w:hAnsiTheme="majorBidi" w:cstheme="majorBidi"/>
                <w:kern w:val="2"/>
                <w:sz w:val="22"/>
                <w:szCs w:val="22"/>
                <w14:ligatures w14:val="standardContextual"/>
              </w:rPr>
              <w:t>Wdc</w:t>
            </w:r>
            <w:proofErr w:type="spellEnd"/>
          </w:p>
        </w:tc>
      </w:tr>
      <w:tr w:rsidR="00B94BF6" w:rsidRPr="00522D9C" w14:paraId="137C3A19" w14:textId="77777777" w:rsidTr="004459BD">
        <w:trPr>
          <w:trHeight w:val="275"/>
        </w:trPr>
        <w:tc>
          <w:tcPr>
            <w:cnfStyle w:val="001000000000" w:firstRow="0" w:lastRow="0" w:firstColumn="1" w:lastColumn="0" w:oddVBand="0" w:evenVBand="0" w:oddHBand="0" w:evenHBand="0" w:firstRowFirstColumn="0" w:firstRowLastColumn="0" w:lastRowFirstColumn="0" w:lastRowLastColumn="0"/>
            <w:tcW w:w="5397" w:type="dxa"/>
          </w:tcPr>
          <w:p w14:paraId="2E91AC3A" w14:textId="327DFBF1"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Land Costs (Land Prep. &amp; Transmission)</w:t>
            </w:r>
          </w:p>
        </w:tc>
        <w:tc>
          <w:tcPr>
            <w:tcW w:w="3104" w:type="dxa"/>
            <w:vAlign w:val="center"/>
          </w:tcPr>
          <w:p w14:paraId="2588FDC5" w14:textId="77777777" w:rsidR="00B94BF6" w:rsidRPr="00522D9C" w:rsidRDefault="00B94BF6" w:rsidP="00B94BF6">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0.01$/</w:t>
            </w:r>
            <w:proofErr w:type="spellStart"/>
            <w:r w:rsidRPr="00522D9C">
              <w:rPr>
                <w:rFonts w:asciiTheme="majorBidi" w:eastAsia="Aptos" w:hAnsiTheme="majorBidi" w:cstheme="majorBidi"/>
                <w:kern w:val="2"/>
                <w:sz w:val="22"/>
                <w:szCs w:val="22"/>
                <w14:ligatures w14:val="standardContextual"/>
              </w:rPr>
              <w:t>Wdc</w:t>
            </w:r>
            <w:proofErr w:type="spellEnd"/>
          </w:p>
        </w:tc>
      </w:tr>
      <w:tr w:rsidR="00B94BF6" w:rsidRPr="00522D9C" w14:paraId="67F40EE7" w14:textId="77777777" w:rsidTr="004459BD">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397" w:type="dxa"/>
            <w:tcBorders>
              <w:bottom w:val="single" w:sz="4" w:space="0" w:color="auto"/>
            </w:tcBorders>
          </w:tcPr>
          <w:p w14:paraId="1FCD8828" w14:textId="3D2500B9" w:rsidR="00B94BF6" w:rsidRPr="00522D9C" w:rsidRDefault="00B94BF6" w:rsidP="00B94BF6">
            <w:pPr>
              <w:spacing w:after="0" w:line="360" w:lineRule="auto"/>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caps w:val="0"/>
                <w:kern w:val="2"/>
                <w:sz w:val="22"/>
                <w:szCs w:val="22"/>
                <w14:ligatures w14:val="standardContextual"/>
              </w:rPr>
              <w:t>Sales Tax</w:t>
            </w:r>
          </w:p>
        </w:tc>
        <w:tc>
          <w:tcPr>
            <w:tcW w:w="3104" w:type="dxa"/>
            <w:tcBorders>
              <w:bottom w:val="single" w:sz="4" w:space="0" w:color="auto"/>
            </w:tcBorders>
            <w:vAlign w:val="center"/>
          </w:tcPr>
          <w:p w14:paraId="2AED2D6A" w14:textId="77777777" w:rsidR="00B94BF6" w:rsidRPr="00522D9C" w:rsidRDefault="00B94BF6" w:rsidP="00B94BF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522D9C">
              <w:rPr>
                <w:rFonts w:asciiTheme="majorBidi" w:eastAsia="Aptos" w:hAnsiTheme="majorBidi" w:cstheme="majorBidi"/>
                <w:kern w:val="2"/>
                <w:sz w:val="22"/>
                <w:szCs w:val="22"/>
                <w14:ligatures w14:val="standardContextual"/>
              </w:rPr>
              <w:t>16%</w:t>
            </w:r>
          </w:p>
        </w:tc>
      </w:tr>
      <w:tr w:rsidR="004459BD" w:rsidRPr="00522D9C" w14:paraId="5A2596BB" w14:textId="77777777" w:rsidTr="004459BD">
        <w:trPr>
          <w:trHeight w:val="275"/>
        </w:trPr>
        <w:tc>
          <w:tcPr>
            <w:cnfStyle w:val="001000000000" w:firstRow="0" w:lastRow="0" w:firstColumn="1" w:lastColumn="0" w:oddVBand="0" w:evenVBand="0" w:oddHBand="0" w:evenHBand="0" w:firstRowFirstColumn="0" w:firstRowLastColumn="0" w:lastRowFirstColumn="0" w:lastRowLastColumn="0"/>
            <w:tcW w:w="8501" w:type="dxa"/>
            <w:gridSpan w:val="2"/>
            <w:tcBorders>
              <w:top w:val="single" w:sz="4" w:space="0" w:color="auto"/>
              <w:bottom w:val="single" w:sz="4" w:space="0" w:color="auto"/>
            </w:tcBorders>
          </w:tcPr>
          <w:p w14:paraId="0BF53CAE" w14:textId="79ED1CF1" w:rsidR="004459BD" w:rsidRPr="00522D9C" w:rsidRDefault="004459BD" w:rsidP="004459BD">
            <w:pPr>
              <w:spacing w:after="0" w:line="360" w:lineRule="auto"/>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kern w:val="2"/>
                <w:sz w:val="22"/>
                <w:szCs w:val="22"/>
                <w14:ligatures w14:val="standardContextual"/>
              </w:rPr>
              <w:t>Analysis Parameters</w:t>
            </w:r>
          </w:p>
        </w:tc>
      </w:tr>
      <w:tr w:rsidR="004459BD" w:rsidRPr="00522D9C" w14:paraId="569C916C" w14:textId="77777777" w:rsidTr="004459BD">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397" w:type="dxa"/>
            <w:tcBorders>
              <w:top w:val="single" w:sz="4" w:space="0" w:color="auto"/>
            </w:tcBorders>
          </w:tcPr>
          <w:p w14:paraId="01812797" w14:textId="09290BA3" w:rsidR="004459BD" w:rsidRPr="00522D9C" w:rsidRDefault="004459BD" w:rsidP="004459BD">
            <w:pPr>
              <w:spacing w:after="0" w:line="360" w:lineRule="auto"/>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caps w:val="0"/>
                <w:kern w:val="2"/>
                <w:sz w:val="22"/>
                <w:szCs w:val="22"/>
                <w14:ligatures w14:val="standardContextual"/>
              </w:rPr>
              <w:t xml:space="preserve">Project </w:t>
            </w:r>
            <w:r>
              <w:rPr>
                <w:rFonts w:asciiTheme="majorBidi" w:eastAsia="Aptos" w:hAnsiTheme="majorBidi" w:cstheme="majorBidi"/>
                <w:caps w:val="0"/>
                <w:kern w:val="2"/>
                <w:sz w:val="22"/>
                <w:szCs w:val="22"/>
                <w14:ligatures w14:val="standardContextual"/>
              </w:rPr>
              <w:t>L</w:t>
            </w:r>
            <w:r w:rsidRPr="004459BD">
              <w:rPr>
                <w:rFonts w:asciiTheme="majorBidi" w:eastAsia="Aptos" w:hAnsiTheme="majorBidi" w:cstheme="majorBidi"/>
                <w:caps w:val="0"/>
                <w:kern w:val="2"/>
                <w:sz w:val="22"/>
                <w:szCs w:val="22"/>
                <w14:ligatures w14:val="standardContextual"/>
              </w:rPr>
              <w:t>ife</w:t>
            </w:r>
          </w:p>
        </w:tc>
        <w:tc>
          <w:tcPr>
            <w:tcW w:w="3104" w:type="dxa"/>
            <w:tcBorders>
              <w:top w:val="single" w:sz="4" w:space="0" w:color="auto"/>
            </w:tcBorders>
            <w:vAlign w:val="center"/>
          </w:tcPr>
          <w:p w14:paraId="52D87F68" w14:textId="579FFB1E" w:rsidR="004459BD" w:rsidRPr="00522D9C" w:rsidRDefault="004459BD" w:rsidP="004459BD">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kern w:val="2"/>
                <w:sz w:val="22"/>
                <w:szCs w:val="22"/>
                <w14:ligatures w14:val="standardContextual"/>
              </w:rPr>
              <w:t>25 years</w:t>
            </w:r>
          </w:p>
        </w:tc>
      </w:tr>
      <w:tr w:rsidR="004459BD" w:rsidRPr="00522D9C" w14:paraId="71CCF7B6" w14:textId="77777777" w:rsidTr="004459BD">
        <w:trPr>
          <w:trHeight w:val="275"/>
        </w:trPr>
        <w:tc>
          <w:tcPr>
            <w:cnfStyle w:val="001000000000" w:firstRow="0" w:lastRow="0" w:firstColumn="1" w:lastColumn="0" w:oddVBand="0" w:evenVBand="0" w:oddHBand="0" w:evenHBand="0" w:firstRowFirstColumn="0" w:firstRowLastColumn="0" w:lastRowFirstColumn="0" w:lastRowLastColumn="0"/>
            <w:tcW w:w="5397" w:type="dxa"/>
          </w:tcPr>
          <w:p w14:paraId="5E109E04" w14:textId="2EBF4F56" w:rsidR="004459BD" w:rsidRPr="00522D9C" w:rsidRDefault="004459BD" w:rsidP="004459BD">
            <w:pPr>
              <w:spacing w:after="0" w:line="360" w:lineRule="auto"/>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caps w:val="0"/>
                <w:kern w:val="2"/>
                <w:sz w:val="22"/>
                <w:szCs w:val="22"/>
                <w14:ligatures w14:val="standardContextual"/>
              </w:rPr>
              <w:t xml:space="preserve">Inflation </w:t>
            </w:r>
            <w:r>
              <w:rPr>
                <w:rFonts w:asciiTheme="majorBidi" w:eastAsia="Aptos" w:hAnsiTheme="majorBidi" w:cstheme="majorBidi"/>
                <w:caps w:val="0"/>
                <w:kern w:val="2"/>
                <w:sz w:val="22"/>
                <w:szCs w:val="22"/>
                <w14:ligatures w14:val="standardContextual"/>
              </w:rPr>
              <w:t>R</w:t>
            </w:r>
            <w:r w:rsidRPr="004459BD">
              <w:rPr>
                <w:rFonts w:asciiTheme="majorBidi" w:eastAsia="Aptos" w:hAnsiTheme="majorBidi" w:cstheme="majorBidi"/>
                <w:caps w:val="0"/>
                <w:kern w:val="2"/>
                <w:sz w:val="22"/>
                <w:szCs w:val="22"/>
                <w14:ligatures w14:val="standardContextual"/>
              </w:rPr>
              <w:t>ate</w:t>
            </w:r>
          </w:p>
        </w:tc>
        <w:tc>
          <w:tcPr>
            <w:tcW w:w="3104" w:type="dxa"/>
            <w:vAlign w:val="center"/>
          </w:tcPr>
          <w:p w14:paraId="3E8AE701" w14:textId="20843476" w:rsidR="004459BD" w:rsidRPr="00522D9C" w:rsidRDefault="004459BD" w:rsidP="004459BD">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kern w:val="2"/>
                <w:sz w:val="22"/>
                <w:szCs w:val="22"/>
                <w14:ligatures w14:val="standardContextual"/>
              </w:rPr>
              <w:t>2.5%</w:t>
            </w:r>
          </w:p>
        </w:tc>
      </w:tr>
      <w:tr w:rsidR="004459BD" w:rsidRPr="00522D9C" w14:paraId="015968A8" w14:textId="77777777" w:rsidTr="004459BD">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5397" w:type="dxa"/>
          </w:tcPr>
          <w:p w14:paraId="4CAB8410" w14:textId="54F68D30" w:rsidR="004459BD" w:rsidRPr="004459BD" w:rsidRDefault="004459BD" w:rsidP="004459BD">
            <w:pPr>
              <w:spacing w:after="0" w:line="360" w:lineRule="auto"/>
              <w:rPr>
                <w:rFonts w:asciiTheme="majorBidi" w:eastAsia="Aptos" w:hAnsiTheme="majorBidi" w:cstheme="majorBidi"/>
                <w:caps w:val="0"/>
                <w:kern w:val="2"/>
                <w:sz w:val="22"/>
                <w:szCs w:val="22"/>
                <w14:ligatures w14:val="standardContextual"/>
              </w:rPr>
            </w:pPr>
            <w:r w:rsidRPr="004459BD">
              <w:rPr>
                <w:rFonts w:asciiTheme="majorBidi" w:eastAsia="Aptos" w:hAnsiTheme="majorBidi" w:cstheme="majorBidi"/>
                <w:caps w:val="0"/>
                <w:kern w:val="2"/>
                <w:sz w:val="22"/>
                <w:szCs w:val="22"/>
                <w14:ligatures w14:val="standardContextual"/>
              </w:rPr>
              <w:t xml:space="preserve">Real </w:t>
            </w:r>
            <w:r>
              <w:rPr>
                <w:rFonts w:asciiTheme="majorBidi" w:eastAsia="Aptos" w:hAnsiTheme="majorBidi" w:cstheme="majorBidi"/>
                <w:caps w:val="0"/>
                <w:kern w:val="2"/>
                <w:sz w:val="22"/>
                <w:szCs w:val="22"/>
                <w14:ligatures w14:val="standardContextual"/>
              </w:rPr>
              <w:t>D</w:t>
            </w:r>
            <w:r w:rsidRPr="004459BD">
              <w:rPr>
                <w:rFonts w:asciiTheme="majorBidi" w:eastAsia="Aptos" w:hAnsiTheme="majorBidi" w:cstheme="majorBidi"/>
                <w:caps w:val="0"/>
                <w:kern w:val="2"/>
                <w:sz w:val="22"/>
                <w:szCs w:val="22"/>
                <w14:ligatures w14:val="standardContextual"/>
              </w:rPr>
              <w:t xml:space="preserve">iscount </w:t>
            </w:r>
            <w:r>
              <w:rPr>
                <w:rFonts w:asciiTheme="majorBidi" w:eastAsia="Aptos" w:hAnsiTheme="majorBidi" w:cstheme="majorBidi"/>
                <w:caps w:val="0"/>
                <w:kern w:val="2"/>
                <w:sz w:val="22"/>
                <w:szCs w:val="22"/>
                <w14:ligatures w14:val="standardContextual"/>
              </w:rPr>
              <w:t>R</w:t>
            </w:r>
            <w:r w:rsidRPr="004459BD">
              <w:rPr>
                <w:rFonts w:asciiTheme="majorBidi" w:eastAsia="Aptos" w:hAnsiTheme="majorBidi" w:cstheme="majorBidi"/>
                <w:caps w:val="0"/>
                <w:kern w:val="2"/>
                <w:sz w:val="22"/>
                <w:szCs w:val="22"/>
                <w14:ligatures w14:val="standardContextual"/>
              </w:rPr>
              <w:t>ate</w:t>
            </w:r>
          </w:p>
        </w:tc>
        <w:tc>
          <w:tcPr>
            <w:tcW w:w="3104" w:type="dxa"/>
            <w:vAlign w:val="center"/>
          </w:tcPr>
          <w:p w14:paraId="6AF62E41" w14:textId="604EC872" w:rsidR="004459BD" w:rsidRPr="00522D9C" w:rsidRDefault="004459BD" w:rsidP="004459BD">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kern w:val="2"/>
                <w:sz w:val="22"/>
                <w:szCs w:val="22"/>
                <w14:ligatures w14:val="standardContextual"/>
              </w:rPr>
              <w:t>6.4%</w:t>
            </w:r>
          </w:p>
        </w:tc>
      </w:tr>
      <w:tr w:rsidR="004459BD" w:rsidRPr="00522D9C" w14:paraId="04BF1BA2" w14:textId="77777777" w:rsidTr="004459BD">
        <w:trPr>
          <w:trHeight w:val="275"/>
        </w:trPr>
        <w:tc>
          <w:tcPr>
            <w:cnfStyle w:val="001000000000" w:firstRow="0" w:lastRow="0" w:firstColumn="1" w:lastColumn="0" w:oddVBand="0" w:evenVBand="0" w:oddHBand="0" w:evenHBand="0" w:firstRowFirstColumn="0" w:firstRowLastColumn="0" w:lastRowFirstColumn="0" w:lastRowLastColumn="0"/>
            <w:tcW w:w="5397" w:type="dxa"/>
            <w:tcBorders>
              <w:bottom w:val="single" w:sz="4" w:space="0" w:color="auto"/>
            </w:tcBorders>
          </w:tcPr>
          <w:p w14:paraId="089F2D95" w14:textId="434CE212" w:rsidR="004459BD" w:rsidRPr="004459BD" w:rsidRDefault="004459BD" w:rsidP="004459BD">
            <w:pPr>
              <w:spacing w:after="0" w:line="360" w:lineRule="auto"/>
              <w:rPr>
                <w:rFonts w:asciiTheme="majorBidi" w:eastAsia="Aptos" w:hAnsiTheme="majorBidi" w:cstheme="majorBidi"/>
                <w:caps w:val="0"/>
                <w:kern w:val="2"/>
                <w:sz w:val="22"/>
                <w:szCs w:val="22"/>
                <w14:ligatures w14:val="standardContextual"/>
              </w:rPr>
            </w:pPr>
            <w:r w:rsidRPr="004459BD">
              <w:rPr>
                <w:rFonts w:asciiTheme="majorBidi" w:eastAsia="Aptos" w:hAnsiTheme="majorBidi" w:cstheme="majorBidi"/>
                <w:caps w:val="0"/>
                <w:kern w:val="2"/>
                <w:sz w:val="22"/>
                <w:szCs w:val="22"/>
                <w14:ligatures w14:val="standardContextual"/>
              </w:rPr>
              <w:t xml:space="preserve">Sales </w:t>
            </w:r>
            <w:r>
              <w:rPr>
                <w:rFonts w:asciiTheme="majorBidi" w:eastAsia="Aptos" w:hAnsiTheme="majorBidi" w:cstheme="majorBidi"/>
                <w:caps w:val="0"/>
                <w:kern w:val="2"/>
                <w:sz w:val="22"/>
                <w:szCs w:val="22"/>
                <w14:ligatures w14:val="standardContextual"/>
              </w:rPr>
              <w:t>T</w:t>
            </w:r>
            <w:r w:rsidRPr="004459BD">
              <w:rPr>
                <w:rFonts w:asciiTheme="majorBidi" w:eastAsia="Aptos" w:hAnsiTheme="majorBidi" w:cstheme="majorBidi"/>
                <w:caps w:val="0"/>
                <w:kern w:val="2"/>
                <w:sz w:val="22"/>
                <w:szCs w:val="22"/>
                <w14:ligatures w14:val="standardContextual"/>
              </w:rPr>
              <w:t xml:space="preserve">ax (% </w:t>
            </w:r>
            <w:proofErr w:type="gramStart"/>
            <w:r w:rsidRPr="004459BD">
              <w:rPr>
                <w:rFonts w:asciiTheme="majorBidi" w:eastAsia="Aptos" w:hAnsiTheme="majorBidi" w:cstheme="majorBidi"/>
                <w:caps w:val="0"/>
                <w:kern w:val="2"/>
                <w:sz w:val="22"/>
                <w:szCs w:val="22"/>
                <w14:ligatures w14:val="standardContextual"/>
              </w:rPr>
              <w:t>of</w:t>
            </w:r>
            <w:proofErr w:type="gramEnd"/>
            <w:r w:rsidRPr="004459BD">
              <w:rPr>
                <w:rFonts w:asciiTheme="majorBidi" w:eastAsia="Aptos" w:hAnsiTheme="majorBidi" w:cstheme="majorBidi"/>
                <w:caps w:val="0"/>
                <w:kern w:val="2"/>
                <w:sz w:val="22"/>
                <w:szCs w:val="22"/>
                <w14:ligatures w14:val="standardContextual"/>
              </w:rPr>
              <w:t xml:space="preserve"> indirect cost basis)</w:t>
            </w:r>
          </w:p>
        </w:tc>
        <w:tc>
          <w:tcPr>
            <w:tcW w:w="3104" w:type="dxa"/>
            <w:tcBorders>
              <w:bottom w:val="single" w:sz="4" w:space="0" w:color="auto"/>
            </w:tcBorders>
            <w:vAlign w:val="center"/>
          </w:tcPr>
          <w:p w14:paraId="5DA45789" w14:textId="6EECD2B9" w:rsidR="004459BD" w:rsidRPr="004459BD" w:rsidRDefault="004459BD" w:rsidP="004459BD">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Aptos" w:hAnsiTheme="majorBidi" w:cstheme="majorBidi"/>
                <w:kern w:val="2"/>
                <w:sz w:val="22"/>
                <w:szCs w:val="22"/>
                <w14:ligatures w14:val="standardContextual"/>
              </w:rPr>
            </w:pPr>
            <w:r w:rsidRPr="004459BD">
              <w:rPr>
                <w:rFonts w:asciiTheme="majorBidi" w:eastAsia="Aptos" w:hAnsiTheme="majorBidi" w:cstheme="majorBidi"/>
                <w:kern w:val="2"/>
                <w:sz w:val="22"/>
                <w:szCs w:val="22"/>
                <w14:ligatures w14:val="standardContextual"/>
              </w:rPr>
              <w:t>16%</w:t>
            </w:r>
          </w:p>
        </w:tc>
      </w:tr>
    </w:tbl>
    <w:p w14:paraId="16535E17" w14:textId="77777777" w:rsidR="004F5027" w:rsidRDefault="004F5027" w:rsidP="006828C7">
      <w:pPr>
        <w:spacing w:line="360" w:lineRule="auto"/>
        <w:jc w:val="both"/>
        <w:rPr>
          <w:lang w:eastAsia="ar-SA"/>
        </w:rPr>
      </w:pPr>
    </w:p>
    <w:p w14:paraId="10159499" w14:textId="509A8D86" w:rsidR="00EF1F98" w:rsidRDefault="00EF1F98" w:rsidP="00611456">
      <w:pPr>
        <w:pStyle w:val="Heading2"/>
        <w:numPr>
          <w:ilvl w:val="2"/>
          <w:numId w:val="35"/>
        </w:numPr>
        <w:spacing w:line="360" w:lineRule="auto"/>
        <w:jc w:val="both"/>
      </w:pPr>
      <w:bookmarkStart w:id="54" w:name="_Toc205672556"/>
      <w:r w:rsidRPr="00EF1F98">
        <w:rPr>
          <w:lang w:val="tr-TR" w:eastAsia="ar-SA"/>
        </w:rPr>
        <w:t>Financial Metrics and Calculation Methods</w:t>
      </w:r>
      <w:bookmarkEnd w:id="54"/>
      <w:r>
        <w:rPr>
          <w:lang w:val="tr-TR"/>
        </w:rPr>
        <w:tab/>
      </w:r>
    </w:p>
    <w:p w14:paraId="1ADB9E3A" w14:textId="52B479B6" w:rsidR="00EF1F98" w:rsidRDefault="00EF1F98" w:rsidP="00EF1F98">
      <w:pPr>
        <w:spacing w:line="360" w:lineRule="auto"/>
        <w:jc w:val="both"/>
        <w:rPr>
          <w:lang w:eastAsia="ar-SA"/>
        </w:rPr>
      </w:pPr>
      <w:r w:rsidRPr="00EF1F98">
        <w:rPr>
          <w:lang w:eastAsia="ar-SA"/>
        </w:rPr>
        <w:t>The financial metrics used to evaluate the systems were derived using SAM’s computational framework, which is based on standard equations for renewable energy financial evaluation, as defined by Short et al. (1995) [4</w:t>
      </w:r>
      <w:r w:rsidR="00FE6AF4">
        <w:rPr>
          <w:lang w:eastAsia="ar-SA"/>
        </w:rPr>
        <w:t>3</w:t>
      </w:r>
      <w:r w:rsidRPr="00EF1F98">
        <w:rPr>
          <w:lang w:eastAsia="ar-SA"/>
        </w:rPr>
        <w:t xml:space="preserve">]. </w:t>
      </w:r>
    </w:p>
    <w:p w14:paraId="12AB2BCA" w14:textId="1C0FD69B" w:rsidR="00EF1F98" w:rsidRDefault="00EF1F98" w:rsidP="00EF1F98">
      <w:pPr>
        <w:spacing w:line="360" w:lineRule="auto"/>
        <w:jc w:val="both"/>
        <w:rPr>
          <w:lang w:eastAsia="ar-SA"/>
        </w:rPr>
      </w:pPr>
      <w:r w:rsidRPr="00EF1F98">
        <w:rPr>
          <w:lang w:eastAsia="ar-SA"/>
        </w:rPr>
        <w:t>The Net Present Value</w:t>
      </w:r>
      <w:r>
        <w:rPr>
          <w:lang w:eastAsia="ar-SA"/>
        </w:rPr>
        <w:t xml:space="preserve"> (NPV)</w:t>
      </w:r>
      <w:r w:rsidRPr="00EF1F98">
        <w:rPr>
          <w:lang w:eastAsia="ar-SA"/>
        </w:rPr>
        <w:t xml:space="preserve"> evaluates the long-term profitability of a project by discounting future savings and costs to present-day value</w:t>
      </w:r>
      <w:r>
        <w:rPr>
          <w:lang w:eastAsia="ar-SA"/>
        </w:rPr>
        <w:t>s. The NPV can be calculated by Equation 2:</w:t>
      </w:r>
    </w:p>
    <w:p w14:paraId="5B978A7C" w14:textId="189DCF62" w:rsidR="00EF1F98" w:rsidRPr="00EF1F98" w:rsidRDefault="00EF1F98" w:rsidP="00943B5D">
      <w:pPr>
        <w:spacing w:line="360" w:lineRule="auto"/>
        <w:jc w:val="both"/>
        <w:rPr>
          <w:lang w:eastAsia="ar-SA"/>
        </w:rPr>
      </w:pPr>
      <m:oMathPara>
        <m:oMath>
          <m:r>
            <w:rPr>
              <w:rFonts w:ascii="Cambria Math" w:hAnsi="Cambria Math"/>
              <w:lang w:eastAsia="ar-SA"/>
            </w:rPr>
            <m:t>NPV=</m:t>
          </m:r>
          <m:nary>
            <m:naryPr>
              <m:chr m:val="∑"/>
              <m:limLoc m:val="undOvr"/>
              <m:ctrlPr>
                <w:rPr>
                  <w:rFonts w:ascii="Cambria Math" w:hAnsi="Cambria Math"/>
                  <w:i/>
                  <w:lang w:eastAsia="ar-SA"/>
                </w:rPr>
              </m:ctrlPr>
            </m:naryPr>
            <m:sub>
              <m:r>
                <w:rPr>
                  <w:rFonts w:ascii="Cambria Math" w:hAnsi="Cambria Math"/>
                  <w:lang w:eastAsia="ar-SA"/>
                </w:rPr>
                <m:t>n=0</m:t>
              </m:r>
            </m:sub>
            <m:sup>
              <m:r>
                <w:rPr>
                  <w:rFonts w:ascii="Cambria Math" w:hAnsi="Cambria Math"/>
                  <w:lang w:eastAsia="ar-SA"/>
                </w:rPr>
                <m:t>N</m:t>
              </m:r>
            </m:sup>
            <m:e>
              <m:f>
                <m:fPr>
                  <m:ctrlPr>
                    <w:rPr>
                      <w:rFonts w:ascii="Cambria Math" w:hAnsi="Cambria Math"/>
                      <w:i/>
                      <w:lang w:eastAsia="ar-SA"/>
                    </w:rPr>
                  </m:ctrlPr>
                </m:fPr>
                <m:num>
                  <m:sSub>
                    <m:sSubPr>
                      <m:ctrlPr>
                        <w:rPr>
                          <w:rFonts w:ascii="Cambria Math" w:hAnsi="Cambria Math"/>
                          <w:i/>
                          <w:lang w:eastAsia="ar-SA"/>
                        </w:rPr>
                      </m:ctrlPr>
                    </m:sSubPr>
                    <m:e>
                      <m:r>
                        <w:rPr>
                          <w:rFonts w:ascii="Cambria Math" w:hAnsi="Cambria Math"/>
                          <w:lang w:eastAsia="ar-SA"/>
                        </w:rPr>
                        <m:t>F</m:t>
                      </m:r>
                    </m:e>
                    <m:sub>
                      <m:r>
                        <w:rPr>
                          <w:rFonts w:ascii="Cambria Math" w:hAnsi="Cambria Math"/>
                          <w:lang w:eastAsia="ar-SA"/>
                        </w:rPr>
                        <m:t>n</m:t>
                      </m:r>
                    </m:sub>
                  </m:sSub>
                </m:num>
                <m:den>
                  <m:sSup>
                    <m:sSupPr>
                      <m:ctrlPr>
                        <w:rPr>
                          <w:rFonts w:ascii="Cambria Math" w:hAnsi="Cambria Math"/>
                          <w:i/>
                          <w:lang w:eastAsia="ar-SA"/>
                        </w:rPr>
                      </m:ctrlPr>
                    </m:sSupPr>
                    <m:e>
                      <m:r>
                        <w:rPr>
                          <w:rFonts w:ascii="Cambria Math" w:hAnsi="Cambria Math"/>
                          <w:lang w:eastAsia="ar-SA"/>
                        </w:rPr>
                        <m:t>(1+d)</m:t>
                      </m:r>
                    </m:e>
                    <m:sup>
                      <m:r>
                        <w:rPr>
                          <w:rFonts w:ascii="Cambria Math" w:hAnsi="Cambria Math"/>
                          <w:lang w:eastAsia="ar-SA"/>
                        </w:rPr>
                        <m:t>n</m:t>
                      </m:r>
                    </m:sup>
                  </m:sSup>
                </m:den>
              </m:f>
            </m:e>
          </m:nary>
          <m:r>
            <w:rPr>
              <w:rFonts w:ascii="Cambria Math" w:hAnsi="Cambria Math"/>
              <w:lang w:eastAsia="ar-SA"/>
            </w:rPr>
            <m:t xml:space="preserve">       (2)</m:t>
          </m:r>
        </m:oMath>
      </m:oMathPara>
    </w:p>
    <w:p w14:paraId="61E25AA2" w14:textId="77777777" w:rsidR="00EF1F98" w:rsidRPr="00EF1F98" w:rsidRDefault="00EF1F98" w:rsidP="00943B5D">
      <w:pPr>
        <w:spacing w:line="360" w:lineRule="auto"/>
        <w:jc w:val="both"/>
        <w:rPr>
          <w:lang w:eastAsia="ar-SA"/>
        </w:rPr>
      </w:pPr>
      <w:r w:rsidRPr="00EF1F98">
        <w:rPr>
          <w:lang w:eastAsia="ar-SA"/>
        </w:rPr>
        <w:lastRenderedPageBreak/>
        <w:t>Where:</w:t>
      </w:r>
    </w:p>
    <w:p w14:paraId="43BBEDF7" w14:textId="1742BAC8" w:rsidR="00EF1F98" w:rsidRPr="00EF1F98" w:rsidRDefault="00000000" w:rsidP="00943B5D">
      <w:pPr>
        <w:spacing w:line="360" w:lineRule="auto"/>
        <w:ind w:left="360"/>
        <w:jc w:val="both"/>
        <w:rPr>
          <w:lang w:eastAsia="ar-SA"/>
        </w:rPr>
      </w:pPr>
      <m:oMath>
        <m:sSub>
          <m:sSubPr>
            <m:ctrlPr>
              <w:rPr>
                <w:rFonts w:ascii="Cambria Math" w:hAnsi="Cambria Math"/>
                <w:i/>
                <w:lang w:eastAsia="ar-SA"/>
              </w:rPr>
            </m:ctrlPr>
          </m:sSubPr>
          <m:e>
            <m:r>
              <w:rPr>
                <w:rFonts w:ascii="Cambria Math" w:hAnsi="Cambria Math"/>
                <w:lang w:eastAsia="ar-SA"/>
              </w:rPr>
              <m:t>F</m:t>
            </m:r>
          </m:e>
          <m:sub>
            <m:r>
              <w:rPr>
                <w:rFonts w:ascii="Cambria Math" w:hAnsi="Cambria Math"/>
                <w:lang w:eastAsia="ar-SA"/>
              </w:rPr>
              <m:t>n</m:t>
            </m:r>
          </m:sub>
        </m:sSub>
      </m:oMath>
      <w:r w:rsidR="00EF1F98" w:rsidRPr="00EF1F98">
        <w:rPr>
          <w:lang w:eastAsia="ar-SA"/>
        </w:rPr>
        <w:t xml:space="preserve">: </w:t>
      </w:r>
      <w:r w:rsidR="00736694" w:rsidRPr="00736694">
        <w:rPr>
          <w:lang w:eastAsia="ar-SA"/>
        </w:rPr>
        <w:t>Net cash flow in year n</w:t>
      </w:r>
    </w:p>
    <w:p w14:paraId="2207370D" w14:textId="0158154F" w:rsidR="00EF1F98" w:rsidRPr="00EF1F98" w:rsidRDefault="00736694" w:rsidP="00943B5D">
      <w:pPr>
        <w:spacing w:line="360" w:lineRule="auto"/>
        <w:ind w:left="360"/>
        <w:jc w:val="both"/>
        <w:rPr>
          <w:lang w:eastAsia="ar-SA"/>
        </w:rPr>
      </w:pPr>
      <w:r>
        <w:rPr>
          <w:i/>
          <w:iCs/>
          <w:lang w:eastAsia="ar-SA"/>
        </w:rPr>
        <w:t>d</w:t>
      </w:r>
      <w:r w:rsidR="00EF1F98" w:rsidRPr="00EF1F98">
        <w:rPr>
          <w:lang w:eastAsia="ar-SA"/>
        </w:rPr>
        <w:t xml:space="preserve">: </w:t>
      </w:r>
      <w:r>
        <w:rPr>
          <w:lang w:eastAsia="ar-SA"/>
        </w:rPr>
        <w:t>D</w:t>
      </w:r>
      <w:r w:rsidR="00EF1F98" w:rsidRPr="00EF1F98">
        <w:rPr>
          <w:lang w:eastAsia="ar-SA"/>
        </w:rPr>
        <w:t>iscount rate</w:t>
      </w:r>
    </w:p>
    <w:p w14:paraId="09D7AADE" w14:textId="1EA9A352" w:rsidR="00EF1F98" w:rsidRPr="00EF1F98" w:rsidRDefault="00EF1F98" w:rsidP="00943B5D">
      <w:pPr>
        <w:spacing w:line="360" w:lineRule="auto"/>
        <w:ind w:left="360"/>
        <w:jc w:val="both"/>
        <w:rPr>
          <w:lang w:eastAsia="ar-SA"/>
        </w:rPr>
      </w:pPr>
      <w:r w:rsidRPr="00EF1F98">
        <w:rPr>
          <w:i/>
          <w:iCs/>
          <w:lang w:eastAsia="ar-SA"/>
        </w:rPr>
        <w:t>n</w:t>
      </w:r>
      <w:r w:rsidRPr="00EF1F98">
        <w:rPr>
          <w:lang w:eastAsia="ar-SA"/>
        </w:rPr>
        <w:t>: Analysis period</w:t>
      </w:r>
    </w:p>
    <w:p w14:paraId="5811EFCC" w14:textId="61C2C889" w:rsidR="00736694" w:rsidRDefault="00736694" w:rsidP="00943B5D">
      <w:pPr>
        <w:spacing w:line="360" w:lineRule="auto"/>
        <w:jc w:val="both"/>
        <w:rPr>
          <w:lang w:eastAsia="ar-SA"/>
        </w:rPr>
      </w:pPr>
      <w:r w:rsidRPr="00736694">
        <w:rPr>
          <w:lang w:eastAsia="ar-SA"/>
        </w:rPr>
        <w:t>A positive NPV indicates that investment is economically beneficial over its lifetime. This method is consistent with SAM’s internal financial engine and follows the formulation presented in the NREL methodology</w:t>
      </w:r>
      <w:r>
        <w:rPr>
          <w:lang w:eastAsia="ar-SA"/>
        </w:rPr>
        <w:t xml:space="preserve"> [4</w:t>
      </w:r>
      <w:r w:rsidR="00FE6AF4">
        <w:rPr>
          <w:lang w:eastAsia="ar-SA"/>
        </w:rPr>
        <w:t>3</w:t>
      </w:r>
      <w:r>
        <w:rPr>
          <w:lang w:eastAsia="ar-SA"/>
        </w:rPr>
        <w:t>].</w:t>
      </w:r>
    </w:p>
    <w:p w14:paraId="1563B996" w14:textId="2B362ABA" w:rsidR="00EF1F98" w:rsidRDefault="00EF1F98" w:rsidP="00943B5D">
      <w:pPr>
        <w:spacing w:line="360" w:lineRule="auto"/>
        <w:jc w:val="both"/>
        <w:rPr>
          <w:lang w:eastAsia="ar-SA"/>
        </w:rPr>
      </w:pPr>
      <w:r w:rsidRPr="00EF1F98">
        <w:rPr>
          <w:lang w:eastAsia="ar-SA"/>
        </w:rPr>
        <w:t>The simple payback period is the time it takes for cumulative cash inflows (savings) to recover the initial investment</w:t>
      </w:r>
      <w:r>
        <w:rPr>
          <w:lang w:eastAsia="ar-SA"/>
        </w:rPr>
        <w:t>, which can be obtained by applying Equation 3:</w:t>
      </w:r>
    </w:p>
    <w:p w14:paraId="1B2DBA25" w14:textId="289C7807" w:rsidR="00AC0CCA" w:rsidRDefault="00000000" w:rsidP="00943B5D">
      <w:pPr>
        <w:spacing w:line="360" w:lineRule="auto"/>
        <w:jc w:val="both"/>
        <w:rPr>
          <w:lang w:eastAsia="ar-SA"/>
        </w:rPr>
      </w:pPr>
      <m:oMathPara>
        <m:oMath>
          <m:nary>
            <m:naryPr>
              <m:chr m:val="∑"/>
              <m:limLoc m:val="undOvr"/>
              <m:supHide m:val="1"/>
              <m:ctrlPr>
                <w:rPr>
                  <w:rFonts w:ascii="Cambria Math" w:hAnsi="Cambria Math"/>
                  <w:i/>
                  <w:lang w:eastAsia="ar-SA"/>
                </w:rPr>
              </m:ctrlPr>
            </m:naryPr>
            <m:sub>
              <m:r>
                <w:rPr>
                  <w:rFonts w:ascii="Cambria Math" w:hAnsi="Cambria Math"/>
                  <w:lang w:eastAsia="ar-SA"/>
                </w:rPr>
                <m:t>n</m:t>
              </m:r>
            </m:sub>
            <m:sup/>
            <m:e>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I</m:t>
                  </m:r>
                </m:e>
                <m:sub>
                  <m:r>
                    <w:rPr>
                      <w:rFonts w:ascii="Cambria Math" w:hAnsi="Cambria Math"/>
                      <w:lang w:eastAsia="ar-SA"/>
                    </w:rPr>
                    <m:t>n</m:t>
                  </m:r>
                </m:sub>
              </m:sSub>
            </m:e>
          </m:nary>
          <m:r>
            <w:rPr>
              <w:rFonts w:ascii="Cambria Math" w:hAnsi="Cambria Math"/>
              <w:lang w:eastAsia="ar-SA"/>
            </w:rPr>
            <m:t>≤</m:t>
          </m:r>
          <m:nary>
            <m:naryPr>
              <m:chr m:val="∑"/>
              <m:limLoc m:val="undOvr"/>
              <m:supHide m:val="1"/>
              <m:ctrlPr>
                <w:rPr>
                  <w:rFonts w:ascii="Cambria Math" w:hAnsi="Cambria Math"/>
                  <w:i/>
                  <w:lang w:eastAsia="ar-SA"/>
                </w:rPr>
              </m:ctrlPr>
            </m:naryPr>
            <m:sub>
              <m:r>
                <w:rPr>
                  <w:rFonts w:ascii="Cambria Math" w:hAnsi="Cambria Math"/>
                  <w:lang w:eastAsia="ar-SA"/>
                </w:rPr>
                <m:t>n</m:t>
              </m:r>
            </m:sub>
            <m:sup/>
            <m:e>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S</m:t>
                  </m:r>
                </m:e>
                <m:sub>
                  <m:r>
                    <w:rPr>
                      <w:rFonts w:ascii="Cambria Math" w:hAnsi="Cambria Math"/>
                      <w:lang w:eastAsia="ar-SA"/>
                    </w:rPr>
                    <m:t>n</m:t>
                  </m:r>
                </m:sub>
              </m:sSub>
            </m:e>
          </m:nary>
          <m:r>
            <w:rPr>
              <w:rFonts w:ascii="Cambria Math" w:hAnsi="Cambria Math"/>
              <w:lang w:eastAsia="ar-SA"/>
            </w:rPr>
            <m:t xml:space="preserve">      (3)</m:t>
          </m:r>
        </m:oMath>
      </m:oMathPara>
    </w:p>
    <w:p w14:paraId="1E129127" w14:textId="59A74524" w:rsidR="00AC0CCA" w:rsidRPr="00AC0CCA" w:rsidRDefault="00AC0CCA" w:rsidP="00943B5D">
      <w:pPr>
        <w:spacing w:line="360" w:lineRule="auto"/>
        <w:jc w:val="both"/>
        <w:rPr>
          <w:lang w:eastAsia="ar-SA"/>
        </w:rPr>
      </w:pPr>
      <w:r>
        <w:rPr>
          <w:lang w:eastAsia="ar-SA"/>
        </w:rPr>
        <w:t>Where:</w:t>
      </w:r>
    </w:p>
    <w:p w14:paraId="02AF8EBB" w14:textId="58A070C1" w:rsidR="00AC0CCA" w:rsidRDefault="00AC0CCA" w:rsidP="00943B5D">
      <w:pPr>
        <w:spacing w:line="360" w:lineRule="auto"/>
        <w:jc w:val="both"/>
        <w:rPr>
          <w:lang w:eastAsia="ar-SA"/>
        </w:rPr>
      </w:pPr>
      <m:oMath>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I</m:t>
            </m:r>
          </m:e>
          <m:sub>
            <m:r>
              <w:rPr>
                <w:rFonts w:ascii="Cambria Math" w:hAnsi="Cambria Math"/>
                <w:lang w:eastAsia="ar-SA"/>
              </w:rPr>
              <m:t>n</m:t>
            </m:r>
          </m:sub>
        </m:sSub>
      </m:oMath>
      <w:r>
        <w:rPr>
          <w:lang w:eastAsia="ar-SA"/>
        </w:rPr>
        <w:t>: Nondiscounted incremental investment costs (capital + financing)</w:t>
      </w:r>
    </w:p>
    <w:p w14:paraId="74953CE8" w14:textId="2E85A890" w:rsidR="00AC0CCA" w:rsidRDefault="00AC0CCA" w:rsidP="00943B5D">
      <w:pPr>
        <w:spacing w:line="360" w:lineRule="auto"/>
        <w:jc w:val="both"/>
        <w:rPr>
          <w:lang w:eastAsia="ar-SA"/>
        </w:rPr>
      </w:pPr>
      <m:oMath>
        <m:r>
          <w:rPr>
            <w:rFonts w:ascii="Cambria Math" w:hAnsi="Cambria Math"/>
            <w:lang w:eastAsia="ar-SA"/>
          </w:rPr>
          <m:t>∆</m:t>
        </m:r>
        <m:sSub>
          <m:sSubPr>
            <m:ctrlPr>
              <w:rPr>
                <w:rFonts w:ascii="Cambria Math" w:hAnsi="Cambria Math"/>
                <w:i/>
                <w:lang w:eastAsia="ar-SA"/>
              </w:rPr>
            </m:ctrlPr>
          </m:sSubPr>
          <m:e>
            <m:r>
              <w:rPr>
                <w:rFonts w:ascii="Cambria Math" w:hAnsi="Cambria Math"/>
                <w:lang w:eastAsia="ar-SA"/>
              </w:rPr>
              <m:t>S</m:t>
            </m:r>
          </m:e>
          <m:sub>
            <m:r>
              <w:rPr>
                <w:rFonts w:ascii="Cambria Math" w:hAnsi="Cambria Math"/>
                <w:lang w:eastAsia="ar-SA"/>
              </w:rPr>
              <m:t>n</m:t>
            </m:r>
          </m:sub>
        </m:sSub>
      </m:oMath>
      <w:r>
        <w:rPr>
          <w:lang w:eastAsia="ar-SA"/>
        </w:rPr>
        <w:t>: Nondiscounted annual cash flow savings</w:t>
      </w:r>
    </w:p>
    <w:p w14:paraId="10E2098C" w14:textId="21EDA7C6" w:rsidR="00AC0CCA" w:rsidRDefault="00AC0CCA" w:rsidP="00943B5D">
      <w:pPr>
        <w:spacing w:line="360" w:lineRule="auto"/>
        <w:jc w:val="both"/>
        <w:rPr>
          <w:lang w:eastAsia="ar-SA"/>
        </w:rPr>
      </w:pPr>
      <w:r>
        <w:rPr>
          <w:lang w:eastAsia="ar-SA"/>
        </w:rPr>
        <w:t xml:space="preserve">Payback period is the earliest year n when cumulative savings equals or exceeds the total investment </w:t>
      </w:r>
    </w:p>
    <w:p w14:paraId="43D368DE" w14:textId="5D1E3EE1" w:rsidR="00AC0CCA" w:rsidRDefault="00AC0CCA" w:rsidP="00943B5D">
      <w:pPr>
        <w:spacing w:line="360" w:lineRule="auto"/>
        <w:jc w:val="both"/>
        <w:rPr>
          <w:lang w:eastAsia="ar-SA"/>
        </w:rPr>
      </w:pPr>
      <w:r>
        <w:rPr>
          <w:lang w:eastAsia="ar-SA"/>
        </w:rPr>
        <w:t>The Levelized Cost of Energy (LCOE) is a critical financial metric used to compare the cost-effectiveness of different energy systems. It represents the present value of the total life-cycle cost (TLCC) of the system divided by the present value of total energy output over the system’s lifetime. LCOE is calculated as:</w:t>
      </w:r>
    </w:p>
    <w:p w14:paraId="56B2A1DF" w14:textId="72FF8CF1" w:rsidR="00AC0CCA" w:rsidRDefault="00AC0CCA" w:rsidP="00AC0CCA">
      <w:pPr>
        <w:spacing w:line="360" w:lineRule="auto"/>
        <w:rPr>
          <w:lang w:eastAsia="ar-SA"/>
        </w:rPr>
      </w:pPr>
      <m:oMathPara>
        <m:oMath>
          <m:r>
            <w:rPr>
              <w:rFonts w:ascii="Cambria Math" w:hAnsi="Cambria Math"/>
              <w:lang w:eastAsia="ar-SA"/>
            </w:rPr>
            <m:t>LCOE=</m:t>
          </m:r>
          <m:f>
            <m:fPr>
              <m:ctrlPr>
                <w:rPr>
                  <w:rFonts w:ascii="Cambria Math" w:hAnsi="Cambria Math"/>
                  <w:i/>
                  <w:lang w:eastAsia="ar-SA"/>
                </w:rPr>
              </m:ctrlPr>
            </m:fPr>
            <m:num>
              <m:r>
                <w:rPr>
                  <w:rFonts w:ascii="Cambria Math" w:hAnsi="Cambria Math"/>
                  <w:lang w:eastAsia="ar-SA"/>
                </w:rPr>
                <m:t>TLCC</m:t>
              </m:r>
            </m:num>
            <m:den>
              <m:nary>
                <m:naryPr>
                  <m:chr m:val="∑"/>
                  <m:limLoc m:val="subSup"/>
                  <m:ctrlPr>
                    <w:rPr>
                      <w:rFonts w:ascii="Cambria Math" w:hAnsi="Cambria Math"/>
                      <w:i/>
                      <w:lang w:eastAsia="ar-SA"/>
                    </w:rPr>
                  </m:ctrlPr>
                </m:naryPr>
                <m:sub>
                  <m:r>
                    <w:rPr>
                      <w:rFonts w:ascii="Cambria Math" w:hAnsi="Cambria Math"/>
                      <w:lang w:eastAsia="ar-SA"/>
                    </w:rPr>
                    <m:t>n=1</m:t>
                  </m:r>
                </m:sub>
                <m:sup>
                  <m:r>
                    <w:rPr>
                      <w:rFonts w:ascii="Cambria Math" w:hAnsi="Cambria Math"/>
                      <w:lang w:eastAsia="ar-SA"/>
                    </w:rPr>
                    <m:t>N</m:t>
                  </m:r>
                </m:sup>
                <m:e>
                  <m:r>
                    <w:rPr>
                      <w:rFonts w:ascii="Cambria Math" w:hAnsi="Cambria Math"/>
                      <w:lang w:eastAsia="ar-SA"/>
                    </w:rPr>
                    <m:t>(</m:t>
                  </m:r>
                  <m:f>
                    <m:fPr>
                      <m:ctrlPr>
                        <w:rPr>
                          <w:rFonts w:ascii="Cambria Math" w:hAnsi="Cambria Math"/>
                          <w:i/>
                          <w:lang w:eastAsia="ar-SA"/>
                        </w:rPr>
                      </m:ctrlPr>
                    </m:fPr>
                    <m:num>
                      <m:sSub>
                        <m:sSubPr>
                          <m:ctrlPr>
                            <w:rPr>
                              <w:rFonts w:ascii="Cambria Math" w:hAnsi="Cambria Math"/>
                              <w:i/>
                              <w:lang w:eastAsia="ar-SA"/>
                            </w:rPr>
                          </m:ctrlPr>
                        </m:sSubPr>
                        <m:e>
                          <m:r>
                            <w:rPr>
                              <w:rFonts w:ascii="Cambria Math" w:hAnsi="Cambria Math"/>
                              <w:lang w:eastAsia="ar-SA"/>
                            </w:rPr>
                            <m:t>Q</m:t>
                          </m:r>
                        </m:e>
                        <m:sub>
                          <m:r>
                            <w:rPr>
                              <w:rFonts w:ascii="Cambria Math" w:hAnsi="Cambria Math"/>
                              <w:lang w:eastAsia="ar-SA"/>
                            </w:rPr>
                            <m:t>n</m:t>
                          </m:r>
                        </m:sub>
                      </m:sSub>
                    </m:num>
                    <m:den>
                      <m:sSup>
                        <m:sSupPr>
                          <m:ctrlPr>
                            <w:rPr>
                              <w:rFonts w:ascii="Cambria Math" w:hAnsi="Cambria Math"/>
                              <w:i/>
                              <w:lang w:eastAsia="ar-SA"/>
                            </w:rPr>
                          </m:ctrlPr>
                        </m:sSupPr>
                        <m:e>
                          <m:r>
                            <w:rPr>
                              <w:rFonts w:ascii="Cambria Math" w:hAnsi="Cambria Math"/>
                              <w:lang w:eastAsia="ar-SA"/>
                            </w:rPr>
                            <m:t>(1+d)</m:t>
                          </m:r>
                        </m:e>
                        <m:sup>
                          <m:r>
                            <w:rPr>
                              <w:rFonts w:ascii="Cambria Math" w:hAnsi="Cambria Math"/>
                              <w:lang w:eastAsia="ar-SA"/>
                            </w:rPr>
                            <m:t>n</m:t>
                          </m:r>
                        </m:sup>
                      </m:sSup>
                    </m:den>
                  </m:f>
                  <m:r>
                    <w:rPr>
                      <w:rFonts w:ascii="Cambria Math" w:hAnsi="Cambria Math"/>
                      <w:lang w:eastAsia="ar-SA"/>
                    </w:rPr>
                    <m:t>)</m:t>
                  </m:r>
                </m:e>
              </m:nary>
            </m:den>
          </m:f>
          <m:r>
            <w:rPr>
              <w:rFonts w:ascii="Cambria Math" w:hAnsi="Cambria Math"/>
              <w:lang w:eastAsia="ar-SA"/>
            </w:rPr>
            <m:t xml:space="preserve">       (4)</m:t>
          </m:r>
        </m:oMath>
      </m:oMathPara>
    </w:p>
    <w:p w14:paraId="0B8472CE" w14:textId="77777777" w:rsidR="00943B5D" w:rsidRDefault="00AC0CCA" w:rsidP="00943B5D">
      <w:pPr>
        <w:spacing w:line="360" w:lineRule="auto"/>
        <w:rPr>
          <w:lang w:eastAsia="ar-SA"/>
        </w:rPr>
      </w:pPr>
      <w:r>
        <w:rPr>
          <w:lang w:eastAsia="ar-SA"/>
        </w:rPr>
        <w:t>Where</w:t>
      </w:r>
      <w:r w:rsidR="00943B5D">
        <w:rPr>
          <w:lang w:eastAsia="ar-SA"/>
        </w:rPr>
        <w:t>:</w:t>
      </w:r>
    </w:p>
    <w:p w14:paraId="49CADD62" w14:textId="50D4D0D9" w:rsidR="00EF1F98" w:rsidRPr="00943B5D" w:rsidRDefault="00000000" w:rsidP="00943B5D">
      <w:pPr>
        <w:spacing w:line="360" w:lineRule="auto"/>
        <w:rPr>
          <w:i/>
          <w:iCs/>
          <w:lang w:eastAsia="ar-SA"/>
        </w:rPr>
      </w:pPr>
      <m:oMath>
        <m:sSub>
          <m:sSubPr>
            <m:ctrlPr>
              <w:rPr>
                <w:rFonts w:ascii="Cambria Math" w:hAnsi="Cambria Math"/>
                <w:i/>
                <w:lang w:eastAsia="ar-SA"/>
              </w:rPr>
            </m:ctrlPr>
          </m:sSubPr>
          <m:e>
            <m:r>
              <w:rPr>
                <w:rFonts w:ascii="Cambria Math" w:hAnsi="Cambria Math"/>
                <w:lang w:eastAsia="ar-SA"/>
              </w:rPr>
              <m:t>Q</m:t>
            </m:r>
          </m:e>
          <m:sub>
            <m:r>
              <w:rPr>
                <w:rFonts w:ascii="Cambria Math" w:hAnsi="Cambria Math"/>
                <w:lang w:eastAsia="ar-SA"/>
              </w:rPr>
              <m:t>n</m:t>
            </m:r>
          </m:sub>
        </m:sSub>
      </m:oMath>
      <w:r w:rsidR="00943B5D">
        <w:rPr>
          <w:lang w:eastAsia="ar-SA"/>
        </w:rPr>
        <w:t xml:space="preserve">: </w:t>
      </w:r>
      <w:r w:rsidR="00943B5D" w:rsidRPr="00943B5D">
        <w:rPr>
          <w:lang w:eastAsia="ar-SA"/>
        </w:rPr>
        <w:t>Energy output (or saved) in year n</w:t>
      </w:r>
    </w:p>
    <w:p w14:paraId="32F109CE" w14:textId="022A8DF5" w:rsidR="00943B5D" w:rsidRPr="00943B5D" w:rsidRDefault="00943B5D" w:rsidP="00943B5D">
      <w:pPr>
        <w:spacing w:line="360" w:lineRule="auto"/>
        <w:rPr>
          <w:lang w:eastAsia="ar-SA"/>
        </w:rPr>
      </w:pPr>
      <w:r w:rsidRPr="00943B5D">
        <w:rPr>
          <w:i/>
          <w:iCs/>
          <w:lang w:eastAsia="ar-SA"/>
        </w:rPr>
        <w:t>TLCC</w:t>
      </w:r>
      <w:r>
        <w:rPr>
          <w:lang w:eastAsia="ar-SA"/>
        </w:rPr>
        <w:t>: T</w:t>
      </w:r>
      <w:r w:rsidRPr="00943B5D">
        <w:rPr>
          <w:lang w:eastAsia="ar-SA"/>
        </w:rPr>
        <w:t>he total life-cycle cost</w:t>
      </w:r>
    </w:p>
    <w:p w14:paraId="39E420EA" w14:textId="77777777" w:rsidR="00943B5D" w:rsidRDefault="00943B5D" w:rsidP="006828C7">
      <w:pPr>
        <w:spacing w:line="360" w:lineRule="auto"/>
        <w:jc w:val="both"/>
        <w:rPr>
          <w:lang w:eastAsia="ar-SA"/>
        </w:rPr>
      </w:pPr>
    </w:p>
    <w:p w14:paraId="3CFBA7FC" w14:textId="77777777" w:rsidR="00943B5D" w:rsidRDefault="00943B5D" w:rsidP="006828C7">
      <w:pPr>
        <w:spacing w:line="360" w:lineRule="auto"/>
        <w:jc w:val="both"/>
        <w:rPr>
          <w:lang w:eastAsia="ar-SA"/>
        </w:rPr>
      </w:pPr>
    </w:p>
    <w:p w14:paraId="4146D6D3" w14:textId="672524E0" w:rsidR="00943B5D" w:rsidRDefault="00943B5D" w:rsidP="00611456">
      <w:pPr>
        <w:pStyle w:val="Heading2"/>
        <w:numPr>
          <w:ilvl w:val="2"/>
          <w:numId w:val="35"/>
        </w:numPr>
        <w:spacing w:line="360" w:lineRule="auto"/>
        <w:jc w:val="both"/>
      </w:pPr>
      <w:bookmarkStart w:id="55" w:name="_Toc205672557"/>
      <w:r>
        <w:rPr>
          <w:lang w:val="tr-TR" w:eastAsia="ar-SA"/>
        </w:rPr>
        <w:t>Results and Observaions:</w:t>
      </w:r>
      <w:bookmarkEnd w:id="55"/>
      <w:r>
        <w:rPr>
          <w:lang w:val="tr-TR"/>
        </w:rPr>
        <w:tab/>
      </w:r>
    </w:p>
    <w:p w14:paraId="20235E9C" w14:textId="1D6831AF" w:rsidR="006828C7" w:rsidRDefault="004F5027" w:rsidP="006828C7">
      <w:pPr>
        <w:spacing w:line="360" w:lineRule="auto"/>
        <w:jc w:val="both"/>
        <w:rPr>
          <w:lang w:eastAsia="ar-SA"/>
        </w:rPr>
      </w:pPr>
      <w:r>
        <w:rPr>
          <w:lang w:eastAsia="ar-SA"/>
        </w:rPr>
        <w:t>Reports presented in Appendix H were exported from</w:t>
      </w:r>
      <w:r w:rsidR="006828C7">
        <w:rPr>
          <w:lang w:eastAsia="ar-SA"/>
        </w:rPr>
        <w:t xml:space="preserve"> the SAM, the economic feasibility of each case was analyzed through the calculation of several key metrics. Total Installed Cost was determined by summing the capital expenditure, which includes the cost of the ESS, PV system, inverters, and other necessary infrastructure. Case 1 exhibited the lowest initial investment, while Case 3, which involved a larger PV system and ESS, required a significantly higher investment.</w:t>
      </w:r>
    </w:p>
    <w:p w14:paraId="07F14371" w14:textId="77777777" w:rsidR="006828C7" w:rsidRDefault="006828C7" w:rsidP="006828C7">
      <w:pPr>
        <w:spacing w:line="360" w:lineRule="auto"/>
        <w:jc w:val="both"/>
        <w:rPr>
          <w:lang w:eastAsia="ar-SA"/>
        </w:rPr>
      </w:pPr>
      <w:r>
        <w:rPr>
          <w:lang w:eastAsia="ar-SA"/>
        </w:rPr>
        <w:t>The annual savings resulting from the implementation of ESS were calculated based on the reduced electricity costs through peak shaving and energy storage. The savings varied across different cases, with Case 3 offering the highest annual savings due to its larger PV generation capacity and ESS storage. However, this higher savings potential came at the cost of a higher initial investment.</w:t>
      </w:r>
    </w:p>
    <w:p w14:paraId="11F683B5" w14:textId="6201543F" w:rsidR="00D004A1" w:rsidRDefault="00D004A1" w:rsidP="00312FB4">
      <w:pPr>
        <w:spacing w:line="360" w:lineRule="auto"/>
        <w:jc w:val="both"/>
        <w:rPr>
          <w:lang w:eastAsia="ar-SA"/>
        </w:rPr>
      </w:pPr>
      <w:r>
        <w:rPr>
          <w:lang w:eastAsia="ar-SA"/>
        </w:rPr>
        <w:t xml:space="preserve">To assess the profitability of each configuration over its expected lifetime, </w:t>
      </w:r>
      <w:r w:rsidR="00312FB4">
        <w:rPr>
          <w:lang w:eastAsia="ar-SA"/>
        </w:rPr>
        <w:t xml:space="preserve">the </w:t>
      </w:r>
      <w:r w:rsidR="005145CA">
        <w:rPr>
          <w:lang w:eastAsia="ar-SA"/>
        </w:rPr>
        <w:t>present net</w:t>
      </w:r>
      <w:r w:rsidR="00312FB4">
        <w:rPr>
          <w:lang w:eastAsia="ar-SA"/>
        </w:rPr>
        <w:t xml:space="preserve"> value </w:t>
      </w:r>
      <w:r>
        <w:rPr>
          <w:lang w:eastAsia="ar-SA"/>
        </w:rPr>
        <w:t xml:space="preserve">was calculated for each case. While Case 3 provided the highest annual savings, its larger upfront cost led to a longer payback period, making Case 1 the most economically feasible option in terms of </w:t>
      </w:r>
      <w:r w:rsidR="00312FB4">
        <w:rPr>
          <w:lang w:eastAsia="ar-SA"/>
        </w:rPr>
        <w:t>r</w:t>
      </w:r>
      <w:r>
        <w:rPr>
          <w:lang w:eastAsia="ar-SA"/>
        </w:rPr>
        <w:t xml:space="preserve">eturn on </w:t>
      </w:r>
      <w:r w:rsidR="00312FB4">
        <w:rPr>
          <w:lang w:eastAsia="ar-SA"/>
        </w:rPr>
        <w:t>i</w:t>
      </w:r>
      <w:r>
        <w:rPr>
          <w:lang w:eastAsia="ar-SA"/>
        </w:rPr>
        <w:t>nvestment, due to its shorter payback period.</w:t>
      </w:r>
    </w:p>
    <w:p w14:paraId="38EF41ED" w14:textId="32255406" w:rsidR="00D004A1" w:rsidRDefault="00D004A1" w:rsidP="00312FB4">
      <w:pPr>
        <w:spacing w:line="360" w:lineRule="auto"/>
        <w:jc w:val="both"/>
        <w:rPr>
          <w:lang w:eastAsia="ar-SA"/>
        </w:rPr>
      </w:pPr>
      <w:r>
        <w:rPr>
          <w:lang w:eastAsia="ar-SA"/>
        </w:rPr>
        <w:t>The LCOE</w:t>
      </w:r>
      <w:r w:rsidR="00312FB4">
        <w:rPr>
          <w:lang w:eastAsia="ar-SA"/>
        </w:rPr>
        <w:t xml:space="preserve"> </w:t>
      </w:r>
      <w:r>
        <w:rPr>
          <w:lang w:eastAsia="ar-SA"/>
        </w:rPr>
        <w:t>was another critical metric used to evaluate the cost-effectiveness of energy generation in each case. Case 1 exhibited the lowest LCOE, indicating that the investment in ESS for this configuration provided the most economical energy production. The LCOE for Case 2 and Case 3 were slightly higher, though the larger systems offered more capacity and higher potential savings.</w:t>
      </w:r>
    </w:p>
    <w:p w14:paraId="7BBBA525" w14:textId="5D152718" w:rsidR="00D004A1" w:rsidRDefault="00D004A1" w:rsidP="00312FB4">
      <w:pPr>
        <w:spacing w:line="360" w:lineRule="auto"/>
        <w:jc w:val="both"/>
        <w:rPr>
          <w:lang w:eastAsia="ar-SA"/>
        </w:rPr>
      </w:pPr>
      <w:r>
        <w:rPr>
          <w:lang w:eastAsia="ar-SA"/>
        </w:rPr>
        <w:t>A sensitivity analysis was conducted to understand how fluctuations in key parameters such as ESS cost, electricity prices, and demand profiles affect the economic feasibility of each case. The analysis showed that Case 1 remains the most cost-effective option across various scenarios, including changes in battery costs and electricity prices. In contrast, the larger systems (Case 2 and Case 3) were found to be less economically viable due to their high upfront costs, despite offering substantial savings over time.</w:t>
      </w:r>
    </w:p>
    <w:p w14:paraId="3A7BD6FF" w14:textId="2EF3359A" w:rsidR="00D004A1" w:rsidRPr="002F460E" w:rsidRDefault="00367C11" w:rsidP="00D004A1">
      <w:pPr>
        <w:spacing w:after="160" w:line="360" w:lineRule="auto"/>
        <w:jc w:val="both"/>
        <w:rPr>
          <w:rtl/>
          <w:lang w:eastAsia="ar-SA" w:bidi="ar-JO"/>
        </w:rPr>
      </w:pPr>
      <w:r w:rsidRPr="00367C11">
        <w:rPr>
          <w:lang w:eastAsia="ar-SA" w:bidi="ar-JO"/>
        </w:rPr>
        <w:lastRenderedPageBreak/>
        <w:t xml:space="preserve">The comparison of grid performance metrics across the different cases </w:t>
      </w:r>
      <w:r w:rsidR="003D4467">
        <w:rPr>
          <w:lang w:eastAsia="ar-SA" w:bidi="ar-JO"/>
        </w:rPr>
        <w:t>T</w:t>
      </w:r>
      <w:r w:rsidRPr="00367C11">
        <w:rPr>
          <w:lang w:eastAsia="ar-SA" w:bidi="ar-JO"/>
        </w:rPr>
        <w:t xml:space="preserve">able </w:t>
      </w:r>
      <w:r w:rsidR="00313345">
        <w:rPr>
          <w:lang w:eastAsia="ar-SA" w:bidi="ar-JO"/>
        </w:rPr>
        <w:t>10</w:t>
      </w:r>
      <w:r w:rsidRPr="00367C11">
        <w:rPr>
          <w:lang w:eastAsia="ar-SA" w:bidi="ar-JO"/>
        </w:rPr>
        <w:t xml:space="preserve"> highlights the impact of ESS on grid stability, energy efficiency, and power quality, with Case 1 emerging as </w:t>
      </w:r>
      <w:r w:rsidR="005145CA" w:rsidRPr="00367C11">
        <w:rPr>
          <w:lang w:eastAsia="ar-SA" w:bidi="ar-JO"/>
        </w:rPr>
        <w:t>optimal</w:t>
      </w:r>
      <w:r w:rsidRPr="00367C11">
        <w:rPr>
          <w:lang w:eastAsia="ar-SA" w:bidi="ar-JO"/>
        </w:rPr>
        <w:t xml:space="preserve"> configuration.</w:t>
      </w:r>
    </w:p>
    <w:p w14:paraId="0E07C5E5" w14:textId="3925EBC5" w:rsidR="002F460E" w:rsidRPr="002F460E" w:rsidRDefault="002F460E" w:rsidP="00276D76">
      <w:pPr>
        <w:pStyle w:val="Caption"/>
        <w:keepNext/>
        <w:spacing w:line="360" w:lineRule="auto"/>
        <w:rPr>
          <w:color w:val="auto"/>
          <w:sz w:val="22"/>
          <w:szCs w:val="22"/>
        </w:rPr>
      </w:pPr>
      <w:bookmarkStart w:id="56" w:name="_Toc188962807"/>
      <w:r w:rsidRPr="002F460E">
        <w:rPr>
          <w:b/>
          <w:bCs/>
          <w:i w:val="0"/>
          <w:iCs w:val="0"/>
          <w:color w:val="auto"/>
          <w:sz w:val="22"/>
          <w:szCs w:val="22"/>
        </w:rPr>
        <w:t xml:space="preserve">Table </w:t>
      </w:r>
      <w:r w:rsidR="00313345">
        <w:rPr>
          <w:b/>
          <w:bCs/>
          <w:i w:val="0"/>
          <w:iCs w:val="0"/>
          <w:color w:val="auto"/>
          <w:sz w:val="22"/>
          <w:szCs w:val="22"/>
        </w:rPr>
        <w:t>10</w:t>
      </w:r>
      <w:r>
        <w:rPr>
          <w:color w:val="auto"/>
          <w:sz w:val="22"/>
          <w:szCs w:val="22"/>
        </w:rPr>
        <w:br/>
      </w:r>
      <w:r w:rsidRPr="002F460E">
        <w:rPr>
          <w:color w:val="auto"/>
          <w:sz w:val="22"/>
          <w:szCs w:val="22"/>
        </w:rPr>
        <w:t>Comparison of Grid Performance Metrics Across Different Cases</w:t>
      </w:r>
      <w:bookmarkEnd w:id="56"/>
    </w:p>
    <w:tbl>
      <w:tblPr>
        <w:tblStyle w:val="PlainTable5"/>
        <w:tblW w:w="0" w:type="auto"/>
        <w:jc w:val="center"/>
        <w:tblLook w:val="04A0" w:firstRow="1" w:lastRow="0" w:firstColumn="1" w:lastColumn="0" w:noHBand="0" w:noVBand="1"/>
      </w:tblPr>
      <w:tblGrid>
        <w:gridCol w:w="2178"/>
        <w:gridCol w:w="1059"/>
        <w:gridCol w:w="1597"/>
        <w:gridCol w:w="1597"/>
        <w:gridCol w:w="1628"/>
      </w:tblGrid>
      <w:tr w:rsidR="00755581" w:rsidRPr="00EE09AA" w14:paraId="767D8458" w14:textId="77777777" w:rsidTr="00EE09AA">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bottom w:val="single" w:sz="4" w:space="0" w:color="auto"/>
            </w:tcBorders>
            <w:vAlign w:val="center"/>
            <w:hideMark/>
          </w:tcPr>
          <w:p w14:paraId="03361676" w14:textId="77777777" w:rsidR="00367C11" w:rsidRPr="00EE09AA" w:rsidRDefault="00367C11" w:rsidP="009365DE">
            <w:pPr>
              <w:spacing w:after="160" w:line="360" w:lineRule="auto"/>
              <w:jc w:val="left"/>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Metric</w:t>
            </w:r>
          </w:p>
        </w:tc>
        <w:tc>
          <w:tcPr>
            <w:tcW w:w="0" w:type="auto"/>
            <w:tcBorders>
              <w:top w:val="single" w:sz="4" w:space="0" w:color="auto"/>
              <w:bottom w:val="single" w:sz="4" w:space="0" w:color="auto"/>
            </w:tcBorders>
            <w:vAlign w:val="center"/>
            <w:hideMark/>
          </w:tcPr>
          <w:p w14:paraId="4D086E6E" w14:textId="77777777" w:rsidR="00367C11" w:rsidRPr="00EE09AA" w:rsidRDefault="00367C11" w:rsidP="00EE09AA">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Case 0</w:t>
            </w:r>
          </w:p>
        </w:tc>
        <w:tc>
          <w:tcPr>
            <w:tcW w:w="0" w:type="auto"/>
            <w:tcBorders>
              <w:top w:val="single" w:sz="4" w:space="0" w:color="auto"/>
              <w:bottom w:val="single" w:sz="4" w:space="0" w:color="auto"/>
            </w:tcBorders>
            <w:vAlign w:val="center"/>
            <w:hideMark/>
          </w:tcPr>
          <w:p w14:paraId="57814954" w14:textId="77777777" w:rsidR="00367C11" w:rsidRPr="00EE09AA" w:rsidRDefault="00367C11" w:rsidP="009365DE">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Case 1</w:t>
            </w:r>
          </w:p>
        </w:tc>
        <w:tc>
          <w:tcPr>
            <w:tcW w:w="0" w:type="auto"/>
            <w:tcBorders>
              <w:top w:val="single" w:sz="4" w:space="0" w:color="auto"/>
              <w:bottom w:val="single" w:sz="4" w:space="0" w:color="auto"/>
            </w:tcBorders>
            <w:vAlign w:val="center"/>
            <w:hideMark/>
          </w:tcPr>
          <w:p w14:paraId="15E7046B" w14:textId="77777777" w:rsidR="00367C11" w:rsidRPr="00EE09AA" w:rsidRDefault="00367C11" w:rsidP="009365DE">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Case 2</w:t>
            </w:r>
          </w:p>
        </w:tc>
        <w:tc>
          <w:tcPr>
            <w:tcW w:w="0" w:type="auto"/>
            <w:tcBorders>
              <w:top w:val="single" w:sz="4" w:space="0" w:color="auto"/>
              <w:bottom w:val="single" w:sz="4" w:space="0" w:color="auto"/>
            </w:tcBorders>
            <w:vAlign w:val="center"/>
            <w:hideMark/>
          </w:tcPr>
          <w:p w14:paraId="5AA13BBC" w14:textId="77777777" w:rsidR="00367C11" w:rsidRPr="00EE09AA" w:rsidRDefault="00367C11" w:rsidP="009365DE">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Case 3</w:t>
            </w:r>
          </w:p>
        </w:tc>
      </w:tr>
      <w:tr w:rsidR="00755581" w:rsidRPr="00EE09AA" w14:paraId="0C86FF43" w14:textId="77777777" w:rsidTr="00EE09AA">
        <w:trPr>
          <w:cnfStyle w:val="000000100000" w:firstRow="0" w:lastRow="0" w:firstColumn="0" w:lastColumn="0" w:oddVBand="0" w:evenVBand="0" w:oddHBand="1" w:evenHBand="0" w:firstRowFirstColumn="0" w:firstRowLastColumn="0" w:lastRowFirstColumn="0" w:lastRowLastColumn="0"/>
          <w:trHeight w:val="432"/>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right w:val="single" w:sz="4" w:space="0" w:color="auto"/>
            </w:tcBorders>
            <w:vAlign w:val="center"/>
          </w:tcPr>
          <w:p w14:paraId="484B1722" w14:textId="77777777" w:rsidR="00367C11" w:rsidRPr="00EE09AA" w:rsidRDefault="00367C11" w:rsidP="008A3F8D">
            <w:pPr>
              <w:spacing w:after="160" w:line="360" w:lineRule="auto"/>
              <w:jc w:val="left"/>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PV System Capacity</w:t>
            </w:r>
          </w:p>
        </w:tc>
        <w:tc>
          <w:tcPr>
            <w:tcW w:w="0" w:type="auto"/>
            <w:tcBorders>
              <w:top w:val="single" w:sz="4" w:space="0" w:color="auto"/>
              <w:left w:val="single" w:sz="4" w:space="0" w:color="auto"/>
            </w:tcBorders>
            <w:vAlign w:val="center"/>
          </w:tcPr>
          <w:p w14:paraId="03C3543D" w14:textId="77777777" w:rsidR="00367C11" w:rsidRPr="00EE09AA" w:rsidRDefault="00367C1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lang w:eastAsia="ar-SA" w:bidi="ar-JO"/>
              </w:rPr>
              <w:t>1 MW</w:t>
            </w:r>
          </w:p>
        </w:tc>
        <w:tc>
          <w:tcPr>
            <w:tcW w:w="0" w:type="auto"/>
            <w:tcBorders>
              <w:top w:val="single" w:sz="4" w:space="0" w:color="auto"/>
            </w:tcBorders>
            <w:vAlign w:val="center"/>
          </w:tcPr>
          <w:p w14:paraId="77835650" w14:textId="77777777" w:rsidR="00367C11" w:rsidRPr="00EE09AA" w:rsidRDefault="00367C1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lang w:eastAsia="ar-SA" w:bidi="ar-JO"/>
              </w:rPr>
              <w:t>1 MW</w:t>
            </w:r>
          </w:p>
        </w:tc>
        <w:tc>
          <w:tcPr>
            <w:tcW w:w="0" w:type="auto"/>
            <w:tcBorders>
              <w:top w:val="single" w:sz="4" w:space="0" w:color="auto"/>
            </w:tcBorders>
            <w:vAlign w:val="center"/>
          </w:tcPr>
          <w:p w14:paraId="04933713" w14:textId="77777777" w:rsidR="00367C11" w:rsidRPr="00EE09AA" w:rsidRDefault="00367C1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lang w:eastAsia="ar-SA" w:bidi="ar-JO"/>
              </w:rPr>
              <w:t>3 MW</w:t>
            </w:r>
          </w:p>
        </w:tc>
        <w:tc>
          <w:tcPr>
            <w:tcW w:w="0" w:type="auto"/>
            <w:tcBorders>
              <w:top w:val="single" w:sz="4" w:space="0" w:color="auto"/>
            </w:tcBorders>
            <w:vAlign w:val="center"/>
          </w:tcPr>
          <w:p w14:paraId="1EB478B2" w14:textId="77777777" w:rsidR="00367C11" w:rsidRPr="00EE09AA" w:rsidRDefault="00367C1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lang w:eastAsia="ar-SA" w:bidi="ar-JO"/>
              </w:rPr>
              <w:t>6 MW</w:t>
            </w:r>
          </w:p>
        </w:tc>
      </w:tr>
      <w:tr w:rsidR="00755581" w:rsidRPr="00EE09AA" w14:paraId="560B922D" w14:textId="77777777" w:rsidTr="00EE09AA">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tcPr>
          <w:p w14:paraId="31FB6277" w14:textId="77777777" w:rsidR="00367C11" w:rsidRPr="00EE09AA" w:rsidRDefault="00367C11" w:rsidP="008A3F8D">
            <w:pPr>
              <w:spacing w:after="160" w:line="360" w:lineRule="auto"/>
              <w:jc w:val="left"/>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ESS</w:t>
            </w:r>
          </w:p>
        </w:tc>
        <w:tc>
          <w:tcPr>
            <w:tcW w:w="0" w:type="auto"/>
            <w:tcBorders>
              <w:left w:val="single" w:sz="4" w:space="0" w:color="auto"/>
            </w:tcBorders>
            <w:vAlign w:val="center"/>
          </w:tcPr>
          <w:p w14:paraId="13FD40C1" w14:textId="77777777" w:rsidR="00367C11" w:rsidRPr="00EE09AA" w:rsidRDefault="00367C11"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2"/>
                <w:szCs w:val="22"/>
                <w:lang w:eastAsia="ar-SA" w:bidi="ar-JO"/>
              </w:rPr>
            </w:pPr>
            <w:r w:rsidRPr="00EE09AA">
              <w:rPr>
                <w:rFonts w:asciiTheme="majorBidi" w:hAnsiTheme="majorBidi" w:cstheme="majorBidi"/>
                <w:sz w:val="22"/>
                <w:szCs w:val="22"/>
                <w:lang w:eastAsia="ar-SA" w:bidi="ar-JO"/>
              </w:rPr>
              <w:t>None</w:t>
            </w:r>
          </w:p>
        </w:tc>
        <w:tc>
          <w:tcPr>
            <w:tcW w:w="0" w:type="auto"/>
            <w:vAlign w:val="center"/>
          </w:tcPr>
          <w:p w14:paraId="75A9F790" w14:textId="06FA065A" w:rsidR="00367C11" w:rsidRPr="00EE09AA" w:rsidRDefault="00D004A1"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7.61 MWh</w:t>
            </w:r>
          </w:p>
        </w:tc>
        <w:tc>
          <w:tcPr>
            <w:tcW w:w="0" w:type="auto"/>
            <w:vAlign w:val="center"/>
          </w:tcPr>
          <w:p w14:paraId="148B4C25" w14:textId="0BB96800" w:rsidR="00367C11" w:rsidRPr="00EE09AA" w:rsidRDefault="00D004A1"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22.84 MWh</w:t>
            </w:r>
          </w:p>
        </w:tc>
        <w:tc>
          <w:tcPr>
            <w:tcW w:w="0" w:type="auto"/>
            <w:vAlign w:val="center"/>
          </w:tcPr>
          <w:p w14:paraId="3EF4F298" w14:textId="35E7DC93" w:rsidR="00367C11" w:rsidRPr="00EE09AA" w:rsidRDefault="00D004A1"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45.67 MWh</w:t>
            </w:r>
          </w:p>
        </w:tc>
      </w:tr>
      <w:tr w:rsidR="00755581" w:rsidRPr="00EE09AA" w14:paraId="304B9B1B" w14:textId="77777777" w:rsidTr="00EE09AA">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hideMark/>
          </w:tcPr>
          <w:p w14:paraId="421D6255" w14:textId="77777777" w:rsidR="008A3F8D" w:rsidRPr="00EE09AA" w:rsidRDefault="008A3F8D" w:rsidP="008A3F8D">
            <w:pPr>
              <w:spacing w:after="160" w:line="360" w:lineRule="auto"/>
              <w:jc w:val="left"/>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rPr>
              <w:t>Voltage Regulation</w:t>
            </w:r>
          </w:p>
        </w:tc>
        <w:tc>
          <w:tcPr>
            <w:tcW w:w="0" w:type="auto"/>
            <w:tcBorders>
              <w:left w:val="single" w:sz="4" w:space="0" w:color="auto"/>
            </w:tcBorders>
            <w:vAlign w:val="center"/>
            <w:hideMark/>
          </w:tcPr>
          <w:p w14:paraId="7C5227A6" w14:textId="2E4786E2"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Limited</w:t>
            </w:r>
          </w:p>
        </w:tc>
        <w:tc>
          <w:tcPr>
            <w:tcW w:w="0" w:type="auto"/>
            <w:vAlign w:val="center"/>
            <w:hideMark/>
          </w:tcPr>
          <w:p w14:paraId="76C80429" w14:textId="5E744CA0"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Improved</w:t>
            </w:r>
          </w:p>
        </w:tc>
        <w:tc>
          <w:tcPr>
            <w:tcW w:w="0" w:type="auto"/>
            <w:vAlign w:val="center"/>
            <w:hideMark/>
          </w:tcPr>
          <w:p w14:paraId="725498A5" w14:textId="2EAC80D3"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Improved</w:t>
            </w:r>
          </w:p>
        </w:tc>
        <w:tc>
          <w:tcPr>
            <w:tcW w:w="0" w:type="auto"/>
            <w:vAlign w:val="center"/>
            <w:hideMark/>
          </w:tcPr>
          <w:p w14:paraId="3270E69B" w14:textId="2AD6EB4E"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Improved</w:t>
            </w:r>
          </w:p>
        </w:tc>
      </w:tr>
      <w:tr w:rsidR="009303C5" w:rsidRPr="00EE09AA" w14:paraId="4025EFE2" w14:textId="77777777" w:rsidTr="004F7EF9">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tcPr>
          <w:p w14:paraId="6F8359C6" w14:textId="7DBCB1FE" w:rsidR="009303C5" w:rsidRPr="009303C5" w:rsidRDefault="009303C5" w:rsidP="009303C5">
            <w:pPr>
              <w:spacing w:after="160" w:line="360" w:lineRule="auto"/>
              <w:rPr>
                <w:rFonts w:asciiTheme="majorBidi" w:hAnsiTheme="majorBidi" w:cstheme="majorBidi"/>
                <w:b/>
                <w:bCs/>
                <w:i w:val="0"/>
                <w:iCs w:val="0"/>
                <w:sz w:val="22"/>
                <w:szCs w:val="22"/>
              </w:rPr>
            </w:pPr>
            <w:r w:rsidRPr="009303C5">
              <w:rPr>
                <w:rFonts w:asciiTheme="majorBidi" w:hAnsiTheme="majorBidi" w:cstheme="majorBidi"/>
                <w:b/>
                <w:bCs/>
                <w:i w:val="0"/>
                <w:iCs w:val="0"/>
                <w:sz w:val="22"/>
                <w:szCs w:val="22"/>
              </w:rPr>
              <w:t>Harmonic Distortion</w:t>
            </w:r>
          </w:p>
        </w:tc>
        <w:tc>
          <w:tcPr>
            <w:tcW w:w="0" w:type="auto"/>
            <w:tcBorders>
              <w:left w:val="single" w:sz="4" w:space="0" w:color="auto"/>
            </w:tcBorders>
          </w:tcPr>
          <w:p w14:paraId="1D17F4FF" w14:textId="4B05572E" w:rsidR="009303C5" w:rsidRPr="00EE09AA" w:rsidRDefault="009303C5" w:rsidP="009303C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Moderate</w:t>
            </w:r>
          </w:p>
        </w:tc>
        <w:tc>
          <w:tcPr>
            <w:tcW w:w="0" w:type="auto"/>
          </w:tcPr>
          <w:p w14:paraId="3B1E9C0D" w14:textId="26EE6DEF" w:rsidR="009303C5" w:rsidRPr="00EE09AA" w:rsidRDefault="009303C5" w:rsidP="009303C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High</w:t>
            </w:r>
          </w:p>
        </w:tc>
        <w:tc>
          <w:tcPr>
            <w:tcW w:w="0" w:type="auto"/>
          </w:tcPr>
          <w:p w14:paraId="20556828" w14:textId="23FC24B8" w:rsidR="009303C5" w:rsidRPr="00EE09AA" w:rsidRDefault="009303C5" w:rsidP="009303C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Moderate</w:t>
            </w:r>
          </w:p>
        </w:tc>
        <w:tc>
          <w:tcPr>
            <w:tcW w:w="0" w:type="auto"/>
          </w:tcPr>
          <w:p w14:paraId="07897A4F" w14:textId="1B1977D8" w:rsidR="009303C5" w:rsidRPr="00EE09AA" w:rsidRDefault="009303C5" w:rsidP="009303C5">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High</w:t>
            </w:r>
          </w:p>
        </w:tc>
      </w:tr>
      <w:tr w:rsidR="009303C5" w:rsidRPr="00EE09AA" w14:paraId="17F6A5A0" w14:textId="77777777" w:rsidTr="004F7EF9">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tcPr>
          <w:p w14:paraId="641C8143" w14:textId="3B175A82" w:rsidR="009303C5" w:rsidRPr="009303C5" w:rsidRDefault="009303C5" w:rsidP="009303C5">
            <w:pPr>
              <w:spacing w:after="160" w:line="360" w:lineRule="auto"/>
              <w:rPr>
                <w:rFonts w:asciiTheme="majorBidi" w:hAnsiTheme="majorBidi" w:cstheme="majorBidi"/>
                <w:b/>
                <w:bCs/>
                <w:i w:val="0"/>
                <w:iCs w:val="0"/>
                <w:sz w:val="22"/>
                <w:szCs w:val="22"/>
              </w:rPr>
            </w:pPr>
            <w:r w:rsidRPr="009303C5">
              <w:rPr>
                <w:rFonts w:asciiTheme="majorBidi" w:hAnsiTheme="majorBidi" w:cstheme="majorBidi"/>
                <w:b/>
                <w:bCs/>
                <w:i w:val="0"/>
                <w:iCs w:val="0"/>
                <w:sz w:val="22"/>
                <w:szCs w:val="22"/>
              </w:rPr>
              <w:t>Short-Circuit Levels</w:t>
            </w:r>
          </w:p>
        </w:tc>
        <w:tc>
          <w:tcPr>
            <w:tcW w:w="0" w:type="auto"/>
            <w:tcBorders>
              <w:left w:val="single" w:sz="4" w:space="0" w:color="auto"/>
            </w:tcBorders>
          </w:tcPr>
          <w:p w14:paraId="3497C6E0" w14:textId="09F7FA2E" w:rsidR="009303C5" w:rsidRPr="00EE09AA" w:rsidRDefault="009303C5" w:rsidP="009303C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Low</w:t>
            </w:r>
          </w:p>
        </w:tc>
        <w:tc>
          <w:tcPr>
            <w:tcW w:w="0" w:type="auto"/>
          </w:tcPr>
          <w:p w14:paraId="3DB5608F" w14:textId="09457F18" w:rsidR="009303C5" w:rsidRPr="00EE09AA" w:rsidRDefault="009303C5" w:rsidP="009303C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Low</w:t>
            </w:r>
          </w:p>
        </w:tc>
        <w:tc>
          <w:tcPr>
            <w:tcW w:w="0" w:type="auto"/>
          </w:tcPr>
          <w:p w14:paraId="724617FA" w14:textId="4A298107" w:rsidR="009303C5" w:rsidRPr="00EE09AA" w:rsidRDefault="009303C5" w:rsidP="009303C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Very High</w:t>
            </w:r>
          </w:p>
        </w:tc>
        <w:tc>
          <w:tcPr>
            <w:tcW w:w="0" w:type="auto"/>
          </w:tcPr>
          <w:p w14:paraId="0612BD59" w14:textId="3547C40F" w:rsidR="009303C5" w:rsidRPr="00EE09AA" w:rsidRDefault="009303C5" w:rsidP="009303C5">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9303C5">
              <w:rPr>
                <w:rFonts w:asciiTheme="majorBidi" w:hAnsiTheme="majorBidi" w:cstheme="majorBidi"/>
                <w:sz w:val="22"/>
                <w:szCs w:val="22"/>
              </w:rPr>
              <w:t>Extremely High</w:t>
            </w:r>
          </w:p>
        </w:tc>
      </w:tr>
      <w:tr w:rsidR="004C7BEB" w:rsidRPr="00EE09AA" w14:paraId="587A8603" w14:textId="77777777" w:rsidTr="00EE09AA">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tcPr>
          <w:p w14:paraId="59994614" w14:textId="0F3D6AB0" w:rsidR="004C7BEB" w:rsidRPr="00EE09AA" w:rsidRDefault="004C7BEB" w:rsidP="004C7BEB">
            <w:pPr>
              <w:spacing w:after="160" w:line="360" w:lineRule="auto"/>
              <w:jc w:val="left"/>
              <w:rPr>
                <w:rFonts w:asciiTheme="majorBidi" w:hAnsiTheme="majorBidi" w:cstheme="majorBidi"/>
                <w:b/>
                <w:bCs/>
                <w:i w:val="0"/>
                <w:iCs w:val="0"/>
                <w:sz w:val="22"/>
                <w:szCs w:val="22"/>
              </w:rPr>
            </w:pPr>
            <w:r w:rsidRPr="00EE09AA">
              <w:rPr>
                <w:rFonts w:asciiTheme="majorBidi" w:hAnsiTheme="majorBidi" w:cstheme="majorBidi"/>
                <w:b/>
                <w:bCs/>
                <w:i w:val="0"/>
                <w:iCs w:val="0"/>
                <w:sz w:val="22"/>
                <w:szCs w:val="22"/>
              </w:rPr>
              <w:t>Peak Shaving</w:t>
            </w:r>
            <w:r w:rsidRPr="00EE09AA">
              <w:rPr>
                <w:rFonts w:asciiTheme="majorBidi" w:hAnsiTheme="majorBidi" w:cstheme="majorBidi"/>
                <w:b/>
                <w:bCs/>
                <w:i w:val="0"/>
                <w:iCs w:val="0"/>
                <w:sz w:val="22"/>
                <w:szCs w:val="22"/>
              </w:rPr>
              <w:tab/>
            </w:r>
          </w:p>
        </w:tc>
        <w:tc>
          <w:tcPr>
            <w:tcW w:w="0" w:type="auto"/>
            <w:tcBorders>
              <w:left w:val="single" w:sz="4" w:space="0" w:color="auto"/>
            </w:tcBorders>
            <w:vAlign w:val="center"/>
          </w:tcPr>
          <w:p w14:paraId="68224860" w14:textId="51810DE3" w:rsidR="004C7BEB" w:rsidRPr="00EE09AA" w:rsidRDefault="004C7BEB"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rPr>
              <w:t>N/A</w:t>
            </w:r>
          </w:p>
        </w:tc>
        <w:tc>
          <w:tcPr>
            <w:tcW w:w="0" w:type="auto"/>
            <w:vAlign w:val="center"/>
          </w:tcPr>
          <w:p w14:paraId="063F8649" w14:textId="620E316A" w:rsidR="004C7BEB" w:rsidRPr="00EE09AA" w:rsidRDefault="004C7BEB"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rPr>
              <w:t>33%</w:t>
            </w:r>
          </w:p>
        </w:tc>
        <w:tc>
          <w:tcPr>
            <w:tcW w:w="0" w:type="auto"/>
            <w:vAlign w:val="center"/>
          </w:tcPr>
          <w:p w14:paraId="4E0F5837" w14:textId="2DED4735" w:rsidR="004C7BEB" w:rsidRPr="00EE09AA" w:rsidRDefault="004C7BEB"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rPr>
              <w:t>51%</w:t>
            </w:r>
          </w:p>
        </w:tc>
        <w:tc>
          <w:tcPr>
            <w:tcW w:w="0" w:type="auto"/>
            <w:vAlign w:val="center"/>
          </w:tcPr>
          <w:p w14:paraId="3DB80A93" w14:textId="36C3C8DA" w:rsidR="004C7BEB" w:rsidRPr="00EE09AA" w:rsidRDefault="004C7BEB"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rPr>
              <w:t>63%</w:t>
            </w:r>
          </w:p>
        </w:tc>
      </w:tr>
      <w:tr w:rsidR="00755581" w:rsidRPr="00EE09AA" w14:paraId="2B142F70" w14:textId="77777777" w:rsidTr="00EE09AA">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tcPr>
          <w:p w14:paraId="5F8A29A2" w14:textId="77777777" w:rsidR="008A3F8D" w:rsidRPr="00EE09AA" w:rsidRDefault="008A3F8D" w:rsidP="008A3F8D">
            <w:pPr>
              <w:spacing w:after="160" w:line="360" w:lineRule="auto"/>
              <w:jc w:val="left"/>
              <w:rPr>
                <w:rFonts w:asciiTheme="majorBidi" w:hAnsiTheme="majorBidi" w:cstheme="majorBidi"/>
                <w:b/>
                <w:bCs/>
                <w:i w:val="0"/>
                <w:iCs w:val="0"/>
                <w:sz w:val="22"/>
                <w:szCs w:val="22"/>
              </w:rPr>
            </w:pPr>
            <w:r w:rsidRPr="00EE09AA">
              <w:rPr>
                <w:rFonts w:asciiTheme="majorBidi" w:hAnsiTheme="majorBidi" w:cstheme="majorBidi"/>
                <w:b/>
                <w:bCs/>
                <w:i w:val="0"/>
                <w:iCs w:val="0"/>
                <w:sz w:val="22"/>
                <w:szCs w:val="22"/>
                <w:lang w:eastAsia="ar-SA" w:bidi="ar-JO"/>
              </w:rPr>
              <w:t>Losses</w:t>
            </w:r>
          </w:p>
        </w:tc>
        <w:tc>
          <w:tcPr>
            <w:tcW w:w="0" w:type="auto"/>
            <w:tcBorders>
              <w:left w:val="single" w:sz="4" w:space="0" w:color="auto"/>
            </w:tcBorders>
            <w:vAlign w:val="center"/>
          </w:tcPr>
          <w:p w14:paraId="526C08FD" w14:textId="77777777"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lang w:eastAsia="ar-SA" w:bidi="ar-JO"/>
              </w:rPr>
              <w:t>High</w:t>
            </w:r>
          </w:p>
        </w:tc>
        <w:tc>
          <w:tcPr>
            <w:tcW w:w="0" w:type="auto"/>
            <w:vAlign w:val="center"/>
          </w:tcPr>
          <w:p w14:paraId="15A1A349" w14:textId="77777777"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lang w:eastAsia="ar-SA" w:bidi="ar-JO"/>
              </w:rPr>
              <w:t>Low</w:t>
            </w:r>
          </w:p>
        </w:tc>
        <w:tc>
          <w:tcPr>
            <w:tcW w:w="0" w:type="auto"/>
            <w:vAlign w:val="center"/>
          </w:tcPr>
          <w:p w14:paraId="7501E508" w14:textId="77777777"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lang w:eastAsia="ar-SA" w:bidi="ar-JO"/>
              </w:rPr>
              <w:t>Moderate</w:t>
            </w:r>
          </w:p>
        </w:tc>
        <w:tc>
          <w:tcPr>
            <w:tcW w:w="0" w:type="auto"/>
            <w:vAlign w:val="center"/>
          </w:tcPr>
          <w:p w14:paraId="64BC68FA" w14:textId="77777777"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rPr>
            </w:pPr>
            <w:r w:rsidRPr="00EE09AA">
              <w:rPr>
                <w:rFonts w:asciiTheme="majorBidi" w:hAnsiTheme="majorBidi" w:cstheme="majorBidi"/>
                <w:sz w:val="22"/>
                <w:szCs w:val="22"/>
                <w:lang w:eastAsia="ar-SA" w:bidi="ar-JO"/>
              </w:rPr>
              <w:t>High</w:t>
            </w:r>
          </w:p>
        </w:tc>
      </w:tr>
      <w:tr w:rsidR="00755581" w:rsidRPr="00EE09AA" w14:paraId="0062E29F" w14:textId="77777777" w:rsidTr="00EE09AA">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tcPr>
          <w:p w14:paraId="13A0AFE7" w14:textId="373140CB" w:rsidR="008A3F8D" w:rsidRPr="00EE09AA" w:rsidRDefault="008A3F8D" w:rsidP="008A3F8D">
            <w:pPr>
              <w:spacing w:after="160" w:line="360" w:lineRule="auto"/>
              <w:jc w:val="left"/>
              <w:rPr>
                <w:rFonts w:asciiTheme="majorBidi" w:hAnsiTheme="majorBidi" w:cstheme="majorBidi"/>
                <w:b/>
                <w:bCs/>
                <w:i w:val="0"/>
                <w:iCs w:val="0"/>
                <w:sz w:val="22"/>
                <w:szCs w:val="22"/>
                <w:lang w:eastAsia="ar-SA" w:bidi="ar-JO"/>
              </w:rPr>
            </w:pPr>
            <w:bookmarkStart w:id="57" w:name="_Hlk188958312"/>
            <w:r w:rsidRPr="00EE09AA">
              <w:rPr>
                <w:rFonts w:asciiTheme="majorBidi" w:hAnsiTheme="majorBidi" w:cstheme="majorBidi"/>
                <w:b/>
                <w:bCs/>
                <w:i w:val="0"/>
                <w:iCs w:val="0"/>
                <w:sz w:val="22"/>
                <w:szCs w:val="22"/>
                <w:lang w:eastAsia="ar-SA" w:bidi="ar-JO"/>
              </w:rPr>
              <w:t>Nominal LCOE</w:t>
            </w:r>
          </w:p>
        </w:tc>
        <w:tc>
          <w:tcPr>
            <w:tcW w:w="0" w:type="auto"/>
            <w:tcBorders>
              <w:left w:val="single" w:sz="4" w:space="0" w:color="auto"/>
            </w:tcBorders>
            <w:vAlign w:val="center"/>
          </w:tcPr>
          <w:p w14:paraId="1688ED9D" w14:textId="778F879B"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N/A</w:t>
            </w:r>
          </w:p>
        </w:tc>
        <w:tc>
          <w:tcPr>
            <w:tcW w:w="0" w:type="auto"/>
            <w:vAlign w:val="center"/>
          </w:tcPr>
          <w:p w14:paraId="1E105875" w14:textId="585239AC"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17.4 cents/kWh</w:t>
            </w:r>
          </w:p>
        </w:tc>
        <w:tc>
          <w:tcPr>
            <w:tcW w:w="0" w:type="auto"/>
            <w:vAlign w:val="center"/>
          </w:tcPr>
          <w:p w14:paraId="741E51B9" w14:textId="7F5D8E88"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18.</w:t>
            </w:r>
            <w:r w:rsidR="00755581" w:rsidRPr="00EE09AA">
              <w:rPr>
                <w:rFonts w:asciiTheme="majorBidi" w:hAnsiTheme="majorBidi" w:cstheme="majorBidi"/>
                <w:sz w:val="22"/>
                <w:szCs w:val="22"/>
              </w:rPr>
              <w:t>6</w:t>
            </w:r>
            <w:r w:rsidRPr="00EE09AA">
              <w:rPr>
                <w:rFonts w:asciiTheme="majorBidi" w:hAnsiTheme="majorBidi" w:cstheme="majorBidi"/>
                <w:sz w:val="22"/>
                <w:szCs w:val="22"/>
              </w:rPr>
              <w:t xml:space="preserve"> cents/kWh</w:t>
            </w:r>
          </w:p>
        </w:tc>
        <w:tc>
          <w:tcPr>
            <w:tcW w:w="0" w:type="auto"/>
            <w:vAlign w:val="center"/>
          </w:tcPr>
          <w:p w14:paraId="4A322283" w14:textId="516108D7"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18.</w:t>
            </w:r>
            <w:r w:rsidR="00755581" w:rsidRPr="00EE09AA">
              <w:rPr>
                <w:rFonts w:asciiTheme="majorBidi" w:hAnsiTheme="majorBidi" w:cstheme="majorBidi"/>
                <w:sz w:val="22"/>
                <w:szCs w:val="22"/>
              </w:rPr>
              <w:t>8</w:t>
            </w:r>
            <w:r w:rsidRPr="00EE09AA">
              <w:rPr>
                <w:rFonts w:asciiTheme="majorBidi" w:hAnsiTheme="majorBidi" w:cstheme="majorBidi"/>
                <w:sz w:val="22"/>
                <w:szCs w:val="22"/>
              </w:rPr>
              <w:t xml:space="preserve"> cents/kWh</w:t>
            </w:r>
          </w:p>
        </w:tc>
      </w:tr>
      <w:bookmarkEnd w:id="57"/>
      <w:tr w:rsidR="00755581" w:rsidRPr="00EE09AA" w14:paraId="27D5D262" w14:textId="77777777" w:rsidTr="00EE09AA">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auto"/>
            </w:tcBorders>
            <w:vAlign w:val="center"/>
          </w:tcPr>
          <w:p w14:paraId="6C9C97DE" w14:textId="0E4762A2" w:rsidR="008A3F8D" w:rsidRPr="00EE09AA" w:rsidRDefault="008A3F8D" w:rsidP="008A3F8D">
            <w:pPr>
              <w:spacing w:after="160" w:line="360" w:lineRule="auto"/>
              <w:jc w:val="left"/>
              <w:rPr>
                <w:rFonts w:asciiTheme="majorBidi" w:hAnsiTheme="majorBidi" w:cstheme="majorBidi"/>
                <w:b/>
                <w:bCs/>
                <w:i w:val="0"/>
                <w:iCs w:val="0"/>
                <w:sz w:val="22"/>
                <w:szCs w:val="22"/>
                <w:lang w:eastAsia="ar-SA" w:bidi="ar-JO"/>
              </w:rPr>
            </w:pPr>
            <w:r w:rsidRPr="00EE09AA">
              <w:rPr>
                <w:rFonts w:asciiTheme="majorBidi" w:hAnsiTheme="majorBidi" w:cstheme="majorBidi"/>
                <w:b/>
                <w:bCs/>
                <w:i w:val="0"/>
                <w:iCs w:val="0"/>
                <w:sz w:val="22"/>
                <w:szCs w:val="22"/>
                <w:lang w:eastAsia="ar-SA" w:bidi="ar-JO"/>
              </w:rPr>
              <w:t>Payback Period</w:t>
            </w:r>
          </w:p>
        </w:tc>
        <w:tc>
          <w:tcPr>
            <w:tcW w:w="0" w:type="auto"/>
            <w:tcBorders>
              <w:left w:val="single" w:sz="4" w:space="0" w:color="auto"/>
            </w:tcBorders>
            <w:vAlign w:val="center"/>
          </w:tcPr>
          <w:p w14:paraId="4E7B2300" w14:textId="639FA901"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N/A</w:t>
            </w:r>
          </w:p>
        </w:tc>
        <w:tc>
          <w:tcPr>
            <w:tcW w:w="0" w:type="auto"/>
            <w:vAlign w:val="center"/>
          </w:tcPr>
          <w:p w14:paraId="64FA88E5" w14:textId="7F23887D" w:rsidR="008A3F8D" w:rsidRPr="00EE09AA" w:rsidRDefault="008A3F8D"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8.2 years</w:t>
            </w:r>
          </w:p>
        </w:tc>
        <w:tc>
          <w:tcPr>
            <w:tcW w:w="0" w:type="auto"/>
            <w:vAlign w:val="center"/>
          </w:tcPr>
          <w:p w14:paraId="7A62A77C" w14:textId="5316CB68" w:rsidR="008A3F8D" w:rsidRPr="00EE09AA" w:rsidRDefault="0075558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9.8</w:t>
            </w:r>
            <w:r w:rsidR="008A3F8D" w:rsidRPr="00EE09AA">
              <w:rPr>
                <w:rFonts w:asciiTheme="majorBidi" w:hAnsiTheme="majorBidi" w:cstheme="majorBidi"/>
                <w:sz w:val="22"/>
                <w:szCs w:val="22"/>
              </w:rPr>
              <w:t xml:space="preserve"> years</w:t>
            </w:r>
          </w:p>
        </w:tc>
        <w:tc>
          <w:tcPr>
            <w:tcW w:w="0" w:type="auto"/>
            <w:vAlign w:val="center"/>
          </w:tcPr>
          <w:p w14:paraId="35C02846" w14:textId="30F92D54" w:rsidR="008A3F8D" w:rsidRPr="00EE09AA" w:rsidRDefault="00755581" w:rsidP="008A3F8D">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9.9</w:t>
            </w:r>
            <w:r w:rsidR="008A3F8D" w:rsidRPr="00EE09AA">
              <w:rPr>
                <w:rFonts w:asciiTheme="majorBidi" w:hAnsiTheme="majorBidi" w:cstheme="majorBidi"/>
                <w:sz w:val="22"/>
                <w:szCs w:val="22"/>
              </w:rPr>
              <w:t xml:space="preserve"> years</w:t>
            </w:r>
          </w:p>
        </w:tc>
      </w:tr>
      <w:tr w:rsidR="00755581" w:rsidRPr="00EE09AA" w14:paraId="1E05CB6B" w14:textId="77777777" w:rsidTr="00EE09AA">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right w:val="single" w:sz="4" w:space="0" w:color="auto"/>
            </w:tcBorders>
            <w:vAlign w:val="center"/>
          </w:tcPr>
          <w:p w14:paraId="50F4C1FB" w14:textId="643544FD" w:rsidR="008A3F8D" w:rsidRPr="00EE09AA" w:rsidRDefault="008A3F8D" w:rsidP="008A3F8D">
            <w:pPr>
              <w:spacing w:after="160" w:line="360" w:lineRule="auto"/>
              <w:jc w:val="left"/>
              <w:rPr>
                <w:rFonts w:asciiTheme="majorBidi" w:hAnsiTheme="majorBidi" w:cstheme="majorBidi"/>
                <w:b/>
                <w:bCs/>
                <w:i w:val="0"/>
                <w:iCs w:val="0"/>
                <w:sz w:val="22"/>
                <w:szCs w:val="22"/>
                <w:rtl/>
                <w:lang w:eastAsia="ar-SA" w:bidi="ar-EG"/>
              </w:rPr>
            </w:pPr>
            <w:r w:rsidRPr="00EE09AA">
              <w:rPr>
                <w:rFonts w:asciiTheme="majorBidi" w:hAnsiTheme="majorBidi" w:cstheme="majorBidi"/>
                <w:b/>
                <w:bCs/>
                <w:i w:val="0"/>
                <w:iCs w:val="0"/>
                <w:sz w:val="22"/>
                <w:szCs w:val="22"/>
                <w:lang w:eastAsia="ar-SA" w:bidi="ar-JO"/>
              </w:rPr>
              <w:t>Total Installed Cost</w:t>
            </w:r>
          </w:p>
        </w:tc>
        <w:tc>
          <w:tcPr>
            <w:tcW w:w="0" w:type="auto"/>
            <w:tcBorders>
              <w:left w:val="single" w:sz="4" w:space="0" w:color="auto"/>
              <w:bottom w:val="single" w:sz="4" w:space="0" w:color="auto"/>
            </w:tcBorders>
            <w:vAlign w:val="center"/>
          </w:tcPr>
          <w:p w14:paraId="58C2A5DB" w14:textId="6AA482D6"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N/A</w:t>
            </w:r>
          </w:p>
        </w:tc>
        <w:tc>
          <w:tcPr>
            <w:tcW w:w="0" w:type="auto"/>
            <w:tcBorders>
              <w:bottom w:val="single" w:sz="4" w:space="0" w:color="auto"/>
            </w:tcBorders>
            <w:vAlign w:val="center"/>
          </w:tcPr>
          <w:p w14:paraId="3E619D13" w14:textId="5671593F"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$1,60</w:t>
            </w:r>
            <w:r w:rsidR="00755581" w:rsidRPr="00EE09AA">
              <w:rPr>
                <w:rFonts w:asciiTheme="majorBidi" w:hAnsiTheme="majorBidi" w:cstheme="majorBidi"/>
                <w:sz w:val="22"/>
                <w:szCs w:val="22"/>
              </w:rPr>
              <w:t>9</w:t>
            </w:r>
            <w:r w:rsidRPr="00EE09AA">
              <w:rPr>
                <w:rFonts w:asciiTheme="majorBidi" w:hAnsiTheme="majorBidi" w:cstheme="majorBidi"/>
                <w:sz w:val="22"/>
                <w:szCs w:val="22"/>
              </w:rPr>
              <w:t>,</w:t>
            </w:r>
            <w:r w:rsidR="00755581" w:rsidRPr="00EE09AA">
              <w:rPr>
                <w:rFonts w:asciiTheme="majorBidi" w:hAnsiTheme="majorBidi" w:cstheme="majorBidi"/>
                <w:sz w:val="22"/>
                <w:szCs w:val="22"/>
              </w:rPr>
              <w:t>835</w:t>
            </w:r>
          </w:p>
        </w:tc>
        <w:tc>
          <w:tcPr>
            <w:tcW w:w="0" w:type="auto"/>
            <w:tcBorders>
              <w:bottom w:val="single" w:sz="4" w:space="0" w:color="auto"/>
            </w:tcBorders>
            <w:vAlign w:val="center"/>
          </w:tcPr>
          <w:p w14:paraId="41D3A590" w14:textId="2FF3B718"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$5,</w:t>
            </w:r>
            <w:r w:rsidR="00755581" w:rsidRPr="00EE09AA">
              <w:rPr>
                <w:rFonts w:asciiTheme="majorBidi" w:hAnsiTheme="majorBidi" w:cstheme="majorBidi"/>
                <w:sz w:val="22"/>
                <w:szCs w:val="22"/>
              </w:rPr>
              <w:t>953</w:t>
            </w:r>
            <w:r w:rsidRPr="00EE09AA">
              <w:rPr>
                <w:rFonts w:asciiTheme="majorBidi" w:hAnsiTheme="majorBidi" w:cstheme="majorBidi"/>
                <w:sz w:val="22"/>
                <w:szCs w:val="22"/>
              </w:rPr>
              <w:t>,</w:t>
            </w:r>
            <w:r w:rsidR="00755581" w:rsidRPr="00EE09AA">
              <w:rPr>
                <w:rFonts w:asciiTheme="majorBidi" w:hAnsiTheme="majorBidi" w:cstheme="majorBidi"/>
                <w:sz w:val="22"/>
                <w:szCs w:val="22"/>
              </w:rPr>
              <w:t>514</w:t>
            </w:r>
          </w:p>
        </w:tc>
        <w:tc>
          <w:tcPr>
            <w:tcW w:w="0" w:type="auto"/>
            <w:tcBorders>
              <w:bottom w:val="single" w:sz="4" w:space="0" w:color="auto"/>
            </w:tcBorders>
            <w:vAlign w:val="center"/>
          </w:tcPr>
          <w:p w14:paraId="6F835FF9" w14:textId="440AF255" w:rsidR="008A3F8D" w:rsidRPr="00EE09AA" w:rsidRDefault="008A3F8D" w:rsidP="008A3F8D">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2"/>
                <w:szCs w:val="22"/>
                <w:lang w:eastAsia="ar-SA" w:bidi="ar-JO"/>
              </w:rPr>
            </w:pPr>
            <w:r w:rsidRPr="00EE09AA">
              <w:rPr>
                <w:rFonts w:asciiTheme="majorBidi" w:hAnsiTheme="majorBidi" w:cstheme="majorBidi"/>
                <w:sz w:val="22"/>
                <w:szCs w:val="22"/>
              </w:rPr>
              <w:t>$1</w:t>
            </w:r>
            <w:r w:rsidR="00755581" w:rsidRPr="00EE09AA">
              <w:rPr>
                <w:rFonts w:asciiTheme="majorBidi" w:hAnsiTheme="majorBidi" w:cstheme="majorBidi"/>
                <w:sz w:val="22"/>
                <w:szCs w:val="22"/>
              </w:rPr>
              <w:t>2</w:t>
            </w:r>
            <w:r w:rsidRPr="00EE09AA">
              <w:rPr>
                <w:rFonts w:asciiTheme="majorBidi" w:hAnsiTheme="majorBidi" w:cstheme="majorBidi"/>
                <w:sz w:val="22"/>
                <w:szCs w:val="22"/>
              </w:rPr>
              <w:t>,</w:t>
            </w:r>
            <w:r w:rsidR="00755581" w:rsidRPr="00EE09AA">
              <w:rPr>
                <w:rFonts w:asciiTheme="majorBidi" w:hAnsiTheme="majorBidi" w:cstheme="majorBidi"/>
                <w:sz w:val="22"/>
                <w:szCs w:val="22"/>
              </w:rPr>
              <w:t>246</w:t>
            </w:r>
            <w:r w:rsidRPr="00EE09AA">
              <w:rPr>
                <w:rFonts w:asciiTheme="majorBidi" w:hAnsiTheme="majorBidi" w:cstheme="majorBidi"/>
                <w:sz w:val="22"/>
                <w:szCs w:val="22"/>
              </w:rPr>
              <w:t>,</w:t>
            </w:r>
            <w:r w:rsidR="00755581" w:rsidRPr="00EE09AA">
              <w:rPr>
                <w:rFonts w:asciiTheme="majorBidi" w:hAnsiTheme="majorBidi" w:cstheme="majorBidi"/>
                <w:sz w:val="22"/>
                <w:szCs w:val="22"/>
              </w:rPr>
              <w:t>799</w:t>
            </w:r>
          </w:p>
        </w:tc>
      </w:tr>
    </w:tbl>
    <w:p w14:paraId="251AD56D" w14:textId="77777777" w:rsidR="00943B5D" w:rsidRDefault="00943B5D" w:rsidP="00266591">
      <w:pPr>
        <w:spacing w:after="160" w:line="360" w:lineRule="auto"/>
        <w:jc w:val="both"/>
        <w:rPr>
          <w:lang w:eastAsia="ar-SA" w:bidi="ar-JO"/>
        </w:rPr>
      </w:pPr>
    </w:p>
    <w:p w14:paraId="6942F0B5" w14:textId="17049027" w:rsidR="00266591" w:rsidRDefault="00266591" w:rsidP="00266591">
      <w:pPr>
        <w:spacing w:after="160" w:line="360" w:lineRule="auto"/>
        <w:jc w:val="both"/>
        <w:rPr>
          <w:lang w:eastAsia="ar-SA" w:bidi="ar-JO"/>
        </w:rPr>
      </w:pPr>
      <w:r>
        <w:rPr>
          <w:lang w:eastAsia="ar-SA" w:bidi="ar-JO"/>
        </w:rPr>
        <w:t xml:space="preserve">The comparison of the four cases provides valuable insights into </w:t>
      </w:r>
      <w:proofErr w:type="gramStart"/>
      <w:r>
        <w:rPr>
          <w:lang w:eastAsia="ar-SA" w:bidi="ar-JO"/>
        </w:rPr>
        <w:t>the technical</w:t>
      </w:r>
      <w:proofErr w:type="gramEnd"/>
      <w:r>
        <w:rPr>
          <w:lang w:eastAsia="ar-SA" w:bidi="ar-JO"/>
        </w:rPr>
        <w:t xml:space="preserve"> performance vs. economic feasibility trade-offs in grid-connected photovoltaic systems with integrated energy storage. The size of the photovoltaic system increases stepwise from 1 MW in Case 0 and Case 1, to 3 MW in Case 2, and to 6 MW in Case 3. While this </w:t>
      </w:r>
      <w:proofErr w:type="gramStart"/>
      <w:r>
        <w:rPr>
          <w:lang w:eastAsia="ar-SA" w:bidi="ar-JO"/>
        </w:rPr>
        <w:t>scaling</w:t>
      </w:r>
      <w:proofErr w:type="gramEnd"/>
      <w:r>
        <w:rPr>
          <w:lang w:eastAsia="ar-SA" w:bidi="ar-JO"/>
        </w:rPr>
        <w:t xml:space="preserve"> up enhances overall energy production and grid supply, it also results in significantly higher system costs in Cases 2 and 3. Compared to Case 1, which is a good balance between system size and performance, Case 1 is the most cost-effective configuration.</w:t>
      </w:r>
    </w:p>
    <w:p w14:paraId="0991100E" w14:textId="1D44C170" w:rsidR="00266591" w:rsidRDefault="00266591" w:rsidP="00266591">
      <w:pPr>
        <w:spacing w:after="160" w:line="360" w:lineRule="auto"/>
        <w:jc w:val="both"/>
        <w:rPr>
          <w:lang w:eastAsia="ar-SA" w:bidi="ar-JO"/>
        </w:rPr>
      </w:pPr>
      <w:r>
        <w:rPr>
          <w:lang w:eastAsia="ar-SA" w:bidi="ar-JO"/>
        </w:rPr>
        <w:t xml:space="preserve">In terms of energy storage, Case 1 possesses a 7.61 MWh lithium-ion battery energy storage system that provides efficient charging during overgeneration and discharging </w:t>
      </w:r>
      <w:r>
        <w:rPr>
          <w:lang w:eastAsia="ar-SA" w:bidi="ar-JO"/>
        </w:rPr>
        <w:lastRenderedPageBreak/>
        <w:t xml:space="preserve">during peak demand. The configuration enables dynamic load balancing and voltage fluctuation suppression, with improved power quality and stability performance. While Cases 2 and 3 employ higher ESS capacities to match higher PV output, the increased capital cost rendered by the same lowers their economic viability. The total net present value (NPV) of Case 1 is $1,609,835, far lower than Case 2 at $5,953,514 and Case 3 at $12,246,799. Furthermore, the LCOE in Case 1 is the lowest at 17.4 cents/kWh, and then 18.6 cents/kWh and 18.8 </w:t>
      </w:r>
      <w:proofErr w:type="gramStart"/>
      <w:r>
        <w:rPr>
          <w:lang w:eastAsia="ar-SA" w:bidi="ar-JO"/>
        </w:rPr>
        <w:t>cents</w:t>
      </w:r>
      <w:proofErr w:type="gramEnd"/>
      <w:r>
        <w:rPr>
          <w:lang w:eastAsia="ar-SA" w:bidi="ar-JO"/>
        </w:rPr>
        <w:t>/kWh in Cases 2 and 3, respectively.</w:t>
      </w:r>
    </w:p>
    <w:p w14:paraId="30575144" w14:textId="5A482874" w:rsidR="00266591" w:rsidRDefault="00266591" w:rsidP="00266591">
      <w:pPr>
        <w:spacing w:after="160" w:line="360" w:lineRule="auto"/>
        <w:jc w:val="both"/>
        <w:rPr>
          <w:lang w:eastAsia="ar-SA" w:bidi="ar-JO"/>
        </w:rPr>
      </w:pPr>
      <w:r>
        <w:rPr>
          <w:lang w:eastAsia="ar-SA" w:bidi="ar-JO"/>
        </w:rPr>
        <w:t xml:space="preserve">Voltage regulation also improves substantially in </w:t>
      </w:r>
      <w:proofErr w:type="gramStart"/>
      <w:r>
        <w:rPr>
          <w:lang w:eastAsia="ar-SA" w:bidi="ar-JO"/>
        </w:rPr>
        <w:t>all the</w:t>
      </w:r>
      <w:proofErr w:type="gramEnd"/>
      <w:r>
        <w:rPr>
          <w:lang w:eastAsia="ar-SA" w:bidi="ar-JO"/>
        </w:rPr>
        <w:t xml:space="preserve"> cases. While all cases featuring ESS show voltage stabilization, Case 1 does so economically at minimal cost, whereas incremental voltage increases in Cases 2 and 3 are not justified by their higher investment. Energy loss is also minimized in Case 1, due to balanced energy use by efficient operation of the ESS, and while losses fall further in higher-capacity cases, greater system cost outweighs overall economic efficacy.</w:t>
      </w:r>
    </w:p>
    <w:p w14:paraId="37410DB7" w14:textId="3BD07D31" w:rsidR="00266591" w:rsidRDefault="00266591" w:rsidP="00266591">
      <w:pPr>
        <w:spacing w:after="160" w:line="360" w:lineRule="auto"/>
        <w:jc w:val="both"/>
        <w:rPr>
          <w:lang w:eastAsia="ar-SA" w:bidi="ar-JO"/>
        </w:rPr>
      </w:pPr>
      <w:r>
        <w:rPr>
          <w:lang w:eastAsia="ar-SA" w:bidi="ar-JO"/>
        </w:rPr>
        <w:t xml:space="preserve">From a power quality perspective, harmonic distortion is well controlled in Case 0 and moderately increased in Case 2. It rises, however, in Case 1 and Case 3, particularly in low-voltage buses. Case 1 has a high THD level predominantly at the point of injection of energy, with the need for fundamental filtering actions. In Case 3, THD levels are even worse, perhaps necessitating advanced filtering </w:t>
      </w:r>
      <w:proofErr w:type="gramStart"/>
      <w:r>
        <w:rPr>
          <w:lang w:eastAsia="ar-SA" w:bidi="ar-JO"/>
        </w:rPr>
        <w:t>in order to</w:t>
      </w:r>
      <w:proofErr w:type="gramEnd"/>
      <w:r>
        <w:rPr>
          <w:lang w:eastAsia="ar-SA" w:bidi="ar-JO"/>
        </w:rPr>
        <w:t xml:space="preserve"> meet standards.</w:t>
      </w:r>
    </w:p>
    <w:p w14:paraId="0B63C5A6" w14:textId="2373036E" w:rsidR="00266591" w:rsidRDefault="00266591" w:rsidP="00266591">
      <w:pPr>
        <w:spacing w:after="160" w:line="360" w:lineRule="auto"/>
        <w:jc w:val="both"/>
        <w:rPr>
          <w:lang w:eastAsia="ar-SA" w:bidi="ar-JO"/>
        </w:rPr>
      </w:pPr>
      <w:r>
        <w:rPr>
          <w:lang w:eastAsia="ar-SA" w:bidi="ar-JO"/>
        </w:rPr>
        <w:t>Short-circuit analysis shows that fault levels are constant and within acceptable limits at Bus 1 in all cases. Fault current increases substantially on the Bus 39 in Cases 2 and 3, Case 3 having very high fault current levels (above 250 kA peak), far beyond those acceptable to traditional equipment. Case 1, on the other hand, has low fault current levels on both medium and low-voltage buses, so coordination is possible and affordable.</w:t>
      </w:r>
    </w:p>
    <w:p w14:paraId="120CF718" w14:textId="23805AC4" w:rsidR="00251BEE" w:rsidRDefault="00266591" w:rsidP="00266591">
      <w:pPr>
        <w:spacing w:after="160" w:line="360" w:lineRule="auto"/>
        <w:jc w:val="both"/>
        <w:rPr>
          <w:lang w:eastAsia="ar-SA" w:bidi="ar-JO"/>
        </w:rPr>
      </w:pPr>
      <w:r>
        <w:rPr>
          <w:lang w:eastAsia="ar-SA" w:bidi="ar-JO"/>
        </w:rPr>
        <w:t>Overall, Case 1 is the most economically and technically viable option. It has good voltage regulation, peak load management, and energy storage at the expense of low investment burden and competitive LCOE. It is, hence, the first choice for viable implementation in such village-scale grids that aim to raise the share of renewables without having to pay too expensive a price.</w:t>
      </w:r>
      <w:r w:rsidR="00251BEE">
        <w:rPr>
          <w:lang w:eastAsia="ar-SA" w:bidi="ar-JO"/>
        </w:rPr>
        <w:br w:type="page"/>
      </w:r>
    </w:p>
    <w:p w14:paraId="6591206E" w14:textId="0FFC91AF" w:rsidR="00303508" w:rsidRDefault="00303508" w:rsidP="00303508">
      <w:pPr>
        <w:pStyle w:val="Heading1"/>
        <w:spacing w:line="360" w:lineRule="auto"/>
        <w:ind w:left="820" w:firstLine="0"/>
        <w:rPr>
          <w:sz w:val="28"/>
          <w:szCs w:val="28"/>
        </w:rPr>
      </w:pPr>
      <w:bookmarkStart w:id="58" w:name="_Toc205672558"/>
      <w:r w:rsidRPr="00AF002E">
        <w:rPr>
          <w:sz w:val="28"/>
          <w:szCs w:val="28"/>
        </w:rPr>
        <w:lastRenderedPageBreak/>
        <w:t xml:space="preserve">Chapter </w:t>
      </w:r>
      <w:r>
        <w:rPr>
          <w:sz w:val="28"/>
          <w:szCs w:val="28"/>
        </w:rPr>
        <w:t>Five</w:t>
      </w:r>
      <w:r w:rsidRPr="00AF002E">
        <w:rPr>
          <w:sz w:val="28"/>
          <w:szCs w:val="28"/>
        </w:rPr>
        <w:t xml:space="preserve">: </w:t>
      </w:r>
      <w:r w:rsidRPr="00AF002E">
        <w:rPr>
          <w:sz w:val="28"/>
          <w:szCs w:val="28"/>
        </w:rPr>
        <w:br/>
      </w:r>
      <w:r w:rsidRPr="00303508">
        <w:rPr>
          <w:sz w:val="28"/>
          <w:szCs w:val="28"/>
        </w:rPr>
        <w:t>Conclusions and Recommendations</w:t>
      </w:r>
      <w:bookmarkEnd w:id="58"/>
    </w:p>
    <w:p w14:paraId="236A2979" w14:textId="67BAC0A9" w:rsidR="00251BEE" w:rsidRPr="00303508" w:rsidRDefault="00251BEE" w:rsidP="00303508">
      <w:pPr>
        <w:pStyle w:val="ListParagraph"/>
        <w:numPr>
          <w:ilvl w:val="1"/>
          <w:numId w:val="40"/>
        </w:numPr>
        <w:spacing w:after="160" w:line="360" w:lineRule="auto"/>
        <w:jc w:val="both"/>
        <w:rPr>
          <w:b/>
          <w:bCs/>
          <w:lang w:eastAsia="ar-SA" w:bidi="ar-JO"/>
        </w:rPr>
      </w:pPr>
      <w:r w:rsidRPr="00303508">
        <w:rPr>
          <w:b/>
          <w:bCs/>
          <w:lang w:eastAsia="ar-SA" w:bidi="ar-JO"/>
        </w:rPr>
        <w:t>Conclusions</w:t>
      </w:r>
    </w:p>
    <w:p w14:paraId="48E0F545" w14:textId="77777777" w:rsidR="00267FA3" w:rsidRDefault="00267FA3" w:rsidP="00267FA3">
      <w:pPr>
        <w:spacing w:after="160" w:line="360" w:lineRule="auto"/>
        <w:jc w:val="both"/>
        <w:rPr>
          <w:lang w:eastAsia="ar-SA" w:bidi="ar-JO"/>
        </w:rPr>
      </w:pPr>
      <w:r>
        <w:rPr>
          <w:lang w:eastAsia="ar-SA" w:bidi="ar-JO"/>
        </w:rPr>
        <w:t>Based on the simulation and analysis of various configurations, the following are some of the results:</w:t>
      </w:r>
    </w:p>
    <w:p w14:paraId="792E2337" w14:textId="77777777" w:rsidR="00267FA3" w:rsidRDefault="00267FA3" w:rsidP="00267FA3">
      <w:pPr>
        <w:pStyle w:val="ListParagraph"/>
        <w:numPr>
          <w:ilvl w:val="0"/>
          <w:numId w:val="14"/>
        </w:numPr>
        <w:spacing w:after="160" w:line="360" w:lineRule="auto"/>
        <w:jc w:val="both"/>
        <w:rPr>
          <w:lang w:eastAsia="ar-SA" w:bidi="ar-JO"/>
        </w:rPr>
      </w:pPr>
      <w:r>
        <w:rPr>
          <w:lang w:eastAsia="ar-SA" w:bidi="ar-JO"/>
        </w:rPr>
        <w:t>The addition of ESS also greatly enhanced voltage stability across the system. Even a relatively small energy storage system, as in Case 1, reduced voltage fluctuations by a great extent. Increased ESS deployment in Cases 2 and 3 further improved voltage profiles; however, incremental improvements did not grow proportionally with their increased costs.</w:t>
      </w:r>
    </w:p>
    <w:p w14:paraId="7A09FC4C" w14:textId="77777777" w:rsidR="00267FA3" w:rsidRDefault="00267FA3" w:rsidP="00267FA3">
      <w:pPr>
        <w:pStyle w:val="ListParagraph"/>
        <w:numPr>
          <w:ilvl w:val="0"/>
          <w:numId w:val="14"/>
        </w:numPr>
        <w:spacing w:after="160" w:line="360" w:lineRule="auto"/>
        <w:jc w:val="both"/>
        <w:rPr>
          <w:lang w:eastAsia="ar-SA" w:bidi="ar-JO"/>
        </w:rPr>
      </w:pPr>
      <w:r>
        <w:rPr>
          <w:lang w:eastAsia="ar-SA" w:bidi="ar-JO"/>
        </w:rPr>
        <w:t>Implementation of ESS assisted in achieving a sure reduction in power losses, particularly in reactive power losses. Out of all the cases, Case 1 demonstrated the minimum overall losses due to ideal energy balancing demand times and discharging at peak demand hours. Cases 2 and 3 also depicted improvements, but the additional cost of their larger configurations did not yield corresponding gains in loss reduction.</w:t>
      </w:r>
    </w:p>
    <w:p w14:paraId="6C20F19C" w14:textId="77777777" w:rsidR="00267FA3" w:rsidRDefault="00267FA3" w:rsidP="00267FA3">
      <w:pPr>
        <w:pStyle w:val="ListParagraph"/>
        <w:numPr>
          <w:ilvl w:val="0"/>
          <w:numId w:val="14"/>
        </w:numPr>
        <w:spacing w:after="160" w:line="360" w:lineRule="auto"/>
        <w:jc w:val="both"/>
        <w:rPr>
          <w:lang w:eastAsia="ar-SA" w:bidi="ar-JO"/>
        </w:rPr>
      </w:pPr>
      <w:r>
        <w:rPr>
          <w:lang w:eastAsia="ar-SA" w:bidi="ar-JO"/>
        </w:rPr>
        <w:t>Of all the major benefits of ESS integration observed in this study, peak shaving was likely the most important. In Case 1, the ESS discharged effectively during peak-demand periods, relieving some of the burden from the central grid and leveling the daily load curve. Not only does this enhance the performance of the grid and reduce strain on the infrastructure but also averts possible outages and delays the need for costly grid upgrades.</w:t>
      </w:r>
    </w:p>
    <w:p w14:paraId="15D2B57C" w14:textId="77777777" w:rsidR="00267FA3" w:rsidRDefault="00267FA3" w:rsidP="00267FA3">
      <w:pPr>
        <w:pStyle w:val="ListParagraph"/>
        <w:numPr>
          <w:ilvl w:val="0"/>
          <w:numId w:val="14"/>
        </w:numPr>
        <w:spacing w:after="160" w:line="360" w:lineRule="auto"/>
        <w:jc w:val="both"/>
        <w:rPr>
          <w:lang w:eastAsia="ar-SA" w:bidi="ar-JO"/>
        </w:rPr>
      </w:pPr>
      <w:r>
        <w:rPr>
          <w:lang w:eastAsia="ar-SA" w:bidi="ar-JO"/>
        </w:rPr>
        <w:t>Although Cases 2 and 3 had higher technical performance with higher PV and ESS capacity, their high capital costs reduced their overall economic viability. Case 1, however, achieved a very good balance, achieving huge amounts of system effectiveness and reliability at significantly lower costs.</w:t>
      </w:r>
    </w:p>
    <w:p w14:paraId="1A5BB276" w14:textId="375D6AB0" w:rsidR="00267FA3" w:rsidRDefault="00267FA3" w:rsidP="00267FA3">
      <w:pPr>
        <w:pStyle w:val="ListParagraph"/>
        <w:numPr>
          <w:ilvl w:val="0"/>
          <w:numId w:val="14"/>
        </w:numPr>
        <w:spacing w:after="160" w:line="360" w:lineRule="auto"/>
        <w:jc w:val="both"/>
        <w:rPr>
          <w:lang w:eastAsia="ar-SA" w:bidi="ar-JO"/>
        </w:rPr>
      </w:pPr>
      <w:r>
        <w:rPr>
          <w:lang w:eastAsia="ar-SA" w:bidi="ar-JO"/>
        </w:rPr>
        <w:t>Case 1 was the most efficient and feasible integration arrangement for the village supply. It resulted in substantial voltage control, peak reduction, and energy saving improvements at moderate costs, hence an ideal solution for small- and medium-scale schemes where financial limitations are a main issue.</w:t>
      </w:r>
    </w:p>
    <w:p w14:paraId="5A4A284E" w14:textId="77777777" w:rsidR="00267FA3" w:rsidRDefault="00267FA3" w:rsidP="00267FA3">
      <w:pPr>
        <w:spacing w:after="160" w:line="360" w:lineRule="auto"/>
        <w:jc w:val="both"/>
        <w:rPr>
          <w:lang w:eastAsia="ar-SA" w:bidi="ar-JO"/>
        </w:rPr>
      </w:pPr>
    </w:p>
    <w:p w14:paraId="2FF30EC2" w14:textId="4931AB1A" w:rsidR="00251BEE" w:rsidRPr="00303508" w:rsidRDefault="00251BEE" w:rsidP="00303508">
      <w:pPr>
        <w:pStyle w:val="ListParagraph"/>
        <w:numPr>
          <w:ilvl w:val="1"/>
          <w:numId w:val="40"/>
        </w:numPr>
        <w:spacing w:after="160" w:line="360" w:lineRule="auto"/>
        <w:jc w:val="both"/>
        <w:rPr>
          <w:b/>
          <w:bCs/>
          <w:lang w:eastAsia="ar-SA" w:bidi="ar-JO"/>
        </w:rPr>
      </w:pPr>
      <w:r w:rsidRPr="00303508">
        <w:rPr>
          <w:b/>
          <w:bCs/>
          <w:lang w:eastAsia="ar-SA" w:bidi="ar-JO"/>
        </w:rPr>
        <w:lastRenderedPageBreak/>
        <w:t>Recommendations</w:t>
      </w:r>
    </w:p>
    <w:p w14:paraId="0CA9AC9A" w14:textId="0064E0CB" w:rsidR="00267FA3" w:rsidRDefault="00267FA3" w:rsidP="00267FA3">
      <w:pPr>
        <w:spacing w:after="160" w:line="360" w:lineRule="auto"/>
        <w:jc w:val="both"/>
        <w:rPr>
          <w:lang w:eastAsia="ar-SA" w:bidi="ar-JO"/>
        </w:rPr>
      </w:pPr>
      <w:r>
        <w:rPr>
          <w:lang w:eastAsia="ar-SA" w:bidi="ar-JO"/>
        </w:rPr>
        <w:t>Following the results of the current research, a few proposals are made for the application of ESS in grid-connected PV systems and some potential research directions:</w:t>
      </w:r>
    </w:p>
    <w:p w14:paraId="644F3EC6" w14:textId="77777777" w:rsidR="00267FA3" w:rsidRDefault="00267FA3" w:rsidP="00267FA3">
      <w:pPr>
        <w:pStyle w:val="ListParagraph"/>
        <w:numPr>
          <w:ilvl w:val="0"/>
          <w:numId w:val="32"/>
        </w:numPr>
        <w:spacing w:after="160" w:line="360" w:lineRule="auto"/>
        <w:jc w:val="both"/>
        <w:rPr>
          <w:lang w:eastAsia="ar-SA" w:bidi="ar-JO"/>
        </w:rPr>
      </w:pPr>
      <w:r>
        <w:rPr>
          <w:lang w:eastAsia="ar-SA" w:bidi="ar-JO"/>
        </w:rPr>
        <w:t>Installation of a moderately sized ESS is strongly suggested in the situation of tight-budgeted power grids or power grids with high-energy load fluctuations. Technical-economic ratio of voltage regulation, peak curtailment, and loss minimization is optimally attained by this setup, best suited to rural, small-grid, or developing-grid operations.</w:t>
      </w:r>
    </w:p>
    <w:p w14:paraId="4F281FEC" w14:textId="12EE343E" w:rsidR="00267FA3" w:rsidRDefault="00267FA3" w:rsidP="00267FA3">
      <w:pPr>
        <w:pStyle w:val="ListParagraph"/>
        <w:numPr>
          <w:ilvl w:val="0"/>
          <w:numId w:val="32"/>
        </w:numPr>
        <w:spacing w:after="160" w:line="360" w:lineRule="auto"/>
        <w:jc w:val="both"/>
        <w:rPr>
          <w:lang w:eastAsia="ar-SA" w:bidi="ar-JO"/>
        </w:rPr>
      </w:pPr>
      <w:r>
        <w:rPr>
          <w:lang w:eastAsia="ar-SA" w:bidi="ar-JO"/>
        </w:rPr>
        <w:t>To enhance the performance of ESS in power quality control and energy wastage minimization, future research should aim to integrate advanced grid control strategies. Predictive control methods, machine learning, and real-time monitoring can be implemented to enhance charge and discharge cycles, enhance peak shaving effectiveness, and optimize overall grid response and efficiency.</w:t>
      </w:r>
    </w:p>
    <w:p w14:paraId="515D9373" w14:textId="77777777" w:rsidR="00267FA3" w:rsidRDefault="00267FA3" w:rsidP="00267FA3">
      <w:pPr>
        <w:pStyle w:val="ListParagraph"/>
        <w:numPr>
          <w:ilvl w:val="0"/>
          <w:numId w:val="32"/>
        </w:numPr>
        <w:spacing w:after="160" w:line="360" w:lineRule="auto"/>
        <w:jc w:val="both"/>
        <w:rPr>
          <w:lang w:eastAsia="ar-SA" w:bidi="ar-JO"/>
        </w:rPr>
      </w:pPr>
      <w:r>
        <w:rPr>
          <w:lang w:eastAsia="ar-SA" w:bidi="ar-JO"/>
        </w:rPr>
        <w:t xml:space="preserve">As adoption continues to grow from renewable generation sources such as wind and solar energy, ESS will be ever more needed </w:t>
      </w:r>
      <w:proofErr w:type="gramStart"/>
      <w:r>
        <w:rPr>
          <w:lang w:eastAsia="ar-SA" w:bidi="ar-JO"/>
        </w:rPr>
        <w:t>in order to</w:t>
      </w:r>
      <w:proofErr w:type="gramEnd"/>
      <w:r>
        <w:rPr>
          <w:lang w:eastAsia="ar-SA" w:bidi="ar-JO"/>
        </w:rPr>
        <w:t xml:space="preserve"> compensate for their variability. On systems with high levels of renewable penetration, ESS can potentially help significantly in mitigating the variance of generation, frequency support, and grid stability. Hybrid ESS systems and integration of those with variable generation sources should be explored further.</w:t>
      </w:r>
    </w:p>
    <w:p w14:paraId="0DEE8024" w14:textId="77777777" w:rsidR="00267FA3" w:rsidRDefault="00267FA3" w:rsidP="00267FA3">
      <w:pPr>
        <w:pStyle w:val="ListParagraph"/>
        <w:numPr>
          <w:ilvl w:val="0"/>
          <w:numId w:val="32"/>
        </w:numPr>
        <w:spacing w:after="160" w:line="360" w:lineRule="auto"/>
        <w:jc w:val="both"/>
        <w:rPr>
          <w:lang w:eastAsia="ar-SA" w:bidi="ar-JO"/>
        </w:rPr>
      </w:pPr>
      <w:r>
        <w:rPr>
          <w:lang w:eastAsia="ar-SA" w:bidi="ar-JO"/>
        </w:rPr>
        <w:t xml:space="preserve">While Case 1 was most economical, bigger-scale ESS configurations depicted in Cases 2 and 3 could be more suitable in the case of bigger peak grids, greater renewable generation capacity, or future scaling requirements. Any scaling </w:t>
      </w:r>
      <w:proofErr w:type="gramStart"/>
      <w:r>
        <w:rPr>
          <w:lang w:eastAsia="ar-SA" w:bidi="ar-JO"/>
        </w:rPr>
        <w:t>has to</w:t>
      </w:r>
      <w:proofErr w:type="gramEnd"/>
      <w:r>
        <w:rPr>
          <w:lang w:eastAsia="ar-SA" w:bidi="ar-JO"/>
        </w:rPr>
        <w:t xml:space="preserve"> be accompanied by rigorous cost-benefit thinking for long-term financial sustainability.</w:t>
      </w:r>
    </w:p>
    <w:p w14:paraId="3EDF6051" w14:textId="5E732808" w:rsidR="00486D1B" w:rsidRDefault="00267FA3" w:rsidP="00267FA3">
      <w:pPr>
        <w:spacing w:after="160" w:line="360" w:lineRule="auto"/>
        <w:jc w:val="both"/>
        <w:rPr>
          <w:lang w:eastAsia="ar-SA" w:bidi="ar-JO"/>
        </w:rPr>
      </w:pPr>
      <w:r>
        <w:rPr>
          <w:lang w:eastAsia="ar-SA" w:bidi="ar-JO"/>
        </w:rPr>
        <w:t>Overall, integration of ESS offers enormous benefits in terms of voltage regulation, peak load management, energy loss savings, and utilization of renewable resources. Case 1 is discovered in this study to be the most efficient and viable configuration for instant deployment in village-scale grids. Further optimization of the size, location, and operating practices of ESS will be necessary to propel the sustainable development of next-generation power systems</w:t>
      </w:r>
      <w:r w:rsidR="00486D1B">
        <w:rPr>
          <w:lang w:eastAsia="ar-SA" w:bidi="ar-JO"/>
        </w:rPr>
        <w:t>.</w:t>
      </w:r>
    </w:p>
    <w:p w14:paraId="3AE3EEC7" w14:textId="77777777" w:rsidR="00267FA3" w:rsidRDefault="00267FA3" w:rsidP="00267FA3">
      <w:pPr>
        <w:spacing w:after="160" w:line="360" w:lineRule="auto"/>
        <w:jc w:val="both"/>
        <w:rPr>
          <w:lang w:eastAsia="ar-SA" w:bidi="ar-JO"/>
        </w:rPr>
      </w:pPr>
    </w:p>
    <w:p w14:paraId="5E45D2AA" w14:textId="0A1C4069" w:rsidR="00303508" w:rsidRPr="00303508" w:rsidRDefault="00303508" w:rsidP="00303508">
      <w:pPr>
        <w:pStyle w:val="ListParagraph"/>
        <w:numPr>
          <w:ilvl w:val="1"/>
          <w:numId w:val="40"/>
        </w:numPr>
        <w:spacing w:after="160" w:line="360" w:lineRule="auto"/>
        <w:jc w:val="both"/>
        <w:rPr>
          <w:b/>
          <w:bCs/>
          <w:lang w:eastAsia="ar-SA" w:bidi="ar-JO"/>
        </w:rPr>
      </w:pPr>
      <w:r>
        <w:rPr>
          <w:b/>
          <w:bCs/>
          <w:lang w:eastAsia="ar-SA" w:bidi="ar-JO"/>
        </w:rPr>
        <w:lastRenderedPageBreak/>
        <w:t>Future Work</w:t>
      </w:r>
    </w:p>
    <w:p w14:paraId="798ECF89" w14:textId="77777777" w:rsidR="00D036EE" w:rsidRDefault="00D036EE" w:rsidP="00D036EE">
      <w:pPr>
        <w:spacing w:after="160" w:line="360" w:lineRule="auto"/>
        <w:jc w:val="both"/>
        <w:rPr>
          <w:lang w:eastAsia="ar-SA" w:bidi="ar-JO"/>
        </w:rPr>
      </w:pPr>
      <w:r>
        <w:rPr>
          <w:lang w:eastAsia="ar-SA" w:bidi="ar-JO"/>
        </w:rPr>
        <w:t>Though in this work it was proven how economically and technologically favorable integrating ESS within village-level grids could be, some principal avenues demand investigation as well.</w:t>
      </w:r>
    </w:p>
    <w:p w14:paraId="76BCBF9D" w14:textId="77777777" w:rsidR="00D036EE" w:rsidRDefault="00D036EE" w:rsidP="00D036EE">
      <w:pPr>
        <w:spacing w:after="160" w:line="360" w:lineRule="auto"/>
        <w:jc w:val="both"/>
        <w:rPr>
          <w:lang w:eastAsia="ar-SA" w:bidi="ar-JO"/>
        </w:rPr>
      </w:pPr>
      <w:r>
        <w:rPr>
          <w:lang w:eastAsia="ar-SA" w:bidi="ar-JO"/>
        </w:rPr>
        <w:t>Future studies must investigate the integration of several storage technologies to improve flexibility, efficiency, and response time under different load conditions.</w:t>
      </w:r>
    </w:p>
    <w:p w14:paraId="420FEC30" w14:textId="77777777" w:rsidR="00D036EE" w:rsidRDefault="00D036EE" w:rsidP="00D036EE">
      <w:pPr>
        <w:spacing w:after="160" w:line="360" w:lineRule="auto"/>
        <w:jc w:val="both"/>
        <w:rPr>
          <w:lang w:eastAsia="ar-SA" w:bidi="ar-JO"/>
        </w:rPr>
      </w:pPr>
      <w:r>
        <w:rPr>
          <w:lang w:eastAsia="ar-SA" w:bidi="ar-JO"/>
        </w:rPr>
        <w:t xml:space="preserve">Utilization of predictive algorithms and machine learning for maximizing the charge/discharge cycles </w:t>
      </w:r>
      <w:proofErr w:type="gramStart"/>
      <w:r>
        <w:rPr>
          <w:lang w:eastAsia="ar-SA" w:bidi="ar-JO"/>
        </w:rPr>
        <w:t>on the basis of</w:t>
      </w:r>
      <w:proofErr w:type="gramEnd"/>
      <w:r>
        <w:rPr>
          <w:lang w:eastAsia="ar-SA" w:bidi="ar-JO"/>
        </w:rPr>
        <w:t xml:space="preserve"> real-time data and demand forecasting could significantly improve the performance of ESS and the grid flexibility.</w:t>
      </w:r>
    </w:p>
    <w:p w14:paraId="77E4B48B" w14:textId="77777777" w:rsidR="00D036EE" w:rsidRDefault="00D036EE" w:rsidP="00D036EE">
      <w:pPr>
        <w:spacing w:after="160" w:line="360" w:lineRule="auto"/>
        <w:jc w:val="both"/>
        <w:rPr>
          <w:lang w:eastAsia="ar-SA" w:bidi="ar-JO"/>
        </w:rPr>
      </w:pPr>
      <w:r>
        <w:rPr>
          <w:lang w:eastAsia="ar-SA" w:bidi="ar-JO"/>
        </w:rPr>
        <w:t>Testing the aging and life expectancy of ESS under real operating conditions is essential. This includes assessing the application of second-life batteries from electric vehicles as a cost-reduction measure.</w:t>
      </w:r>
    </w:p>
    <w:p w14:paraId="679D82BB" w14:textId="1BEF20CC" w:rsidR="00367C11" w:rsidRDefault="00D036EE" w:rsidP="00D036EE">
      <w:pPr>
        <w:spacing w:after="160" w:line="360" w:lineRule="auto"/>
        <w:jc w:val="both"/>
        <w:rPr>
          <w:b/>
          <w:bCs/>
          <w:lang w:eastAsia="ar-SA" w:bidi="ar-JO"/>
        </w:rPr>
      </w:pPr>
      <w:r>
        <w:rPr>
          <w:lang w:eastAsia="ar-SA" w:bidi="ar-JO"/>
        </w:rPr>
        <w:t>Incorporating ESS into microgrids, especially for remote or unreliable-grid locations, must be explored to advance energy resilience, maximize the utilization of renewables, and enable islanding operation.</w:t>
      </w:r>
      <w:r w:rsidR="00367C11">
        <w:rPr>
          <w:b/>
          <w:bCs/>
          <w:lang w:eastAsia="ar-SA" w:bidi="ar-JO"/>
        </w:rPr>
        <w:br w:type="page"/>
      </w:r>
    </w:p>
    <w:p w14:paraId="08B29B0B" w14:textId="083EADC8" w:rsidR="00415CD6" w:rsidRPr="00E94CF6" w:rsidRDefault="00415CD6" w:rsidP="006352F0">
      <w:pPr>
        <w:spacing w:line="360" w:lineRule="auto"/>
        <w:rPr>
          <w:b/>
          <w:bCs/>
          <w:sz w:val="28"/>
          <w:szCs w:val="28"/>
          <w:lang w:eastAsia="ar-SA" w:bidi="ar-JO"/>
        </w:rPr>
      </w:pPr>
      <w:r w:rsidRPr="00E94CF6">
        <w:rPr>
          <w:b/>
          <w:bCs/>
          <w:sz w:val="28"/>
          <w:szCs w:val="28"/>
          <w:lang w:eastAsia="ar-SA" w:bidi="ar-JO"/>
        </w:rPr>
        <w:lastRenderedPageBreak/>
        <w:t>References</w:t>
      </w:r>
    </w:p>
    <w:sdt>
      <w:sdtPr>
        <w:rPr>
          <w:rFonts w:eastAsiaTheme="minorHAnsi"/>
          <w:b w:val="0"/>
          <w:bCs w:val="0"/>
          <w:sz w:val="24"/>
          <w:szCs w:val="24"/>
          <w:lang w:val="en-GB" w:bidi="ar-SA"/>
        </w:rPr>
        <w:id w:val="-1313395818"/>
        <w:docPartObj>
          <w:docPartGallery w:val="Bibliographies"/>
          <w:docPartUnique/>
        </w:docPartObj>
      </w:sdtPr>
      <w:sdtEndPr>
        <w:rPr>
          <w:rFonts w:eastAsia="Times New Roman"/>
          <w:lang w:val="en-US"/>
        </w:rPr>
      </w:sdtEndPr>
      <w:sdtContent>
        <w:p w14:paraId="4E8B1204" w14:textId="3120380E" w:rsidR="00AB5F4B" w:rsidRDefault="00AB5F4B" w:rsidP="006352F0">
          <w:pPr>
            <w:pStyle w:val="Heading1"/>
            <w:spacing w:line="360" w:lineRule="auto"/>
          </w:pPr>
        </w:p>
        <w:sdt>
          <w:sdtPr>
            <w:id w:val="-573587230"/>
            <w:bibliography/>
          </w:sdtPr>
          <w:sdtContent>
            <w:p w14:paraId="7BA5F124" w14:textId="77777777" w:rsidR="00DA23CA" w:rsidRDefault="00AB5F4B" w:rsidP="006352F0">
              <w:pPr>
                <w:pStyle w:val="Bibliography"/>
                <w:spacing w:line="360" w:lineRule="auto"/>
                <w:ind w:left="720" w:hanging="720"/>
                <w:rPr>
                  <w:noProof/>
                </w:rPr>
              </w:pPr>
              <w:r>
                <w:fldChar w:fldCharType="begin"/>
              </w:r>
              <w:r w:rsidRPr="00AB5F4B">
                <w:rPr>
                  <w:lang w:val="de-DE"/>
                </w:rPr>
                <w:instrText xml:space="preserve"> BIBLIOGRAPHY </w:instrText>
              </w:r>
              <w:r>
                <w:fldChar w:fldCharType="separate"/>
              </w:r>
              <w:r w:rsidR="00DA23CA" w:rsidRPr="00DA23CA">
                <w:rPr>
                  <w:noProof/>
                  <w:lang w:val="de-DE"/>
                </w:rPr>
                <w:t xml:space="preserve">[01] Moien A. Omar, M. M. (2018). </w:t>
              </w:r>
              <w:r w:rsidR="00DA23CA">
                <w:rPr>
                  <w:noProof/>
                </w:rPr>
                <w:t xml:space="preserve">Grid connected PV- home systems in Palestine: A review on technical performance, effects and economic feasibility,. </w:t>
              </w:r>
              <w:r w:rsidR="00DA23CA">
                <w:rPr>
                  <w:i/>
                  <w:iCs/>
                  <w:noProof/>
                </w:rPr>
                <w:t>Renewable and Sustainable Energy Reviews</w:t>
              </w:r>
              <w:r w:rsidR="00DA23CA">
                <w:rPr>
                  <w:noProof/>
                </w:rPr>
                <w:t>, 2490-2497.</w:t>
              </w:r>
            </w:p>
            <w:p w14:paraId="2820FA73" w14:textId="77777777" w:rsidR="00DA23CA" w:rsidRDefault="00DA23CA" w:rsidP="006352F0">
              <w:pPr>
                <w:pStyle w:val="Bibliography"/>
                <w:spacing w:line="360" w:lineRule="auto"/>
                <w:ind w:left="720" w:hanging="720"/>
                <w:rPr>
                  <w:noProof/>
                </w:rPr>
              </w:pPr>
              <w:r>
                <w:rPr>
                  <w:noProof/>
                </w:rPr>
                <w:t xml:space="preserve">[02] Khatib, T., Bazyan, A., Assi, H., &amp; Malhis, S. (2021). Palestine Energy Policy for Photovoltaic Generation: Current Status and What Should Be Next? </w:t>
              </w:r>
              <w:r>
                <w:rPr>
                  <w:i/>
                  <w:iCs/>
                  <w:noProof/>
                </w:rPr>
                <w:t>Sustainability</w:t>
              </w:r>
              <w:r>
                <w:rPr>
                  <w:noProof/>
                </w:rPr>
                <w:t>, 13(5).</w:t>
              </w:r>
            </w:p>
            <w:p w14:paraId="1434D7BC" w14:textId="77777777" w:rsidR="00DA23CA" w:rsidRDefault="00DA23CA" w:rsidP="006352F0">
              <w:pPr>
                <w:pStyle w:val="Bibliography"/>
                <w:spacing w:line="360" w:lineRule="auto"/>
                <w:ind w:left="720" w:hanging="720"/>
                <w:rPr>
                  <w:noProof/>
                </w:rPr>
              </w:pPr>
              <w:r>
                <w:rPr>
                  <w:noProof/>
                </w:rPr>
                <w:t xml:space="preserve">[03] Awwad, A. I. (2015). </w:t>
              </w:r>
              <w:r>
                <w:rPr>
                  <w:i/>
                  <w:iCs/>
                  <w:noProof/>
                </w:rPr>
                <w:t>Techno-Economic Evaluation and Improvement Possibilities of Local Grid Connected Housr-PV Power System.</w:t>
              </w:r>
              <w:r>
                <w:rPr>
                  <w:noProof/>
                </w:rPr>
                <w:t xml:space="preserve"> Palestine: M.Sc Thesis presented to An- Njah Nationak University.</w:t>
              </w:r>
            </w:p>
            <w:p w14:paraId="4A45057D" w14:textId="77777777" w:rsidR="00DA23CA" w:rsidRDefault="00DA23CA" w:rsidP="006352F0">
              <w:pPr>
                <w:pStyle w:val="Bibliography"/>
                <w:spacing w:line="360" w:lineRule="auto"/>
                <w:ind w:left="720" w:hanging="720"/>
                <w:rPr>
                  <w:noProof/>
                </w:rPr>
              </w:pPr>
              <w:r>
                <w:rPr>
                  <w:noProof/>
                </w:rPr>
                <w:t xml:space="preserve">[04] Ibrik, I. (2020). </w:t>
              </w:r>
              <w:r>
                <w:rPr>
                  <w:i/>
                  <w:iCs/>
                  <w:noProof/>
                </w:rPr>
                <w:t>Micro-Grid Solar Photovoltaic Systems for Rural Development and Sustainable Agriculture in Palestine.</w:t>
              </w:r>
              <w:r>
                <w:rPr>
                  <w:noProof/>
                </w:rPr>
                <w:t xml:space="preserve"> Agronomy 10.</w:t>
              </w:r>
            </w:p>
            <w:p w14:paraId="54F05D1B" w14:textId="77777777" w:rsidR="00DA23CA" w:rsidRDefault="00DA23CA" w:rsidP="006352F0">
              <w:pPr>
                <w:pStyle w:val="Bibliography"/>
                <w:spacing w:line="360" w:lineRule="auto"/>
                <w:ind w:left="720" w:hanging="720"/>
                <w:rPr>
                  <w:noProof/>
                </w:rPr>
              </w:pPr>
              <w:r>
                <w:rPr>
                  <w:noProof/>
                </w:rPr>
                <w:t xml:space="preserve">[05] Suyanto, H. a. (2020). Transient Stability Analysis of a Hybrid Grid-Connected Battery-PV in Baubau Power System. </w:t>
              </w:r>
              <w:r>
                <w:rPr>
                  <w:i/>
                  <w:iCs/>
                  <w:noProof/>
                </w:rPr>
                <w:t>2020 2nd International Conference on Industrial Electrical and Electronics (ICIEE)</w:t>
              </w:r>
              <w:r>
                <w:rPr>
                  <w:noProof/>
                </w:rPr>
                <w:t>, 27-30.</w:t>
              </w:r>
            </w:p>
            <w:p w14:paraId="2430C6B4" w14:textId="77777777" w:rsidR="00DA23CA" w:rsidRDefault="00DA23CA" w:rsidP="006352F0">
              <w:pPr>
                <w:pStyle w:val="Bibliography"/>
                <w:spacing w:line="360" w:lineRule="auto"/>
                <w:ind w:left="720" w:hanging="720"/>
                <w:rPr>
                  <w:noProof/>
                </w:rPr>
              </w:pPr>
              <w:r>
                <w:rPr>
                  <w:noProof/>
                </w:rPr>
                <w:t xml:space="preserve">[06] Tran, Q.-T. a. (2018). Integration of PV Systems into Grid: From Impact Analysis to Solutions. </w:t>
              </w:r>
              <w:r>
                <w:rPr>
                  <w:i/>
                  <w:iCs/>
                  <w:noProof/>
                </w:rPr>
                <w:t>IEEE International Conference on Environment and Electrical Engineering</w:t>
              </w:r>
              <w:r>
                <w:rPr>
                  <w:noProof/>
                </w:rPr>
                <w:t>, 1-6.</w:t>
              </w:r>
            </w:p>
            <w:p w14:paraId="7E439E76" w14:textId="77777777" w:rsidR="00DA23CA" w:rsidRDefault="00DA23CA" w:rsidP="006352F0">
              <w:pPr>
                <w:pStyle w:val="Bibliography"/>
                <w:spacing w:line="360" w:lineRule="auto"/>
                <w:ind w:left="720" w:hanging="720"/>
                <w:rPr>
                  <w:noProof/>
                </w:rPr>
              </w:pPr>
              <w:r>
                <w:rPr>
                  <w:noProof/>
                </w:rPr>
                <w:t xml:space="preserve">[07] Forson Peprah, S. G.-B.-D. (2022). Impact assessment of grid tied rooftop PV systems on LV distribution network. </w:t>
              </w:r>
              <w:r>
                <w:rPr>
                  <w:i/>
                  <w:iCs/>
                  <w:noProof/>
                </w:rPr>
                <w:t>Scientific African</w:t>
              </w:r>
              <w:r>
                <w:rPr>
                  <w:noProof/>
                </w:rPr>
                <w:t>.</w:t>
              </w:r>
            </w:p>
            <w:p w14:paraId="0323021E" w14:textId="77777777" w:rsidR="00DA23CA" w:rsidRDefault="00DA23CA" w:rsidP="006352F0">
              <w:pPr>
                <w:pStyle w:val="Bibliography"/>
                <w:spacing w:line="360" w:lineRule="auto"/>
                <w:ind w:left="720" w:hanging="720"/>
                <w:rPr>
                  <w:noProof/>
                </w:rPr>
              </w:pPr>
              <w:r>
                <w:rPr>
                  <w:noProof/>
                </w:rPr>
                <w:t xml:space="preserve">[08] Saif Ur Rehman, S. R. (2018). Feasibility Study of a Grid-Tied Photovoltaic System for Household in Pakistan: Considering an Unreliable Electric Grid. </w:t>
              </w:r>
              <w:r>
                <w:rPr>
                  <w:i/>
                  <w:iCs/>
                  <w:noProof/>
                </w:rPr>
                <w:t>Wiley Online Library</w:t>
              </w:r>
              <w:r>
                <w:rPr>
                  <w:noProof/>
                </w:rPr>
                <w:t>.</w:t>
              </w:r>
            </w:p>
            <w:p w14:paraId="7114E614" w14:textId="77777777" w:rsidR="00DA23CA" w:rsidRDefault="00DA23CA" w:rsidP="006352F0">
              <w:pPr>
                <w:pStyle w:val="Bibliography"/>
                <w:spacing w:line="360" w:lineRule="auto"/>
                <w:ind w:left="720" w:hanging="720"/>
                <w:rPr>
                  <w:noProof/>
                </w:rPr>
              </w:pPr>
              <w:r>
                <w:rPr>
                  <w:noProof/>
                </w:rPr>
                <w:t xml:space="preserve">[09] Nallapaneni Manoj Kumar, K. S. (2017). Techno-economic analysis of 1 MWp grid connected solar PV plant in Malaysia. </w:t>
              </w:r>
              <w:r>
                <w:rPr>
                  <w:i/>
                  <w:iCs/>
                  <w:noProof/>
                </w:rPr>
                <w:t>International</w:t>
              </w:r>
              <w:r>
                <w:rPr>
                  <w:noProof/>
                </w:rPr>
                <w:t>.</w:t>
              </w:r>
            </w:p>
            <w:p w14:paraId="49CB7B6A" w14:textId="77777777" w:rsidR="00DA23CA" w:rsidRDefault="00DA23CA" w:rsidP="006352F0">
              <w:pPr>
                <w:pStyle w:val="Bibliography"/>
                <w:spacing w:line="360" w:lineRule="auto"/>
                <w:ind w:left="720" w:hanging="720"/>
                <w:rPr>
                  <w:noProof/>
                </w:rPr>
              </w:pPr>
              <w:r>
                <w:rPr>
                  <w:noProof/>
                </w:rPr>
                <w:lastRenderedPageBreak/>
                <w:t xml:space="preserve">[10] Carbone, R. (2009). Grid-connected photovoltaic systems with energy storage. </w:t>
              </w:r>
              <w:r>
                <w:rPr>
                  <w:i/>
                  <w:iCs/>
                  <w:noProof/>
                </w:rPr>
                <w:t>International Conference on Clean Electrical Power</w:t>
              </w:r>
              <w:r>
                <w:rPr>
                  <w:noProof/>
                </w:rPr>
                <w:t>, (pp. 760-767). Capri, Italy.</w:t>
              </w:r>
            </w:p>
            <w:p w14:paraId="1E4A5C83" w14:textId="77777777" w:rsidR="00DA23CA" w:rsidRDefault="00DA23CA" w:rsidP="006352F0">
              <w:pPr>
                <w:pStyle w:val="Bibliography"/>
                <w:spacing w:line="360" w:lineRule="auto"/>
                <w:ind w:left="720" w:hanging="720"/>
                <w:rPr>
                  <w:noProof/>
                </w:rPr>
              </w:pPr>
              <w:r>
                <w:rPr>
                  <w:noProof/>
                </w:rPr>
                <w:t xml:space="preserve">[11] Y. Ru, J. K. (2013). Storage Size Determination for Grid-Connected Photovoltaic Systems,. </w:t>
              </w:r>
              <w:r>
                <w:rPr>
                  <w:i/>
                  <w:iCs/>
                  <w:noProof/>
                </w:rPr>
                <w:t>IEEE Transactions on Sustainable Energy</w:t>
              </w:r>
              <w:r>
                <w:rPr>
                  <w:noProof/>
                </w:rPr>
                <w:t>, 68-81.</w:t>
              </w:r>
            </w:p>
            <w:p w14:paraId="25CBE09D" w14:textId="77777777" w:rsidR="00DA23CA" w:rsidRDefault="00DA23CA" w:rsidP="006352F0">
              <w:pPr>
                <w:pStyle w:val="Bibliography"/>
                <w:spacing w:line="360" w:lineRule="auto"/>
                <w:ind w:left="720" w:hanging="720"/>
                <w:rPr>
                  <w:noProof/>
                </w:rPr>
              </w:pPr>
              <w:r>
                <w:rPr>
                  <w:noProof/>
                </w:rPr>
                <w:t xml:space="preserve">[12] Balint D. Olaszi, J. L. (2017). Comparison of different discharge strategies of grid-connected residential PV systems with energy storage in perspective of optimal battery energy storage system sizing. </w:t>
              </w:r>
              <w:r>
                <w:rPr>
                  <w:i/>
                  <w:iCs/>
                  <w:noProof/>
                </w:rPr>
                <w:t>Renewable and Sustainable Energy Reviews</w:t>
              </w:r>
              <w:r>
                <w:rPr>
                  <w:noProof/>
                </w:rPr>
                <w:t>, 710-718.</w:t>
              </w:r>
            </w:p>
            <w:p w14:paraId="1974A467" w14:textId="77777777" w:rsidR="00DA23CA" w:rsidRDefault="00DA23CA" w:rsidP="006352F0">
              <w:pPr>
                <w:pStyle w:val="Bibliography"/>
                <w:spacing w:line="360" w:lineRule="auto"/>
                <w:ind w:left="720" w:hanging="720"/>
                <w:rPr>
                  <w:noProof/>
                </w:rPr>
              </w:pPr>
              <w:r>
                <w:rPr>
                  <w:noProof/>
                </w:rPr>
                <w:t xml:space="preserve">[13] V. Rallabandi, O. M. (2019). Incorporating Battery Energy Storage Systems Into Multi-MW Grid Connected PV Systems. </w:t>
              </w:r>
              <w:r>
                <w:rPr>
                  <w:i/>
                  <w:iCs/>
                  <w:noProof/>
                </w:rPr>
                <w:t>IEEE Transactions on Industry Applications</w:t>
              </w:r>
              <w:r>
                <w:rPr>
                  <w:noProof/>
                </w:rPr>
                <w:t>, 638-647.</w:t>
              </w:r>
            </w:p>
            <w:p w14:paraId="2AD3D431" w14:textId="77777777" w:rsidR="00DA23CA" w:rsidRDefault="00DA23CA" w:rsidP="006352F0">
              <w:pPr>
                <w:pStyle w:val="Bibliography"/>
                <w:spacing w:line="360" w:lineRule="auto"/>
                <w:ind w:left="720" w:hanging="720"/>
                <w:rPr>
                  <w:noProof/>
                </w:rPr>
              </w:pPr>
              <w:r>
                <w:rPr>
                  <w:noProof/>
                </w:rPr>
                <w:t xml:space="preserve">[14] A.A. Solomon, D. F. (2012). Appropriate storage for high-penetration grid-connected photovoltaic plants. </w:t>
              </w:r>
              <w:r>
                <w:rPr>
                  <w:i/>
                  <w:iCs/>
                  <w:noProof/>
                </w:rPr>
                <w:t>Energy Policy</w:t>
              </w:r>
              <w:r>
                <w:rPr>
                  <w:noProof/>
                </w:rPr>
                <w:t>, 335-344.</w:t>
              </w:r>
            </w:p>
            <w:p w14:paraId="1B802E4D" w14:textId="77777777" w:rsidR="00DA23CA" w:rsidRDefault="00DA23CA" w:rsidP="006352F0">
              <w:pPr>
                <w:pStyle w:val="Bibliography"/>
                <w:spacing w:line="360" w:lineRule="auto"/>
                <w:ind w:left="720" w:hanging="720"/>
                <w:rPr>
                  <w:noProof/>
                </w:rPr>
              </w:pPr>
              <w:r>
                <w:rPr>
                  <w:noProof/>
                </w:rPr>
                <w:t xml:space="preserve">[15] X. Vallve, A. G. (2007). Micro storage and demand side management in distributed PV grid-connected installations. </w:t>
              </w:r>
              <w:r>
                <w:rPr>
                  <w:i/>
                  <w:iCs/>
                  <w:noProof/>
                </w:rPr>
                <w:t>9th International Conference on Electrical Power Quality and Utilisation</w:t>
              </w:r>
              <w:r>
                <w:rPr>
                  <w:noProof/>
                </w:rPr>
                <w:t>, (pp. 1-6). Barcelona, Spain.</w:t>
              </w:r>
            </w:p>
            <w:p w14:paraId="1F7CF2ED" w14:textId="77777777" w:rsidR="00DA23CA" w:rsidRDefault="00DA23CA" w:rsidP="006352F0">
              <w:pPr>
                <w:pStyle w:val="Bibliography"/>
                <w:spacing w:line="360" w:lineRule="auto"/>
                <w:ind w:left="720" w:hanging="720"/>
                <w:rPr>
                  <w:noProof/>
                </w:rPr>
              </w:pPr>
              <w:r>
                <w:rPr>
                  <w:noProof/>
                </w:rPr>
                <w:t xml:space="preserve">[16] Maria C. Argyrou, C. C. (2021). Modeling a residential grid-connected PV system with battery–supercapacitor storage: Control design and stability analysis. </w:t>
              </w:r>
              <w:r>
                <w:rPr>
                  <w:i/>
                  <w:iCs/>
                  <w:noProof/>
                </w:rPr>
                <w:t>Energy Reports</w:t>
              </w:r>
              <w:r>
                <w:rPr>
                  <w:noProof/>
                </w:rPr>
                <w:t>, 4988-5002.</w:t>
              </w:r>
            </w:p>
            <w:p w14:paraId="1780355B" w14:textId="77777777" w:rsidR="00DA23CA" w:rsidRDefault="00DA23CA" w:rsidP="006352F0">
              <w:pPr>
                <w:pStyle w:val="Bibliography"/>
                <w:spacing w:line="360" w:lineRule="auto"/>
                <w:ind w:left="720" w:hanging="720"/>
                <w:rPr>
                  <w:noProof/>
                </w:rPr>
              </w:pPr>
              <w:r>
                <w:rPr>
                  <w:noProof/>
                </w:rPr>
                <w:t xml:space="preserve">[17] Masoume Shabani, F. W. (2022). Techno-economic assessment of battery storage integrated into a grid-connected and solar-powered residential building under different battery ageing models. </w:t>
              </w:r>
              <w:r>
                <w:rPr>
                  <w:i/>
                  <w:iCs/>
                  <w:noProof/>
                </w:rPr>
                <w:t>Applied Energy</w:t>
              </w:r>
              <w:r>
                <w:rPr>
                  <w:noProof/>
                </w:rPr>
                <w:t>, Volume 318.</w:t>
              </w:r>
            </w:p>
            <w:p w14:paraId="2C8BB3EF" w14:textId="77777777" w:rsidR="00DA23CA" w:rsidRDefault="00DA23CA" w:rsidP="006352F0">
              <w:pPr>
                <w:pStyle w:val="Bibliography"/>
                <w:spacing w:line="360" w:lineRule="auto"/>
                <w:ind w:left="720" w:hanging="720"/>
                <w:rPr>
                  <w:noProof/>
                </w:rPr>
              </w:pPr>
              <w:r>
                <w:rPr>
                  <w:noProof/>
                </w:rPr>
                <w:t xml:space="preserve">[18] Montaser Mahmoud, M. R. (2020). A review of mechanical energy storage systems combined with wind and solar applications. </w:t>
              </w:r>
              <w:r>
                <w:rPr>
                  <w:i/>
                  <w:iCs/>
                  <w:noProof/>
                </w:rPr>
                <w:t>Energy Conversion and Management</w:t>
              </w:r>
              <w:r>
                <w:rPr>
                  <w:noProof/>
                </w:rPr>
                <w:t>.</w:t>
              </w:r>
            </w:p>
            <w:p w14:paraId="0682A36E" w14:textId="77777777" w:rsidR="00DA23CA" w:rsidRDefault="00DA23CA" w:rsidP="006352F0">
              <w:pPr>
                <w:pStyle w:val="Bibliography"/>
                <w:spacing w:line="360" w:lineRule="auto"/>
                <w:ind w:left="720" w:hanging="720"/>
                <w:rPr>
                  <w:noProof/>
                </w:rPr>
              </w:pPr>
              <w:r>
                <w:rPr>
                  <w:noProof/>
                </w:rPr>
                <w:t xml:space="preserve">[19] Subhashree, C. (2021). Flywheel energy storage systems: A critical review on technologies, applications, and future prospects. </w:t>
              </w:r>
              <w:r>
                <w:rPr>
                  <w:i/>
                  <w:iCs/>
                  <w:noProof/>
                </w:rPr>
                <w:t>Wiley</w:t>
              </w:r>
              <w:r>
                <w:rPr>
                  <w:noProof/>
                </w:rPr>
                <w:t>.</w:t>
              </w:r>
            </w:p>
            <w:p w14:paraId="5CC47100" w14:textId="77777777" w:rsidR="00DA23CA" w:rsidRDefault="00DA23CA" w:rsidP="006352F0">
              <w:pPr>
                <w:pStyle w:val="Bibliography"/>
                <w:spacing w:line="360" w:lineRule="auto"/>
                <w:ind w:left="720" w:hanging="720"/>
                <w:rPr>
                  <w:noProof/>
                </w:rPr>
              </w:pPr>
              <w:r>
                <w:rPr>
                  <w:noProof/>
                </w:rPr>
                <w:lastRenderedPageBreak/>
                <w:t xml:space="preserve">[20] A.G. Olabi, T. W. (2020). Compressed air energy storage systems: Components and operating parameters – A review. </w:t>
              </w:r>
              <w:r>
                <w:rPr>
                  <w:i/>
                  <w:iCs/>
                  <w:noProof/>
                </w:rPr>
                <w:t>Journal of Energy Storage</w:t>
              </w:r>
              <w:r>
                <w:rPr>
                  <w:noProof/>
                </w:rPr>
                <w:t>.</w:t>
              </w:r>
            </w:p>
            <w:p w14:paraId="772FF61F" w14:textId="77777777" w:rsidR="00DA23CA" w:rsidRDefault="00DA23CA" w:rsidP="006352F0">
              <w:pPr>
                <w:pStyle w:val="Bibliography"/>
                <w:spacing w:line="360" w:lineRule="auto"/>
                <w:ind w:left="720" w:hanging="720"/>
                <w:rPr>
                  <w:noProof/>
                </w:rPr>
              </w:pPr>
              <w:r>
                <w:rPr>
                  <w:noProof/>
                </w:rPr>
                <w:t xml:space="preserve">[21] Ahmed Zayed AL Shaqsi, K. S.-H. (2020). Review of energy storage services, applications, limitations, and benefits. </w:t>
              </w:r>
              <w:r>
                <w:rPr>
                  <w:i/>
                  <w:iCs/>
                  <w:noProof/>
                </w:rPr>
                <w:t>Energy Reports</w:t>
              </w:r>
              <w:r>
                <w:rPr>
                  <w:noProof/>
                </w:rPr>
                <w:t>, 288-306.</w:t>
              </w:r>
            </w:p>
            <w:p w14:paraId="0601FD66" w14:textId="77777777" w:rsidR="00DA23CA" w:rsidRDefault="00DA23CA" w:rsidP="006352F0">
              <w:pPr>
                <w:pStyle w:val="Bibliography"/>
                <w:spacing w:line="360" w:lineRule="auto"/>
                <w:ind w:left="720" w:hanging="720"/>
                <w:rPr>
                  <w:noProof/>
                </w:rPr>
              </w:pPr>
              <w:r>
                <w:rPr>
                  <w:noProof/>
                </w:rPr>
                <w:t>[22] Tianmei Chen, Y. J. (2020). Applications of Lithium</w:t>
              </w:r>
              <w:r>
                <w:rPr>
                  <w:noProof/>
                </w:rPr>
                <w:noBreakHyphen/>
                <w:t>Ion Batteries in Grid</w:t>
              </w:r>
              <w:r>
                <w:rPr>
                  <w:noProof/>
                </w:rPr>
                <w:noBreakHyphen/>
                <w:t xml:space="preserve">Scale Energy Storage Systems. </w:t>
              </w:r>
              <w:r>
                <w:rPr>
                  <w:i/>
                  <w:iCs/>
                  <w:noProof/>
                </w:rPr>
                <w:t>Transactions of Tianjin University</w:t>
              </w:r>
              <w:r>
                <w:rPr>
                  <w:noProof/>
                </w:rPr>
                <w:t>.</w:t>
              </w:r>
            </w:p>
            <w:p w14:paraId="1562E888" w14:textId="77777777" w:rsidR="00DA23CA" w:rsidRDefault="00DA23CA" w:rsidP="006352F0">
              <w:pPr>
                <w:pStyle w:val="Bibliography"/>
                <w:spacing w:line="360" w:lineRule="auto"/>
                <w:ind w:left="720" w:hanging="720"/>
                <w:rPr>
                  <w:noProof/>
                </w:rPr>
              </w:pPr>
              <w:r>
                <w:rPr>
                  <w:noProof/>
                </w:rPr>
                <w:t xml:space="preserve">[23] Xing Luo, J. W. (2015). Overview of current development in electrical energy storage technologies and the application potential in power system operation. </w:t>
              </w:r>
              <w:r>
                <w:rPr>
                  <w:i/>
                  <w:iCs/>
                  <w:noProof/>
                </w:rPr>
                <w:t>Applied Energy</w:t>
              </w:r>
              <w:r>
                <w:rPr>
                  <w:noProof/>
                </w:rPr>
                <w:t>, 511-536.</w:t>
              </w:r>
            </w:p>
            <w:p w14:paraId="4F368661" w14:textId="4A9E7B61"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4] IEA. (April 15, 2023). Lithium-ion battery demand for electric vehicles (EVs) worldwide from 2016 to 2022, by region (in gigawatt-hours) [Graph]. In Statista. Retrieved December 05, 2023, from https://www.statista.com/statistics/1415641/global-evbattery-demand-by-region/</w:t>
              </w:r>
            </w:p>
            <w:p w14:paraId="79CE26F4" w14:textId="3CF01500"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5] Wen, G., Hu, G., Hu, J., Shi, X., &amp; Chen, G. (2015). Frequency regulation of sourcegrid-load systems: A compound control strategy. IEEE transactions on industrial informatics, 12(1), 69-78.</w:t>
              </w:r>
            </w:p>
            <w:p w14:paraId="74B9582C" w14:textId="616275E4"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6] Crawford, A. J., Huang, Q., Kintner-Meyer, M. C., Zhang, J. G., Reed, D. M., Sprenkle, V. L., ... &amp; Choi, D. (2018). Lifecycle comparison of selected Li-ion battery chemistries under grid and electric vehicle duty cycle combinations. Journal of Power Sources, 380, 185-193.</w:t>
              </w:r>
            </w:p>
            <w:p w14:paraId="057881CE" w14:textId="1951A451"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7] Chen, T., Jin, Y., Lv, H., Yang, A., Liu, M., Chen, B., ... &amp; Chen, Q. (2020). Applications of lithium-ion batteries in grid-scale energy storage systems. Transactions of Tianjin University, 26(3), 208-217.</w:t>
              </w:r>
            </w:p>
            <w:p w14:paraId="7B186C03" w14:textId="6C196DE5"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8] Purvins, A., &amp; Sumner, M. (2013). Optimal management of stationary lithium-ion battery system in electricity distribution grids. Journal of Power Sources, 242, 742-755.</w:t>
              </w:r>
            </w:p>
            <w:p w14:paraId="72F4A76C" w14:textId="2699EC6B"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2</w:t>
              </w:r>
              <w:r w:rsidRPr="00DF1B7C">
                <w:rPr>
                  <w:rFonts w:asciiTheme="majorBidi" w:hAnsiTheme="majorBidi" w:cstheme="majorBidi"/>
                </w:rPr>
                <w:t>9] Andrea, D. (2010). Battery management systems for large lithium-ion battery packs. Artech house.</w:t>
              </w:r>
            </w:p>
            <w:p w14:paraId="0A0A228E" w14:textId="77777777" w:rsidR="00A52993" w:rsidRDefault="00A52993" w:rsidP="00A52993">
              <w:pPr>
                <w:spacing w:line="360" w:lineRule="auto"/>
                <w:jc w:val="both"/>
                <w:rPr>
                  <w:rFonts w:asciiTheme="majorBidi" w:hAnsiTheme="majorBidi" w:cstheme="majorBidi"/>
                </w:rPr>
              </w:pPr>
              <w:r w:rsidRPr="00DF1B7C">
                <w:rPr>
                  <w:rFonts w:asciiTheme="majorBidi" w:hAnsiTheme="majorBidi" w:cstheme="majorBidi"/>
                </w:rPr>
                <w:lastRenderedPageBreak/>
                <w:t>[</w:t>
              </w:r>
              <w:r>
                <w:rPr>
                  <w:rFonts w:asciiTheme="majorBidi" w:hAnsiTheme="majorBidi" w:cstheme="majorBidi"/>
                </w:rPr>
                <w:t>3</w:t>
              </w:r>
              <w:r w:rsidRPr="00DF1B7C">
                <w:rPr>
                  <w:rFonts w:asciiTheme="majorBidi" w:hAnsiTheme="majorBidi" w:cstheme="majorBidi"/>
                </w:rPr>
                <w:t>0] Liu, X., Yuan, Y., Liu, J., Liu, B., Chen, X., Ding, J., ... &amp; Hu, W. (2019). Utilizing solar energy to improve the oxygen evolution reaction kinetics in zinc–air battery. Nature communications, 10(1), 4767.</w:t>
              </w:r>
            </w:p>
            <w:p w14:paraId="2EC7CFA6" w14:textId="2E04D272"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1] Uddin, K., Gough, R., Radcliffe, J., Marco, J., &amp; Jennings, P. (2017). Techno-economic analysis of the viability of residential photovoltaic systems using lithium-ion batteries for energy storage in the United Kingdom. Applied Energy, 206, 12-21.</w:t>
              </w:r>
            </w:p>
            <w:p w14:paraId="4275DF0F" w14:textId="42006544"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2] Hesse, H. C., Schimpe, M., Kucevic, D., &amp; Jossen, A. (2017). Lithium-ion battery storage for the grid—A review of stationary battery storage system design tailored for applications in modern power grids. Energies, 10(12), 2107.</w:t>
              </w:r>
            </w:p>
            <w:p w14:paraId="3EFB0E6D" w14:textId="3B48290A"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3] Ananda-Rao, K., Ali, R., &amp; Taniselass, S. (2017). Battery energy storage system assessment in a designed battery controller for load leveling and peak shaving applications. Journal of Renewable and Sustainable Energy, 9(4).</w:t>
              </w:r>
            </w:p>
            <w:p w14:paraId="40654C7B" w14:textId="528D00DE"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4] Child, M., Kemfert, C., Bogdanov, D., &amp; Breyer, C. (2019). Flexible electricity generation, grid exchange and storage for the transition to a 100% renewable energy system in Europe. Renewable energy, 139, 80-101.</w:t>
              </w:r>
            </w:p>
            <w:p w14:paraId="0933DF35" w14:textId="3DB30B74" w:rsidR="00A52993" w:rsidRPr="00DF1B7C" w:rsidRDefault="00A52993" w:rsidP="00A52993">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5] Ram, M., Child, M., Aghahosseini, A., Bogdanov, D., Lohrmann, A., &amp; Breyer, C. (2018). A comparative analysis of electricity generation costs from renewable, fossil fuel and nuclear sources in G20 countries for the period 2015-2030. Journal of cleaner production, 199, 687-704.</w:t>
              </w:r>
            </w:p>
            <w:p w14:paraId="5DD1A868" w14:textId="703ABCA2" w:rsidR="00A52993" w:rsidRPr="00206DCC" w:rsidRDefault="00A52993" w:rsidP="00206DCC">
              <w:pPr>
                <w:spacing w:line="360" w:lineRule="auto"/>
                <w:jc w:val="both"/>
                <w:rPr>
                  <w:rFonts w:asciiTheme="majorBidi" w:hAnsiTheme="majorBidi" w:cstheme="majorBidi"/>
                </w:rPr>
              </w:pPr>
              <w:r w:rsidRPr="00DF1B7C">
                <w:rPr>
                  <w:rFonts w:asciiTheme="majorBidi" w:hAnsiTheme="majorBidi" w:cstheme="majorBidi"/>
                </w:rPr>
                <w:t>[</w:t>
              </w:r>
              <w:r>
                <w:rPr>
                  <w:rFonts w:asciiTheme="majorBidi" w:hAnsiTheme="majorBidi" w:cstheme="majorBidi"/>
                </w:rPr>
                <w:t>3</w:t>
              </w:r>
              <w:r w:rsidRPr="00DF1B7C">
                <w:rPr>
                  <w:rFonts w:asciiTheme="majorBidi" w:hAnsiTheme="majorBidi" w:cstheme="majorBidi"/>
                </w:rPr>
                <w:t>6] Crabtree, G., Kócs, E., &amp; Trahey, L. (2015). The energy-storage frontier: Lithium-ion batteries and beyond. Mrs Bulletin, 40(12), 1067-1078.</w:t>
              </w:r>
            </w:p>
            <w:p w14:paraId="0E7F5EE9" w14:textId="6AE6E375" w:rsidR="00DA23CA" w:rsidRDefault="00DA23CA" w:rsidP="006352F0">
              <w:pPr>
                <w:pStyle w:val="Bibliography"/>
                <w:spacing w:line="360" w:lineRule="auto"/>
                <w:ind w:left="720" w:hanging="720"/>
                <w:rPr>
                  <w:noProof/>
                </w:rPr>
              </w:pPr>
              <w:r>
                <w:rPr>
                  <w:noProof/>
                </w:rPr>
                <w:t>[</w:t>
              </w:r>
              <w:r w:rsidR="00A52993">
                <w:rPr>
                  <w:noProof/>
                </w:rPr>
                <w:t>37</w:t>
              </w:r>
              <w:r>
                <w:rPr>
                  <w:noProof/>
                </w:rPr>
                <w:t xml:space="preserve">] A.G. Olabi, T. W. (2020). Compressed air energy storage systems: Components and operating parameters – A review. </w:t>
              </w:r>
              <w:r>
                <w:rPr>
                  <w:i/>
                  <w:iCs/>
                  <w:noProof/>
                </w:rPr>
                <w:t>Journal of Energy Storage</w:t>
              </w:r>
              <w:r>
                <w:rPr>
                  <w:noProof/>
                </w:rPr>
                <w:t>.</w:t>
              </w:r>
            </w:p>
            <w:p w14:paraId="4768B848" w14:textId="1F87FCCB" w:rsidR="00DA23CA" w:rsidRDefault="00DA23CA" w:rsidP="006352F0">
              <w:pPr>
                <w:pStyle w:val="Bibliography"/>
                <w:spacing w:line="360" w:lineRule="auto"/>
                <w:ind w:left="720" w:hanging="720"/>
                <w:rPr>
                  <w:noProof/>
                </w:rPr>
              </w:pPr>
              <w:r>
                <w:rPr>
                  <w:noProof/>
                </w:rPr>
                <w:t>[</w:t>
              </w:r>
              <w:r w:rsidR="00A52993">
                <w:rPr>
                  <w:noProof/>
                </w:rPr>
                <w:t>38</w:t>
              </w:r>
              <w:r>
                <w:rPr>
                  <w:noProof/>
                </w:rPr>
                <w:t xml:space="preserve">] Ashleigh Townsend, R. G. (2022). A Comparative Review of Lead-Acid, Lithium-Ion and Ultra-Capacitor Technologies and Their Degradation Mechanisms. </w:t>
              </w:r>
              <w:r>
                <w:rPr>
                  <w:i/>
                  <w:iCs/>
                  <w:noProof/>
                </w:rPr>
                <w:t>Energies</w:t>
              </w:r>
              <w:r>
                <w:rPr>
                  <w:noProof/>
                </w:rPr>
                <w:t>, 15(13).</w:t>
              </w:r>
            </w:p>
            <w:p w14:paraId="02840AEB" w14:textId="62259648" w:rsidR="00247C75" w:rsidRPr="00247C75" w:rsidRDefault="00247C75" w:rsidP="00247C75">
              <w:pPr>
                <w:spacing w:after="160" w:line="360" w:lineRule="auto"/>
                <w:rPr>
                  <w:rFonts w:asciiTheme="majorBidi" w:hAnsiTheme="majorBidi" w:cstheme="majorBidi"/>
                </w:rPr>
              </w:pPr>
              <w:r>
                <w:t>[</w:t>
              </w:r>
              <w:r w:rsidR="00A52993">
                <w:t>39</w:t>
              </w:r>
              <w:r>
                <w:t xml:space="preserve">] </w:t>
              </w:r>
              <w:r w:rsidRPr="00247C75">
                <w:rPr>
                  <w:rFonts w:asciiTheme="majorBidi" w:hAnsiTheme="majorBidi" w:cstheme="majorBidi"/>
                </w:rPr>
                <w:t>Qudra Renewable Energy Solutions. (2024). Project portfolio: Arraba 1 MW Ground Mount. Qudra Renewable Energy Solutions. https://qudra.ps/projects/</w:t>
              </w:r>
            </w:p>
            <w:p w14:paraId="1EA37FAA" w14:textId="2B95C356" w:rsidR="00247C75" w:rsidRDefault="00247C75" w:rsidP="00247C75">
              <w:pPr>
                <w:spacing w:after="160" w:line="360" w:lineRule="auto"/>
                <w:jc w:val="both"/>
                <w:rPr>
                  <w:rFonts w:asciiTheme="majorBidi" w:hAnsiTheme="majorBidi" w:cstheme="majorBidi"/>
                </w:rPr>
              </w:pPr>
              <w:r>
                <w:rPr>
                  <w:rFonts w:asciiTheme="majorBidi" w:hAnsiTheme="majorBidi" w:cstheme="majorBidi"/>
                </w:rPr>
                <w:lastRenderedPageBreak/>
                <w:t>[</w:t>
              </w:r>
              <w:r w:rsidR="00A52993">
                <w:rPr>
                  <w:rFonts w:asciiTheme="majorBidi" w:hAnsiTheme="majorBidi" w:cstheme="majorBidi"/>
                </w:rPr>
                <w:t>40</w:t>
              </w:r>
              <w:r>
                <w:rPr>
                  <w:rFonts w:asciiTheme="majorBidi" w:hAnsiTheme="majorBidi" w:cstheme="majorBidi"/>
                </w:rPr>
                <w:t xml:space="preserve">] </w:t>
              </w:r>
              <w:r w:rsidRPr="00247C75">
                <w:rPr>
                  <w:rFonts w:asciiTheme="majorBidi" w:hAnsiTheme="majorBidi" w:cstheme="majorBidi"/>
                </w:rPr>
                <w:t>United Nations Development Programme (UNDP). (2021). Towards a resilient energy sector in the State of Palestine. UNDP. https://www.undp.org/</w:t>
              </w:r>
            </w:p>
            <w:p w14:paraId="3875C580" w14:textId="7B4B51BE" w:rsidR="00097216" w:rsidRDefault="00097216" w:rsidP="00247C75">
              <w:pPr>
                <w:spacing w:after="160" w:line="360" w:lineRule="auto"/>
                <w:jc w:val="both"/>
                <w:rPr>
                  <w:lang w:val="tr-TR"/>
                </w:rPr>
              </w:pPr>
              <w:r>
                <w:rPr>
                  <w:rFonts w:asciiTheme="majorBidi" w:hAnsiTheme="majorBidi" w:cstheme="majorBidi"/>
                </w:rPr>
                <w:t xml:space="preserve">[41] </w:t>
              </w:r>
              <w:r w:rsidRPr="00134F7A">
                <w:rPr>
                  <w:lang w:val="tr-TR"/>
                </w:rPr>
                <w:t>Shelar, S., Bankar, D. S., &amp; Bakre, S. (2024). Review of revisions of IEEE 519 Standard on Power System Harmonics (1981 to 2022). 415–420. https://doi.org/10.1109/ichqp61174.2024.10768696</w:t>
              </w:r>
            </w:p>
            <w:p w14:paraId="245A7D80" w14:textId="1FF48DF8" w:rsidR="00943B5D" w:rsidRDefault="00943B5D" w:rsidP="00943B5D">
              <w:pPr>
                <w:spacing w:after="160" w:line="360" w:lineRule="auto"/>
                <w:jc w:val="both"/>
                <w:rPr>
                  <w:rFonts w:asciiTheme="majorBidi" w:hAnsiTheme="majorBidi" w:cstheme="majorBidi"/>
                </w:rPr>
              </w:pPr>
              <w:r>
                <w:rPr>
                  <w:lang w:val="tr-TR"/>
                </w:rPr>
                <w:t xml:space="preserve">[42] </w:t>
              </w:r>
              <w:r w:rsidRPr="006D36FA">
                <w:rPr>
                  <w:rFonts w:asciiTheme="majorBidi" w:hAnsiTheme="majorBidi" w:cstheme="majorBidi"/>
                </w:rPr>
                <w:t>Kasikci, I. (2018). </w:t>
              </w:r>
              <w:r w:rsidRPr="006D36FA">
                <w:rPr>
                  <w:rFonts w:asciiTheme="majorBidi" w:hAnsiTheme="majorBidi" w:cstheme="majorBidi"/>
                  <w:i/>
                  <w:iCs/>
                </w:rPr>
                <w:t>Short circuits in power systems: A practical guide to IEC 60909-0</w:t>
              </w:r>
              <w:r w:rsidRPr="006D36FA">
                <w:rPr>
                  <w:rFonts w:asciiTheme="majorBidi" w:hAnsiTheme="majorBidi" w:cstheme="majorBidi"/>
                </w:rPr>
                <w:t>. John Wiley &amp; Sons.</w:t>
              </w:r>
            </w:p>
            <w:p w14:paraId="6699DA9B" w14:textId="00BD7565" w:rsidR="00247C75" w:rsidRPr="00247C75" w:rsidRDefault="00097216" w:rsidP="00FE6AF4">
              <w:pPr>
                <w:spacing w:after="160" w:line="360" w:lineRule="auto"/>
                <w:jc w:val="both"/>
              </w:pPr>
              <w:r>
                <w:rPr>
                  <w:rFonts w:asciiTheme="majorBidi" w:hAnsiTheme="majorBidi" w:cstheme="majorBidi"/>
                </w:rPr>
                <w:t>[4</w:t>
              </w:r>
              <w:r w:rsidR="00943B5D">
                <w:rPr>
                  <w:rFonts w:asciiTheme="majorBidi" w:hAnsiTheme="majorBidi" w:cstheme="majorBidi"/>
                </w:rPr>
                <w:t>3</w:t>
              </w:r>
              <w:r>
                <w:rPr>
                  <w:rFonts w:asciiTheme="majorBidi" w:hAnsiTheme="majorBidi" w:cstheme="majorBidi"/>
                </w:rPr>
                <w:t xml:space="preserve">] </w:t>
              </w:r>
              <w:r w:rsidR="00943B5D" w:rsidRPr="00943B5D">
                <w:t>Short, W., Packey, D. J., &amp; Holt, T. (1995). </w:t>
              </w:r>
              <w:r w:rsidR="00943B5D" w:rsidRPr="00943B5D">
                <w:rPr>
                  <w:i/>
                  <w:iCs/>
                </w:rPr>
                <w:t>A manual for the economic evaluation of energy efficiency and renewable energy technologies</w:t>
              </w:r>
              <w:r w:rsidR="00943B5D" w:rsidRPr="00943B5D">
                <w:t> (No. NREL/TP-462-5173). National Renewable Energy Lab.(NREL), Golden, CO (United States).</w:t>
              </w:r>
            </w:p>
            <w:p w14:paraId="483EF580" w14:textId="2476BE6E" w:rsidR="00AB5F4B" w:rsidRDefault="00AB5F4B" w:rsidP="006352F0">
              <w:pPr>
                <w:spacing w:line="360" w:lineRule="auto"/>
              </w:pPr>
              <w:r>
                <w:rPr>
                  <w:b/>
                  <w:bCs/>
                  <w:noProof/>
                </w:rPr>
                <w:fldChar w:fldCharType="end"/>
              </w:r>
            </w:p>
          </w:sdtContent>
        </w:sdt>
      </w:sdtContent>
    </w:sdt>
    <w:p w14:paraId="43557FA7" w14:textId="0392A6EF" w:rsidR="00CA124C" w:rsidRPr="00B068FB" w:rsidRDefault="00CA124C" w:rsidP="00B068FB">
      <w:pPr>
        <w:spacing w:after="160" w:line="259" w:lineRule="auto"/>
      </w:pPr>
    </w:p>
    <w:sectPr w:rsidR="00CA124C" w:rsidRPr="00B068FB" w:rsidSect="00540A96">
      <w:endnotePr>
        <w:numFmt w:val="decimal"/>
      </w:endnotePr>
      <w:pgSz w:w="11907" w:h="16840" w:code="9"/>
      <w:pgMar w:top="1417" w:right="1417" w:bottom="1417" w:left="1984" w:header="43" w:footer="907" w:gutter="0"/>
      <w:pgNumType w:start="1"/>
      <w:cols w:space="720"/>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4E19D1" w14:textId="77777777" w:rsidR="00BE6FC5" w:rsidRDefault="00BE6FC5" w:rsidP="00240C25">
      <w:r>
        <w:separator/>
      </w:r>
    </w:p>
  </w:endnote>
  <w:endnote w:type="continuationSeparator" w:id="0">
    <w:p w14:paraId="073E4FD9" w14:textId="77777777" w:rsidR="00BE6FC5" w:rsidRDefault="00BE6FC5" w:rsidP="00240C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FE6BF" w14:textId="77777777" w:rsidR="003632AE" w:rsidRDefault="003632AE">
    <w:pPr>
      <w:pStyle w:val="BodyText"/>
      <w:spacing w:line="14" w:lineRule="auto"/>
      <w:rPr>
        <w:sz w:val="20"/>
      </w:rPr>
    </w:pPr>
    <w:r>
      <w:rPr>
        <w:noProof/>
        <w:sz w:val="20"/>
      </w:rPr>
      <mc:AlternateContent>
        <mc:Choice Requires="wps">
          <w:drawing>
            <wp:anchor distT="0" distB="0" distL="0" distR="0" simplePos="0" relativeHeight="251659264" behindDoc="1" locked="0" layoutInCell="1" allowOverlap="1" wp14:anchorId="048DBFD0" wp14:editId="4D044ABB">
              <wp:simplePos x="0" y="0"/>
              <wp:positionH relativeFrom="page">
                <wp:posOffset>3886834</wp:posOffset>
              </wp:positionH>
              <wp:positionV relativeFrom="page">
                <wp:posOffset>9818623</wp:posOffset>
              </wp:positionV>
              <wp:extent cx="159385" cy="165735"/>
              <wp:effectExtent l="0" t="0" r="0" b="0"/>
              <wp:wrapNone/>
              <wp:docPr id="163559931"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9385" cy="165735"/>
                      </a:xfrm>
                      <a:prstGeom prst="rect">
                        <a:avLst/>
                      </a:prstGeom>
                    </wps:spPr>
                    <wps:txbx>
                      <w:txbxContent>
                        <w:p w14:paraId="6DCEACBB"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II</w:t>
                          </w:r>
                          <w:r>
                            <w:rPr>
                              <w:rFonts w:ascii="Calibri"/>
                              <w:spacing w:val="-5"/>
                            </w:rPr>
                            <w:fldChar w:fldCharType="end"/>
                          </w:r>
                        </w:p>
                      </w:txbxContent>
                    </wps:txbx>
                    <wps:bodyPr wrap="square" lIns="0" tIns="0" rIns="0" bIns="0" rtlCol="0">
                      <a:noAutofit/>
                    </wps:bodyPr>
                  </wps:wsp>
                </a:graphicData>
              </a:graphic>
            </wp:anchor>
          </w:drawing>
        </mc:Choice>
        <mc:Fallback>
          <w:pict>
            <v:shapetype w14:anchorId="048DBFD0" id="_x0000_t202" coordsize="21600,21600" o:spt="202" path="m,l,21600r21600,l21600,xe">
              <v:stroke joinstyle="miter"/>
              <v:path gradientshapeok="t" o:connecttype="rect"/>
            </v:shapetype>
            <v:shape id="Textbox 2" o:spid="_x0000_s1026" type="#_x0000_t202" style="position:absolute;margin-left:306.05pt;margin-top:773.1pt;width:12.55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" filled="f" stroked="f">
              <v:textbox inset="0,0,0,0">
                <w:txbxContent>
                  <w:p w14:paraId="6DCEACBB"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II</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15F42" w14:textId="77777777" w:rsidR="003632AE" w:rsidRDefault="003632AE">
    <w:pPr>
      <w:pStyle w:val="BodyText"/>
      <w:spacing w:line="14" w:lineRule="auto"/>
      <w:rPr>
        <w:sz w:val="20"/>
      </w:rPr>
    </w:pPr>
    <w:r>
      <w:rPr>
        <w:noProof/>
        <w:sz w:val="20"/>
      </w:rPr>
      <mc:AlternateContent>
        <mc:Choice Requires="wps">
          <w:drawing>
            <wp:anchor distT="0" distB="0" distL="0" distR="0" simplePos="0" relativeHeight="251661312" behindDoc="1" locked="0" layoutInCell="1" allowOverlap="1" wp14:anchorId="0FACAD52" wp14:editId="6E81D5AA">
              <wp:simplePos x="0" y="0"/>
              <wp:positionH relativeFrom="page">
                <wp:posOffset>3870071</wp:posOffset>
              </wp:positionH>
              <wp:positionV relativeFrom="page">
                <wp:posOffset>9818623</wp:posOffset>
              </wp:positionV>
              <wp:extent cx="194310" cy="16573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65735"/>
                      </a:xfrm>
                      <a:prstGeom prst="rect">
                        <a:avLst/>
                      </a:prstGeom>
                    </wps:spPr>
                    <wps:txbx>
                      <w:txbxContent>
                        <w:p w14:paraId="106FDC61"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III</w:t>
                          </w:r>
                          <w:r>
                            <w:rPr>
                              <w:rFonts w:ascii="Calibri"/>
                              <w:spacing w:val="-5"/>
                            </w:rPr>
                            <w:fldChar w:fldCharType="end"/>
                          </w:r>
                        </w:p>
                      </w:txbxContent>
                    </wps:txbx>
                    <wps:bodyPr wrap="square" lIns="0" tIns="0" rIns="0" bIns="0" rtlCol="0">
                      <a:noAutofit/>
                    </wps:bodyPr>
                  </wps:wsp>
                </a:graphicData>
              </a:graphic>
            </wp:anchor>
          </w:drawing>
        </mc:Choice>
        <mc:Fallback>
          <w:pict>
            <v:shapetype w14:anchorId="0FACAD52" id="_x0000_t202" coordsize="21600,21600" o:spt="202" path="m,l,21600r21600,l21600,xe">
              <v:stroke joinstyle="miter"/>
              <v:path gradientshapeok="t" o:connecttype="rect"/>
            </v:shapetype>
            <v:shape id="Textbox 14" o:spid="_x0000_s1027" type="#_x0000_t202" style="position:absolute;margin-left:304.75pt;margin-top:773.1pt;width:15.3pt;height:13.0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" filled="f" stroked="f">
              <v:textbox inset="0,0,0,0">
                <w:txbxContent>
                  <w:p w14:paraId="106FDC61"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III</w:t>
                    </w:r>
                    <w:r>
                      <w:rPr>
                        <w:rFonts w:ascii="Calibri"/>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62722" w14:textId="77777777" w:rsidR="003632AE" w:rsidRDefault="003632AE">
    <w:pPr>
      <w:pStyle w:val="BodyText"/>
      <w:spacing w:line="14" w:lineRule="auto"/>
      <w:rPr>
        <w:sz w:val="20"/>
      </w:rPr>
    </w:pPr>
    <w:r>
      <w:rPr>
        <w:noProof/>
        <w:sz w:val="20"/>
      </w:rPr>
      <mc:AlternateContent>
        <mc:Choice Requires="wps">
          <w:drawing>
            <wp:anchor distT="0" distB="0" distL="0" distR="0" simplePos="0" relativeHeight="251663360" behindDoc="1" locked="0" layoutInCell="1" allowOverlap="1" wp14:anchorId="1DCAC90D" wp14:editId="078FB10C">
              <wp:simplePos x="0" y="0"/>
              <wp:positionH relativeFrom="page">
                <wp:posOffset>3865498</wp:posOffset>
              </wp:positionH>
              <wp:positionV relativeFrom="page">
                <wp:posOffset>9818623</wp:posOffset>
              </wp:positionV>
              <wp:extent cx="203200" cy="16573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0" cy="165735"/>
                      </a:xfrm>
                      <a:prstGeom prst="rect">
                        <a:avLst/>
                      </a:prstGeom>
                    </wps:spPr>
                    <wps:txbx>
                      <w:txbxContent>
                        <w:p w14:paraId="4BA7800A"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IV</w:t>
                          </w:r>
                          <w:r>
                            <w:rPr>
                              <w:rFonts w:ascii="Calibri"/>
                              <w:spacing w:val="-5"/>
                            </w:rPr>
                            <w:fldChar w:fldCharType="end"/>
                          </w:r>
                        </w:p>
                      </w:txbxContent>
                    </wps:txbx>
                    <wps:bodyPr wrap="square" lIns="0" tIns="0" rIns="0" bIns="0" rtlCol="0">
                      <a:noAutofit/>
                    </wps:bodyPr>
                  </wps:wsp>
                </a:graphicData>
              </a:graphic>
            </wp:anchor>
          </w:drawing>
        </mc:Choice>
        <mc:Fallback>
          <w:pict>
            <v:shapetype w14:anchorId="1DCAC90D" id="_x0000_t202" coordsize="21600,21600" o:spt="202" path="m,l,21600r21600,l21600,xe">
              <v:stroke joinstyle="miter"/>
              <v:path gradientshapeok="t" o:connecttype="rect"/>
            </v:shapetype>
            <v:shape id="Textbox 16" o:spid="_x0000_s1028" type="#_x0000_t202" style="position:absolute;margin-left:304.35pt;margin-top:773.1pt;width:16pt;height:13.05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" filled="f" stroked="f">
              <v:textbox inset="0,0,0,0">
                <w:txbxContent>
                  <w:p w14:paraId="4BA7800A" w14:textId="77777777" w:rsidR="003632AE" w:rsidRDefault="003632AE">
                    <w:pPr>
                      <w:spacing w:line="245" w:lineRule="exact"/>
                      <w:ind w:left="60"/>
                      <w:rPr>
                        <w:rFonts w:ascii="Calibri"/>
                      </w:rPr>
                    </w:pPr>
                    <w:r>
                      <w:rPr>
                        <w:rFonts w:ascii="Calibri"/>
                        <w:spacing w:val="-5"/>
                      </w:rPr>
                      <w:fldChar w:fldCharType="begin"/>
                    </w:r>
                    <w:r>
                      <w:rPr>
                        <w:rFonts w:ascii="Calibri"/>
                        <w:spacing w:val="-5"/>
                        <w:sz w:val="22"/>
                      </w:rPr>
                      <w:instrText xml:space="preserve"> PAGE  \* ROMAN </w:instrText>
                    </w:r>
                    <w:r>
                      <w:rPr>
                        <w:rFonts w:ascii="Calibri"/>
                        <w:spacing w:val="-5"/>
                      </w:rPr>
                      <w:fldChar w:fldCharType="separate"/>
                    </w:r>
                    <w:r>
                      <w:rPr>
                        <w:rFonts w:ascii="Calibri"/>
                        <w:spacing w:val="-5"/>
                        <w:sz w:val="22"/>
                      </w:rPr>
                      <w:t>IV</w:t>
                    </w:r>
                    <w:r>
                      <w:rPr>
                        <w:rFonts w:ascii="Calibri"/>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7532831"/>
      <w:docPartObj>
        <w:docPartGallery w:val="Page Numbers (Bottom of Page)"/>
        <w:docPartUnique/>
      </w:docPartObj>
    </w:sdtPr>
    <w:sdtEndPr>
      <w:rPr>
        <w:noProof/>
      </w:rPr>
    </w:sdtEndPr>
    <w:sdtContent>
      <w:p w14:paraId="6BCAB19A" w14:textId="27D821E7" w:rsidR="00D305BD" w:rsidRDefault="00D305B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169C9E4" w14:textId="77777777" w:rsidR="00D305BD" w:rsidRDefault="00D305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CDBA2D" w14:textId="77777777" w:rsidR="00BE6FC5" w:rsidRDefault="00BE6FC5" w:rsidP="00240C25">
      <w:r>
        <w:separator/>
      </w:r>
    </w:p>
  </w:footnote>
  <w:footnote w:type="continuationSeparator" w:id="0">
    <w:p w14:paraId="2FAFE6BC" w14:textId="77777777" w:rsidR="00BE6FC5" w:rsidRDefault="00BE6FC5" w:rsidP="00240C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01818" w14:textId="5D867E51" w:rsidR="003632AE" w:rsidRDefault="003632AE">
    <w:pPr>
      <w:pStyle w:val="Body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4F597" w14:textId="31C40ED0" w:rsidR="003632AE" w:rsidRDefault="003632AE">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431F7"/>
    <w:multiLevelType w:val="hybridMultilevel"/>
    <w:tmpl w:val="4ADC4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F372A"/>
    <w:multiLevelType w:val="multilevel"/>
    <w:tmpl w:val="2C30B8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81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1B5AB6"/>
    <w:multiLevelType w:val="hybridMultilevel"/>
    <w:tmpl w:val="83167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121A5D"/>
    <w:multiLevelType w:val="multilevel"/>
    <w:tmpl w:val="328ED42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B53703E"/>
    <w:multiLevelType w:val="multilevel"/>
    <w:tmpl w:val="BFF0CD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D86207"/>
    <w:multiLevelType w:val="hybridMultilevel"/>
    <w:tmpl w:val="F5288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DA20B4"/>
    <w:multiLevelType w:val="hybridMultilevel"/>
    <w:tmpl w:val="9E129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E02C1F"/>
    <w:multiLevelType w:val="hybridMultilevel"/>
    <w:tmpl w:val="C374D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F21997"/>
    <w:multiLevelType w:val="hybridMultilevel"/>
    <w:tmpl w:val="B61E0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BC2852"/>
    <w:multiLevelType w:val="multilevel"/>
    <w:tmpl w:val="BFF0CD5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918260D"/>
    <w:multiLevelType w:val="hybridMultilevel"/>
    <w:tmpl w:val="E7007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5E19A3"/>
    <w:multiLevelType w:val="multilevel"/>
    <w:tmpl w:val="A8C299CE"/>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2" w15:restartNumberingAfterBreak="0">
    <w:nsid w:val="2F8A709E"/>
    <w:multiLevelType w:val="hybridMultilevel"/>
    <w:tmpl w:val="7EE805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31C7610"/>
    <w:multiLevelType w:val="multilevel"/>
    <w:tmpl w:val="BFF0CD5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8A167F"/>
    <w:multiLevelType w:val="hybridMultilevel"/>
    <w:tmpl w:val="98DA85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054722"/>
    <w:multiLevelType w:val="multilevel"/>
    <w:tmpl w:val="F80A5C5A"/>
    <w:styleLink w:val="CurrentList1"/>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17" w15:restartNumberingAfterBreak="0">
    <w:nsid w:val="3BE15769"/>
    <w:multiLevelType w:val="multilevel"/>
    <w:tmpl w:val="BFF0CD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E6445E3"/>
    <w:multiLevelType w:val="hybridMultilevel"/>
    <w:tmpl w:val="0D3AD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072CD7"/>
    <w:multiLevelType w:val="hybridMultilevel"/>
    <w:tmpl w:val="B2260F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24F1B60"/>
    <w:multiLevelType w:val="multilevel"/>
    <w:tmpl w:val="BFF0CD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2575438"/>
    <w:multiLevelType w:val="multilevel"/>
    <w:tmpl w:val="6074A92E"/>
    <w:lvl w:ilvl="0">
      <w:start w:val="1"/>
      <w:numFmt w:val="decimal"/>
      <w:lvlText w:val="%1."/>
      <w:lvlJc w:val="left"/>
      <w:pPr>
        <w:ind w:left="820" w:hanging="360"/>
      </w:pPr>
    </w:lvl>
    <w:lvl w:ilvl="1">
      <w:start w:val="1"/>
      <w:numFmt w:val="decimal"/>
      <w:isLgl/>
      <w:lvlText w:val="%1.%2"/>
      <w:lvlJc w:val="left"/>
      <w:pPr>
        <w:ind w:left="820" w:hanging="360"/>
      </w:pPr>
      <w:rPr>
        <w:rFonts w:hint="default"/>
      </w:rPr>
    </w:lvl>
    <w:lvl w:ilvl="2">
      <w:start w:val="1"/>
      <w:numFmt w:val="decimal"/>
      <w:pStyle w:val="Heading3"/>
      <w:isLgl/>
      <w:lvlText w:val="%1.%2.%3"/>
      <w:lvlJc w:val="left"/>
      <w:pPr>
        <w:ind w:left="1180" w:hanging="720"/>
      </w:pPr>
      <w:rPr>
        <w:rFonts w:hint="default"/>
      </w:rPr>
    </w:lvl>
    <w:lvl w:ilvl="3">
      <w:start w:val="1"/>
      <w:numFmt w:val="decimal"/>
      <w:isLgl/>
      <w:lvlText w:val="%1.%2.%3.%4"/>
      <w:lvlJc w:val="left"/>
      <w:pPr>
        <w:ind w:left="1180" w:hanging="720"/>
      </w:pPr>
      <w:rPr>
        <w:rFonts w:hint="default"/>
      </w:rPr>
    </w:lvl>
    <w:lvl w:ilvl="4">
      <w:start w:val="1"/>
      <w:numFmt w:val="decimal"/>
      <w:isLgl/>
      <w:lvlText w:val="%1.%2.%3.%4.%5"/>
      <w:lvlJc w:val="left"/>
      <w:pPr>
        <w:ind w:left="1540" w:hanging="1080"/>
      </w:pPr>
      <w:rPr>
        <w:rFonts w:hint="default"/>
      </w:rPr>
    </w:lvl>
    <w:lvl w:ilvl="5">
      <w:start w:val="1"/>
      <w:numFmt w:val="decimal"/>
      <w:isLgl/>
      <w:lvlText w:val="%1.%2.%3.%4.%5.%6"/>
      <w:lvlJc w:val="left"/>
      <w:pPr>
        <w:ind w:left="1540" w:hanging="1080"/>
      </w:pPr>
      <w:rPr>
        <w:rFonts w:hint="default"/>
      </w:rPr>
    </w:lvl>
    <w:lvl w:ilvl="6">
      <w:start w:val="1"/>
      <w:numFmt w:val="decimal"/>
      <w:isLgl/>
      <w:lvlText w:val="%1.%2.%3.%4.%5.%6.%7"/>
      <w:lvlJc w:val="left"/>
      <w:pPr>
        <w:ind w:left="1900" w:hanging="1440"/>
      </w:pPr>
      <w:rPr>
        <w:rFonts w:hint="default"/>
      </w:rPr>
    </w:lvl>
    <w:lvl w:ilvl="7">
      <w:start w:val="1"/>
      <w:numFmt w:val="decimal"/>
      <w:isLgl/>
      <w:lvlText w:val="%1.%2.%3.%4.%5.%6.%7.%8"/>
      <w:lvlJc w:val="left"/>
      <w:pPr>
        <w:ind w:left="1900" w:hanging="1440"/>
      </w:pPr>
      <w:rPr>
        <w:rFonts w:hint="default"/>
      </w:rPr>
    </w:lvl>
    <w:lvl w:ilvl="8">
      <w:start w:val="1"/>
      <w:numFmt w:val="decimal"/>
      <w:isLgl/>
      <w:lvlText w:val="%1.%2.%3.%4.%5.%6.%7.%8.%9"/>
      <w:lvlJc w:val="left"/>
      <w:pPr>
        <w:ind w:left="2260" w:hanging="1800"/>
      </w:pPr>
      <w:rPr>
        <w:rFonts w:hint="default"/>
      </w:rPr>
    </w:lvl>
  </w:abstractNum>
  <w:abstractNum w:abstractNumId="22" w15:restartNumberingAfterBreak="0">
    <w:nsid w:val="42586452"/>
    <w:multiLevelType w:val="hybridMultilevel"/>
    <w:tmpl w:val="D0DE6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6A331A5"/>
    <w:multiLevelType w:val="hybridMultilevel"/>
    <w:tmpl w:val="6D002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470ED8"/>
    <w:multiLevelType w:val="multilevel"/>
    <w:tmpl w:val="A87AFBB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A6F4E84"/>
    <w:multiLevelType w:val="multilevel"/>
    <w:tmpl w:val="CFFEFA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4FC61971"/>
    <w:multiLevelType w:val="hybridMultilevel"/>
    <w:tmpl w:val="25044E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9100F87"/>
    <w:multiLevelType w:val="multilevel"/>
    <w:tmpl w:val="BFF0CD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A28672B"/>
    <w:multiLevelType w:val="multilevel"/>
    <w:tmpl w:val="75781B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AE016D2"/>
    <w:multiLevelType w:val="multilevel"/>
    <w:tmpl w:val="63064A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C253E35"/>
    <w:multiLevelType w:val="multilevel"/>
    <w:tmpl w:val="7E1220B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D294576"/>
    <w:multiLevelType w:val="multilevel"/>
    <w:tmpl w:val="F2F42CE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6E922C7C"/>
    <w:multiLevelType w:val="multilevel"/>
    <w:tmpl w:val="0502898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710F0FEC"/>
    <w:multiLevelType w:val="multilevel"/>
    <w:tmpl w:val="F08A7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534B19"/>
    <w:multiLevelType w:val="multilevel"/>
    <w:tmpl w:val="A8C299CE"/>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5" w15:restartNumberingAfterBreak="0">
    <w:nsid w:val="720744F8"/>
    <w:multiLevelType w:val="hybridMultilevel"/>
    <w:tmpl w:val="D548D0B2"/>
    <w:lvl w:ilvl="0" w:tplc="ADDEBE2A">
      <w:start w:val="1"/>
      <w:numFmt w:val="lowerLetter"/>
      <w:lvlText w:val="%1."/>
      <w:lvlJc w:val="left"/>
      <w:pPr>
        <w:ind w:left="460" w:hanging="360"/>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36" w15:restartNumberingAfterBreak="0">
    <w:nsid w:val="731A7136"/>
    <w:multiLevelType w:val="multilevel"/>
    <w:tmpl w:val="F1F6ED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8D41E5C"/>
    <w:multiLevelType w:val="hybridMultilevel"/>
    <w:tmpl w:val="B2027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E416780"/>
    <w:multiLevelType w:val="multilevel"/>
    <w:tmpl w:val="A87AFBB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F292CD0"/>
    <w:multiLevelType w:val="hybridMultilevel"/>
    <w:tmpl w:val="148CB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9997853">
    <w:abstractNumId w:val="16"/>
  </w:num>
  <w:num w:numId="2" w16cid:durableId="426002193">
    <w:abstractNumId w:val="35"/>
  </w:num>
  <w:num w:numId="3" w16cid:durableId="2125684759">
    <w:abstractNumId w:val="19"/>
  </w:num>
  <w:num w:numId="4" w16cid:durableId="95103056">
    <w:abstractNumId w:val="32"/>
  </w:num>
  <w:num w:numId="5" w16cid:durableId="437916592">
    <w:abstractNumId w:val="6"/>
  </w:num>
  <w:num w:numId="6" w16cid:durableId="1031568181">
    <w:abstractNumId w:val="0"/>
  </w:num>
  <w:num w:numId="7" w16cid:durableId="1633631968">
    <w:abstractNumId w:val="26"/>
  </w:num>
  <w:num w:numId="8" w16cid:durableId="55207079">
    <w:abstractNumId w:val="21"/>
  </w:num>
  <w:num w:numId="9" w16cid:durableId="1980836519">
    <w:abstractNumId w:val="28"/>
  </w:num>
  <w:num w:numId="10" w16cid:durableId="1300719451">
    <w:abstractNumId w:val="1"/>
  </w:num>
  <w:num w:numId="11" w16cid:durableId="235407542">
    <w:abstractNumId w:val="36"/>
  </w:num>
  <w:num w:numId="12" w16cid:durableId="1456488627">
    <w:abstractNumId w:val="22"/>
  </w:num>
  <w:num w:numId="13" w16cid:durableId="1449929296">
    <w:abstractNumId w:val="39"/>
  </w:num>
  <w:num w:numId="14" w16cid:durableId="2052680308">
    <w:abstractNumId w:val="12"/>
  </w:num>
  <w:num w:numId="15" w16cid:durableId="452789052">
    <w:abstractNumId w:val="15"/>
  </w:num>
  <w:num w:numId="16" w16cid:durableId="1128623943">
    <w:abstractNumId w:val="3"/>
  </w:num>
  <w:num w:numId="17" w16cid:durableId="230389788">
    <w:abstractNumId w:val="31"/>
  </w:num>
  <w:num w:numId="18" w16cid:durableId="1611551864">
    <w:abstractNumId w:val="30"/>
  </w:num>
  <w:num w:numId="19" w16cid:durableId="12997205">
    <w:abstractNumId w:val="29"/>
  </w:num>
  <w:num w:numId="20" w16cid:durableId="1856530516">
    <w:abstractNumId w:val="7"/>
  </w:num>
  <w:num w:numId="21" w16cid:durableId="602567535">
    <w:abstractNumId w:val="14"/>
  </w:num>
  <w:num w:numId="22" w16cid:durableId="1740663992">
    <w:abstractNumId w:val="2"/>
  </w:num>
  <w:num w:numId="23" w16cid:durableId="886453861">
    <w:abstractNumId w:val="37"/>
  </w:num>
  <w:num w:numId="24" w16cid:durableId="2003267707">
    <w:abstractNumId w:val="25"/>
  </w:num>
  <w:num w:numId="25" w16cid:durableId="111173613">
    <w:abstractNumId w:val="34"/>
  </w:num>
  <w:num w:numId="26" w16cid:durableId="301734323">
    <w:abstractNumId w:val="11"/>
  </w:num>
  <w:num w:numId="27" w16cid:durableId="653263803">
    <w:abstractNumId w:val="18"/>
  </w:num>
  <w:num w:numId="28" w16cid:durableId="1459296557">
    <w:abstractNumId w:val="5"/>
  </w:num>
  <w:num w:numId="29" w16cid:durableId="345908226">
    <w:abstractNumId w:val="10"/>
  </w:num>
  <w:num w:numId="30" w16cid:durableId="1082600423">
    <w:abstractNumId w:val="38"/>
  </w:num>
  <w:num w:numId="31" w16cid:durableId="745883223">
    <w:abstractNumId w:val="24"/>
  </w:num>
  <w:num w:numId="32" w16cid:durableId="1404139753">
    <w:abstractNumId w:val="23"/>
  </w:num>
  <w:num w:numId="33" w16cid:durableId="1033387776">
    <w:abstractNumId w:val="8"/>
  </w:num>
  <w:num w:numId="34" w16cid:durableId="1792897437">
    <w:abstractNumId w:val="33"/>
  </w:num>
  <w:num w:numId="35" w16cid:durableId="1983920015">
    <w:abstractNumId w:val="20"/>
  </w:num>
  <w:num w:numId="36" w16cid:durableId="1410729786">
    <w:abstractNumId w:val="4"/>
  </w:num>
  <w:num w:numId="37" w16cid:durableId="450167226">
    <w:abstractNumId w:val="13"/>
  </w:num>
  <w:num w:numId="38" w16cid:durableId="389809153">
    <w:abstractNumId w:val="9"/>
  </w:num>
  <w:num w:numId="39" w16cid:durableId="708915449">
    <w:abstractNumId w:val="17"/>
  </w:num>
  <w:num w:numId="40" w16cid:durableId="1600094125">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A0MjU3trAwNjEyNTFV0lEKTi0uzszPAykwrwUAOy/J/iwAAAA="/>
  </w:docVars>
  <w:rsids>
    <w:rsidRoot w:val="00A666EF"/>
    <w:rsid w:val="00002859"/>
    <w:rsid w:val="000041C2"/>
    <w:rsid w:val="00011664"/>
    <w:rsid w:val="000127F2"/>
    <w:rsid w:val="00015C9D"/>
    <w:rsid w:val="00016FBE"/>
    <w:rsid w:val="000217E7"/>
    <w:rsid w:val="00024447"/>
    <w:rsid w:val="000347A1"/>
    <w:rsid w:val="00042D9F"/>
    <w:rsid w:val="0004558A"/>
    <w:rsid w:val="00045DD4"/>
    <w:rsid w:val="00050A4D"/>
    <w:rsid w:val="00051F29"/>
    <w:rsid w:val="00060CCA"/>
    <w:rsid w:val="00061CAF"/>
    <w:rsid w:val="000654D8"/>
    <w:rsid w:val="0008497B"/>
    <w:rsid w:val="00097216"/>
    <w:rsid w:val="00097C94"/>
    <w:rsid w:val="00097E8C"/>
    <w:rsid w:val="000A6F7B"/>
    <w:rsid w:val="000A7FB8"/>
    <w:rsid w:val="000B1AA6"/>
    <w:rsid w:val="000B4151"/>
    <w:rsid w:val="000B7461"/>
    <w:rsid w:val="000B787B"/>
    <w:rsid w:val="000B7D8B"/>
    <w:rsid w:val="000B7F82"/>
    <w:rsid w:val="000C0585"/>
    <w:rsid w:val="000D37C6"/>
    <w:rsid w:val="000D79C6"/>
    <w:rsid w:val="000E609D"/>
    <w:rsid w:val="000E732D"/>
    <w:rsid w:val="0010003F"/>
    <w:rsid w:val="0010277A"/>
    <w:rsid w:val="00104BFA"/>
    <w:rsid w:val="00110E00"/>
    <w:rsid w:val="00111BEE"/>
    <w:rsid w:val="00114002"/>
    <w:rsid w:val="001233BC"/>
    <w:rsid w:val="0012623B"/>
    <w:rsid w:val="001271F0"/>
    <w:rsid w:val="00134F7A"/>
    <w:rsid w:val="00152772"/>
    <w:rsid w:val="001544B6"/>
    <w:rsid w:val="00156654"/>
    <w:rsid w:val="0016178E"/>
    <w:rsid w:val="00161C36"/>
    <w:rsid w:val="00163A26"/>
    <w:rsid w:val="00163E9B"/>
    <w:rsid w:val="00172D5A"/>
    <w:rsid w:val="0019065E"/>
    <w:rsid w:val="00195DDB"/>
    <w:rsid w:val="00196236"/>
    <w:rsid w:val="001A2D54"/>
    <w:rsid w:val="001A2DE5"/>
    <w:rsid w:val="001A48C7"/>
    <w:rsid w:val="001A79B4"/>
    <w:rsid w:val="001B08DB"/>
    <w:rsid w:val="001C0F87"/>
    <w:rsid w:val="001C55E2"/>
    <w:rsid w:val="001C70F1"/>
    <w:rsid w:val="001D50D3"/>
    <w:rsid w:val="001E2521"/>
    <w:rsid w:val="001E4A97"/>
    <w:rsid w:val="001F5630"/>
    <w:rsid w:val="002003F7"/>
    <w:rsid w:val="0020192D"/>
    <w:rsid w:val="00206DCC"/>
    <w:rsid w:val="00213E0F"/>
    <w:rsid w:val="00213FD9"/>
    <w:rsid w:val="002178CC"/>
    <w:rsid w:val="00224359"/>
    <w:rsid w:val="00224634"/>
    <w:rsid w:val="0022547D"/>
    <w:rsid w:val="00230942"/>
    <w:rsid w:val="00231086"/>
    <w:rsid w:val="00234FEF"/>
    <w:rsid w:val="00236021"/>
    <w:rsid w:val="0023765E"/>
    <w:rsid w:val="002401A6"/>
    <w:rsid w:val="00240C25"/>
    <w:rsid w:val="00242EFF"/>
    <w:rsid w:val="00247B52"/>
    <w:rsid w:val="00247C75"/>
    <w:rsid w:val="00251BEE"/>
    <w:rsid w:val="00252F63"/>
    <w:rsid w:val="00253342"/>
    <w:rsid w:val="00253FD8"/>
    <w:rsid w:val="00254D5B"/>
    <w:rsid w:val="00254FD5"/>
    <w:rsid w:val="00257BFE"/>
    <w:rsid w:val="00261AF9"/>
    <w:rsid w:val="00264BB1"/>
    <w:rsid w:val="00266591"/>
    <w:rsid w:val="00267FA3"/>
    <w:rsid w:val="002752FD"/>
    <w:rsid w:val="00276D76"/>
    <w:rsid w:val="00276EF6"/>
    <w:rsid w:val="00276F66"/>
    <w:rsid w:val="0027717E"/>
    <w:rsid w:val="00277FEB"/>
    <w:rsid w:val="0029056F"/>
    <w:rsid w:val="0029060B"/>
    <w:rsid w:val="002A49A6"/>
    <w:rsid w:val="002A7BAD"/>
    <w:rsid w:val="002B0CCE"/>
    <w:rsid w:val="002B7788"/>
    <w:rsid w:val="002C0158"/>
    <w:rsid w:val="002C6388"/>
    <w:rsid w:val="002D1289"/>
    <w:rsid w:val="002D3172"/>
    <w:rsid w:val="002D3C61"/>
    <w:rsid w:val="002F15F8"/>
    <w:rsid w:val="002F2926"/>
    <w:rsid w:val="002F460E"/>
    <w:rsid w:val="002F488C"/>
    <w:rsid w:val="002F68B4"/>
    <w:rsid w:val="003024BD"/>
    <w:rsid w:val="00303508"/>
    <w:rsid w:val="003078D6"/>
    <w:rsid w:val="00311938"/>
    <w:rsid w:val="00312FB4"/>
    <w:rsid w:val="00313345"/>
    <w:rsid w:val="00332C60"/>
    <w:rsid w:val="0034024E"/>
    <w:rsid w:val="0034293D"/>
    <w:rsid w:val="003505A3"/>
    <w:rsid w:val="0035245A"/>
    <w:rsid w:val="003533F8"/>
    <w:rsid w:val="0035400A"/>
    <w:rsid w:val="00362ADD"/>
    <w:rsid w:val="003632AE"/>
    <w:rsid w:val="00367C11"/>
    <w:rsid w:val="00374DC1"/>
    <w:rsid w:val="00375523"/>
    <w:rsid w:val="00375BBA"/>
    <w:rsid w:val="003762DE"/>
    <w:rsid w:val="0038241C"/>
    <w:rsid w:val="00383034"/>
    <w:rsid w:val="0038351F"/>
    <w:rsid w:val="00384196"/>
    <w:rsid w:val="00387402"/>
    <w:rsid w:val="0039350C"/>
    <w:rsid w:val="0039358F"/>
    <w:rsid w:val="00395F2E"/>
    <w:rsid w:val="003A3F6E"/>
    <w:rsid w:val="003B0D48"/>
    <w:rsid w:val="003B1CA8"/>
    <w:rsid w:val="003B28BB"/>
    <w:rsid w:val="003B5C54"/>
    <w:rsid w:val="003B5FA4"/>
    <w:rsid w:val="003C0010"/>
    <w:rsid w:val="003C1D55"/>
    <w:rsid w:val="003C39BD"/>
    <w:rsid w:val="003C3E18"/>
    <w:rsid w:val="003C414D"/>
    <w:rsid w:val="003C474B"/>
    <w:rsid w:val="003D0493"/>
    <w:rsid w:val="003D1F3E"/>
    <w:rsid w:val="003D4467"/>
    <w:rsid w:val="003E1C3B"/>
    <w:rsid w:val="003E59E4"/>
    <w:rsid w:val="003F1D3C"/>
    <w:rsid w:val="003F3CF4"/>
    <w:rsid w:val="003F4C94"/>
    <w:rsid w:val="003F6B41"/>
    <w:rsid w:val="0040164A"/>
    <w:rsid w:val="0040416D"/>
    <w:rsid w:val="00405268"/>
    <w:rsid w:val="00414BCF"/>
    <w:rsid w:val="00414D19"/>
    <w:rsid w:val="00415CD6"/>
    <w:rsid w:val="004215C0"/>
    <w:rsid w:val="00432AB7"/>
    <w:rsid w:val="00437107"/>
    <w:rsid w:val="004459BD"/>
    <w:rsid w:val="004540EC"/>
    <w:rsid w:val="00454570"/>
    <w:rsid w:val="00455B23"/>
    <w:rsid w:val="004600D2"/>
    <w:rsid w:val="00460540"/>
    <w:rsid w:val="00460720"/>
    <w:rsid w:val="004632F1"/>
    <w:rsid w:val="00466501"/>
    <w:rsid w:val="00467743"/>
    <w:rsid w:val="00473D71"/>
    <w:rsid w:val="00474139"/>
    <w:rsid w:val="00475DAD"/>
    <w:rsid w:val="00480731"/>
    <w:rsid w:val="00486A49"/>
    <w:rsid w:val="00486D1B"/>
    <w:rsid w:val="004A5C2C"/>
    <w:rsid w:val="004A7395"/>
    <w:rsid w:val="004C00D5"/>
    <w:rsid w:val="004C7BEB"/>
    <w:rsid w:val="004D536C"/>
    <w:rsid w:val="004D53C7"/>
    <w:rsid w:val="004D7835"/>
    <w:rsid w:val="004E4ACC"/>
    <w:rsid w:val="004E651E"/>
    <w:rsid w:val="004E6901"/>
    <w:rsid w:val="004F011D"/>
    <w:rsid w:val="004F13FA"/>
    <w:rsid w:val="004F347C"/>
    <w:rsid w:val="004F5027"/>
    <w:rsid w:val="004F55F6"/>
    <w:rsid w:val="004F6D16"/>
    <w:rsid w:val="00500E38"/>
    <w:rsid w:val="00511242"/>
    <w:rsid w:val="00512E76"/>
    <w:rsid w:val="005145CA"/>
    <w:rsid w:val="00522D19"/>
    <w:rsid w:val="00522D9C"/>
    <w:rsid w:val="005230DF"/>
    <w:rsid w:val="00532860"/>
    <w:rsid w:val="00540A96"/>
    <w:rsid w:val="00540C8A"/>
    <w:rsid w:val="0054327D"/>
    <w:rsid w:val="0054400C"/>
    <w:rsid w:val="005456C1"/>
    <w:rsid w:val="00552E48"/>
    <w:rsid w:val="00553A74"/>
    <w:rsid w:val="00554922"/>
    <w:rsid w:val="0055508E"/>
    <w:rsid w:val="0055772A"/>
    <w:rsid w:val="0056031C"/>
    <w:rsid w:val="0056121A"/>
    <w:rsid w:val="005645FE"/>
    <w:rsid w:val="005754B3"/>
    <w:rsid w:val="005756C0"/>
    <w:rsid w:val="005824C9"/>
    <w:rsid w:val="005931B7"/>
    <w:rsid w:val="005944D3"/>
    <w:rsid w:val="005954F8"/>
    <w:rsid w:val="0059680F"/>
    <w:rsid w:val="005B2192"/>
    <w:rsid w:val="005B290C"/>
    <w:rsid w:val="005B31FE"/>
    <w:rsid w:val="005B74A0"/>
    <w:rsid w:val="005B7903"/>
    <w:rsid w:val="005C023E"/>
    <w:rsid w:val="005C159D"/>
    <w:rsid w:val="005C234A"/>
    <w:rsid w:val="005C7FA6"/>
    <w:rsid w:val="005D5EFB"/>
    <w:rsid w:val="005E033C"/>
    <w:rsid w:val="005E11C2"/>
    <w:rsid w:val="005E2D49"/>
    <w:rsid w:val="005E7239"/>
    <w:rsid w:val="005E7E44"/>
    <w:rsid w:val="005F31CE"/>
    <w:rsid w:val="005F5A4B"/>
    <w:rsid w:val="005F73E3"/>
    <w:rsid w:val="006013B4"/>
    <w:rsid w:val="0060385C"/>
    <w:rsid w:val="006076FC"/>
    <w:rsid w:val="00611456"/>
    <w:rsid w:val="006125E7"/>
    <w:rsid w:val="00617450"/>
    <w:rsid w:val="00620E0D"/>
    <w:rsid w:val="0063461B"/>
    <w:rsid w:val="006352F0"/>
    <w:rsid w:val="006413EE"/>
    <w:rsid w:val="006436E6"/>
    <w:rsid w:val="006502F9"/>
    <w:rsid w:val="006521E4"/>
    <w:rsid w:val="00660FFE"/>
    <w:rsid w:val="00664D5B"/>
    <w:rsid w:val="00670937"/>
    <w:rsid w:val="00680463"/>
    <w:rsid w:val="0068265C"/>
    <w:rsid w:val="006828C7"/>
    <w:rsid w:val="0068452F"/>
    <w:rsid w:val="00687E5D"/>
    <w:rsid w:val="00691B63"/>
    <w:rsid w:val="006A2118"/>
    <w:rsid w:val="006A7808"/>
    <w:rsid w:val="006B2852"/>
    <w:rsid w:val="006B6543"/>
    <w:rsid w:val="006C6E56"/>
    <w:rsid w:val="006D045E"/>
    <w:rsid w:val="006D1A6E"/>
    <w:rsid w:val="006D36FA"/>
    <w:rsid w:val="006D4396"/>
    <w:rsid w:val="006D7C53"/>
    <w:rsid w:val="006F2BC3"/>
    <w:rsid w:val="006F58CF"/>
    <w:rsid w:val="006F7311"/>
    <w:rsid w:val="00701427"/>
    <w:rsid w:val="00704B8C"/>
    <w:rsid w:val="007079D2"/>
    <w:rsid w:val="007106F0"/>
    <w:rsid w:val="007205BA"/>
    <w:rsid w:val="00720C6F"/>
    <w:rsid w:val="007242A8"/>
    <w:rsid w:val="0072550D"/>
    <w:rsid w:val="0073478B"/>
    <w:rsid w:val="00736694"/>
    <w:rsid w:val="00737D6A"/>
    <w:rsid w:val="0074359C"/>
    <w:rsid w:val="0075091B"/>
    <w:rsid w:val="007543F1"/>
    <w:rsid w:val="00755581"/>
    <w:rsid w:val="00756B40"/>
    <w:rsid w:val="007576E1"/>
    <w:rsid w:val="00762447"/>
    <w:rsid w:val="00763533"/>
    <w:rsid w:val="00764563"/>
    <w:rsid w:val="00766456"/>
    <w:rsid w:val="0077156A"/>
    <w:rsid w:val="00772FAA"/>
    <w:rsid w:val="007759EF"/>
    <w:rsid w:val="00775CD1"/>
    <w:rsid w:val="0077743A"/>
    <w:rsid w:val="00784491"/>
    <w:rsid w:val="0078757B"/>
    <w:rsid w:val="007906AB"/>
    <w:rsid w:val="00795C4C"/>
    <w:rsid w:val="007971B1"/>
    <w:rsid w:val="007A6B20"/>
    <w:rsid w:val="007C272D"/>
    <w:rsid w:val="007C6EFD"/>
    <w:rsid w:val="007D78F2"/>
    <w:rsid w:val="007F0001"/>
    <w:rsid w:val="007F58C3"/>
    <w:rsid w:val="007F5BB5"/>
    <w:rsid w:val="00802977"/>
    <w:rsid w:val="00802BF5"/>
    <w:rsid w:val="00802C8B"/>
    <w:rsid w:val="00806DC5"/>
    <w:rsid w:val="00810CC1"/>
    <w:rsid w:val="008168B7"/>
    <w:rsid w:val="00822F85"/>
    <w:rsid w:val="00824347"/>
    <w:rsid w:val="0082449D"/>
    <w:rsid w:val="00854B29"/>
    <w:rsid w:val="008559D7"/>
    <w:rsid w:val="00865703"/>
    <w:rsid w:val="008750EF"/>
    <w:rsid w:val="00881C1E"/>
    <w:rsid w:val="008842A2"/>
    <w:rsid w:val="00886000"/>
    <w:rsid w:val="008874A2"/>
    <w:rsid w:val="00890433"/>
    <w:rsid w:val="008A3F8D"/>
    <w:rsid w:val="008B0A0B"/>
    <w:rsid w:val="008B1167"/>
    <w:rsid w:val="008B783A"/>
    <w:rsid w:val="008C363E"/>
    <w:rsid w:val="008C4280"/>
    <w:rsid w:val="008C573B"/>
    <w:rsid w:val="008C62C2"/>
    <w:rsid w:val="008C64AD"/>
    <w:rsid w:val="008D1021"/>
    <w:rsid w:val="008D2445"/>
    <w:rsid w:val="008D2EFD"/>
    <w:rsid w:val="008D3506"/>
    <w:rsid w:val="008D5715"/>
    <w:rsid w:val="008D6D7D"/>
    <w:rsid w:val="008E0E5A"/>
    <w:rsid w:val="008E15BD"/>
    <w:rsid w:val="008E504F"/>
    <w:rsid w:val="008F3659"/>
    <w:rsid w:val="008F7A99"/>
    <w:rsid w:val="0090029D"/>
    <w:rsid w:val="00902AE3"/>
    <w:rsid w:val="00904F9F"/>
    <w:rsid w:val="0091344F"/>
    <w:rsid w:val="00915296"/>
    <w:rsid w:val="00916ECA"/>
    <w:rsid w:val="00924239"/>
    <w:rsid w:val="00927347"/>
    <w:rsid w:val="009303C5"/>
    <w:rsid w:val="0093460B"/>
    <w:rsid w:val="00934F43"/>
    <w:rsid w:val="00942E77"/>
    <w:rsid w:val="00943B5D"/>
    <w:rsid w:val="00961C7B"/>
    <w:rsid w:val="00963B8E"/>
    <w:rsid w:val="0096729B"/>
    <w:rsid w:val="009765EA"/>
    <w:rsid w:val="00983CB7"/>
    <w:rsid w:val="0098562D"/>
    <w:rsid w:val="00991FD1"/>
    <w:rsid w:val="00996D75"/>
    <w:rsid w:val="0099734A"/>
    <w:rsid w:val="00997605"/>
    <w:rsid w:val="009A23F9"/>
    <w:rsid w:val="009A79EF"/>
    <w:rsid w:val="009C30CB"/>
    <w:rsid w:val="009C33FE"/>
    <w:rsid w:val="009C46BA"/>
    <w:rsid w:val="009C72F4"/>
    <w:rsid w:val="009D1D44"/>
    <w:rsid w:val="009D4694"/>
    <w:rsid w:val="009D4712"/>
    <w:rsid w:val="009D6EF2"/>
    <w:rsid w:val="009E2F7E"/>
    <w:rsid w:val="009E779A"/>
    <w:rsid w:val="009F0110"/>
    <w:rsid w:val="009F5156"/>
    <w:rsid w:val="009F530D"/>
    <w:rsid w:val="00A14BC5"/>
    <w:rsid w:val="00A2129C"/>
    <w:rsid w:val="00A22A8F"/>
    <w:rsid w:val="00A254F9"/>
    <w:rsid w:val="00A26097"/>
    <w:rsid w:val="00A415FB"/>
    <w:rsid w:val="00A4474D"/>
    <w:rsid w:val="00A45475"/>
    <w:rsid w:val="00A458BF"/>
    <w:rsid w:val="00A52993"/>
    <w:rsid w:val="00A55292"/>
    <w:rsid w:val="00A61437"/>
    <w:rsid w:val="00A644AF"/>
    <w:rsid w:val="00A666EF"/>
    <w:rsid w:val="00A71984"/>
    <w:rsid w:val="00A7327A"/>
    <w:rsid w:val="00A73E71"/>
    <w:rsid w:val="00A75523"/>
    <w:rsid w:val="00A8140C"/>
    <w:rsid w:val="00A866C8"/>
    <w:rsid w:val="00A960A3"/>
    <w:rsid w:val="00AA0A35"/>
    <w:rsid w:val="00AA313C"/>
    <w:rsid w:val="00AA50CF"/>
    <w:rsid w:val="00AB0493"/>
    <w:rsid w:val="00AB08D8"/>
    <w:rsid w:val="00AB20D5"/>
    <w:rsid w:val="00AB5C97"/>
    <w:rsid w:val="00AB5F4B"/>
    <w:rsid w:val="00AC0CCA"/>
    <w:rsid w:val="00AC4635"/>
    <w:rsid w:val="00AD1C81"/>
    <w:rsid w:val="00AD20D3"/>
    <w:rsid w:val="00AD2C3B"/>
    <w:rsid w:val="00AD3C31"/>
    <w:rsid w:val="00AE2884"/>
    <w:rsid w:val="00AF002E"/>
    <w:rsid w:val="00AF47BF"/>
    <w:rsid w:val="00AF4F82"/>
    <w:rsid w:val="00B03657"/>
    <w:rsid w:val="00B068FB"/>
    <w:rsid w:val="00B11B98"/>
    <w:rsid w:val="00B16892"/>
    <w:rsid w:val="00B241D7"/>
    <w:rsid w:val="00B27E87"/>
    <w:rsid w:val="00B34390"/>
    <w:rsid w:val="00B34AA7"/>
    <w:rsid w:val="00B40A61"/>
    <w:rsid w:val="00B46FDA"/>
    <w:rsid w:val="00B473D1"/>
    <w:rsid w:val="00B528EC"/>
    <w:rsid w:val="00B55831"/>
    <w:rsid w:val="00B564DB"/>
    <w:rsid w:val="00B56D65"/>
    <w:rsid w:val="00B63BCD"/>
    <w:rsid w:val="00B654A6"/>
    <w:rsid w:val="00B65A6B"/>
    <w:rsid w:val="00B65C1D"/>
    <w:rsid w:val="00B671DC"/>
    <w:rsid w:val="00B7000A"/>
    <w:rsid w:val="00B7004E"/>
    <w:rsid w:val="00B725D5"/>
    <w:rsid w:val="00B73AB6"/>
    <w:rsid w:val="00B87738"/>
    <w:rsid w:val="00B90F66"/>
    <w:rsid w:val="00B925BF"/>
    <w:rsid w:val="00B92A55"/>
    <w:rsid w:val="00B94BF6"/>
    <w:rsid w:val="00B96D45"/>
    <w:rsid w:val="00BA03DA"/>
    <w:rsid w:val="00BA1E12"/>
    <w:rsid w:val="00BA2A2E"/>
    <w:rsid w:val="00BA397A"/>
    <w:rsid w:val="00BB0D98"/>
    <w:rsid w:val="00BB403C"/>
    <w:rsid w:val="00BB43FE"/>
    <w:rsid w:val="00BB5875"/>
    <w:rsid w:val="00BC0E34"/>
    <w:rsid w:val="00BC13E6"/>
    <w:rsid w:val="00BC2F0A"/>
    <w:rsid w:val="00BC437B"/>
    <w:rsid w:val="00BC533B"/>
    <w:rsid w:val="00BC7245"/>
    <w:rsid w:val="00BD1ED2"/>
    <w:rsid w:val="00BD4721"/>
    <w:rsid w:val="00BE0D23"/>
    <w:rsid w:val="00BE281D"/>
    <w:rsid w:val="00BE5181"/>
    <w:rsid w:val="00BE5A7D"/>
    <w:rsid w:val="00BE6FC5"/>
    <w:rsid w:val="00BF15D2"/>
    <w:rsid w:val="00BF3E7A"/>
    <w:rsid w:val="00BF5D32"/>
    <w:rsid w:val="00BF618B"/>
    <w:rsid w:val="00C03434"/>
    <w:rsid w:val="00C063AF"/>
    <w:rsid w:val="00C07103"/>
    <w:rsid w:val="00C24728"/>
    <w:rsid w:val="00C275F3"/>
    <w:rsid w:val="00C277B8"/>
    <w:rsid w:val="00C32AE7"/>
    <w:rsid w:val="00C33F51"/>
    <w:rsid w:val="00C37239"/>
    <w:rsid w:val="00C638CC"/>
    <w:rsid w:val="00C66781"/>
    <w:rsid w:val="00C77FF1"/>
    <w:rsid w:val="00C84AE9"/>
    <w:rsid w:val="00C85DDF"/>
    <w:rsid w:val="00C9044A"/>
    <w:rsid w:val="00C91269"/>
    <w:rsid w:val="00C93A47"/>
    <w:rsid w:val="00C94B63"/>
    <w:rsid w:val="00C953A4"/>
    <w:rsid w:val="00C97470"/>
    <w:rsid w:val="00CA124C"/>
    <w:rsid w:val="00CA29EE"/>
    <w:rsid w:val="00CA7013"/>
    <w:rsid w:val="00CC12E4"/>
    <w:rsid w:val="00CC6243"/>
    <w:rsid w:val="00CD4F9A"/>
    <w:rsid w:val="00CD6603"/>
    <w:rsid w:val="00CE12FF"/>
    <w:rsid w:val="00CF659D"/>
    <w:rsid w:val="00D004A1"/>
    <w:rsid w:val="00D036EE"/>
    <w:rsid w:val="00D04CED"/>
    <w:rsid w:val="00D04D03"/>
    <w:rsid w:val="00D124FD"/>
    <w:rsid w:val="00D167CF"/>
    <w:rsid w:val="00D16C12"/>
    <w:rsid w:val="00D17A6C"/>
    <w:rsid w:val="00D21E00"/>
    <w:rsid w:val="00D222AF"/>
    <w:rsid w:val="00D23CBA"/>
    <w:rsid w:val="00D269EE"/>
    <w:rsid w:val="00D305BD"/>
    <w:rsid w:val="00D3426C"/>
    <w:rsid w:val="00D40340"/>
    <w:rsid w:val="00D42B85"/>
    <w:rsid w:val="00D4443C"/>
    <w:rsid w:val="00D44BA4"/>
    <w:rsid w:val="00D510FE"/>
    <w:rsid w:val="00D556CC"/>
    <w:rsid w:val="00D673DC"/>
    <w:rsid w:val="00D713BF"/>
    <w:rsid w:val="00D749E8"/>
    <w:rsid w:val="00D779A4"/>
    <w:rsid w:val="00D80C7E"/>
    <w:rsid w:val="00D86A26"/>
    <w:rsid w:val="00D9307A"/>
    <w:rsid w:val="00D9511B"/>
    <w:rsid w:val="00D95CF1"/>
    <w:rsid w:val="00DA1326"/>
    <w:rsid w:val="00DA23CA"/>
    <w:rsid w:val="00DA29EF"/>
    <w:rsid w:val="00DA46D2"/>
    <w:rsid w:val="00DB6B89"/>
    <w:rsid w:val="00DD5708"/>
    <w:rsid w:val="00DE02C5"/>
    <w:rsid w:val="00DE200E"/>
    <w:rsid w:val="00DE2D51"/>
    <w:rsid w:val="00DE72A2"/>
    <w:rsid w:val="00DF2AFB"/>
    <w:rsid w:val="00DF4532"/>
    <w:rsid w:val="00DF5AA6"/>
    <w:rsid w:val="00DF6C68"/>
    <w:rsid w:val="00DF6E56"/>
    <w:rsid w:val="00E03360"/>
    <w:rsid w:val="00E039A6"/>
    <w:rsid w:val="00E05025"/>
    <w:rsid w:val="00E1481C"/>
    <w:rsid w:val="00E20CFA"/>
    <w:rsid w:val="00E2678C"/>
    <w:rsid w:val="00E31D52"/>
    <w:rsid w:val="00E335E1"/>
    <w:rsid w:val="00E34897"/>
    <w:rsid w:val="00E3614F"/>
    <w:rsid w:val="00E40054"/>
    <w:rsid w:val="00E4552F"/>
    <w:rsid w:val="00E54EDE"/>
    <w:rsid w:val="00E70CD6"/>
    <w:rsid w:val="00E71658"/>
    <w:rsid w:val="00E7274E"/>
    <w:rsid w:val="00E85334"/>
    <w:rsid w:val="00E85EEB"/>
    <w:rsid w:val="00E9387B"/>
    <w:rsid w:val="00E93B53"/>
    <w:rsid w:val="00E94CF6"/>
    <w:rsid w:val="00EA0B48"/>
    <w:rsid w:val="00EA458C"/>
    <w:rsid w:val="00EB1FAD"/>
    <w:rsid w:val="00EB6190"/>
    <w:rsid w:val="00EB63BA"/>
    <w:rsid w:val="00EB7411"/>
    <w:rsid w:val="00EC3704"/>
    <w:rsid w:val="00EC5248"/>
    <w:rsid w:val="00EC7453"/>
    <w:rsid w:val="00EC7882"/>
    <w:rsid w:val="00ED454E"/>
    <w:rsid w:val="00ED4EA5"/>
    <w:rsid w:val="00EE09AA"/>
    <w:rsid w:val="00EE0D3E"/>
    <w:rsid w:val="00EF0157"/>
    <w:rsid w:val="00EF1F98"/>
    <w:rsid w:val="00EF3772"/>
    <w:rsid w:val="00EF4AE0"/>
    <w:rsid w:val="00EF6841"/>
    <w:rsid w:val="00F02E84"/>
    <w:rsid w:val="00F12B21"/>
    <w:rsid w:val="00F13588"/>
    <w:rsid w:val="00F16BB1"/>
    <w:rsid w:val="00F17451"/>
    <w:rsid w:val="00F25689"/>
    <w:rsid w:val="00F3475B"/>
    <w:rsid w:val="00F404B2"/>
    <w:rsid w:val="00F4383A"/>
    <w:rsid w:val="00F454A0"/>
    <w:rsid w:val="00F456F9"/>
    <w:rsid w:val="00F45F7E"/>
    <w:rsid w:val="00F51F9D"/>
    <w:rsid w:val="00F5615C"/>
    <w:rsid w:val="00F56F5D"/>
    <w:rsid w:val="00F60478"/>
    <w:rsid w:val="00F61C53"/>
    <w:rsid w:val="00F6295E"/>
    <w:rsid w:val="00F6302B"/>
    <w:rsid w:val="00F65AE0"/>
    <w:rsid w:val="00F67728"/>
    <w:rsid w:val="00F7327F"/>
    <w:rsid w:val="00F73B78"/>
    <w:rsid w:val="00F7660B"/>
    <w:rsid w:val="00F7776D"/>
    <w:rsid w:val="00F877A1"/>
    <w:rsid w:val="00F94C0E"/>
    <w:rsid w:val="00F96505"/>
    <w:rsid w:val="00F96E58"/>
    <w:rsid w:val="00F9705B"/>
    <w:rsid w:val="00FA44D5"/>
    <w:rsid w:val="00FA4F2B"/>
    <w:rsid w:val="00FA50A6"/>
    <w:rsid w:val="00FA7714"/>
    <w:rsid w:val="00FB0E1E"/>
    <w:rsid w:val="00FB42AC"/>
    <w:rsid w:val="00FB5038"/>
    <w:rsid w:val="00FB5B41"/>
    <w:rsid w:val="00FC03FD"/>
    <w:rsid w:val="00FC1CDA"/>
    <w:rsid w:val="00FC5C9D"/>
    <w:rsid w:val="00FC6C4A"/>
    <w:rsid w:val="00FC7236"/>
    <w:rsid w:val="00FD07AA"/>
    <w:rsid w:val="00FE6AF4"/>
    <w:rsid w:val="00FF1962"/>
    <w:rsid w:val="00FF2A41"/>
    <w:rsid w:val="00FF4045"/>
    <w:rsid w:val="00FF522A"/>
    <w:rsid w:val="00FF5B7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DC153B"/>
  <w15:docId w15:val="{83342130-CBA7-4C3E-8286-4671D5EF1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07AA"/>
    <w:pPr>
      <w:spacing w:after="200" w:line="48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8C64AD"/>
    <w:pPr>
      <w:widowControl w:val="0"/>
      <w:autoSpaceDE w:val="0"/>
      <w:autoSpaceDN w:val="0"/>
      <w:spacing w:after="0"/>
      <w:ind w:left="301" w:hanging="201"/>
      <w:jc w:val="center"/>
      <w:outlineLvl w:val="0"/>
    </w:pPr>
    <w:rPr>
      <w:b/>
      <w:bCs/>
      <w:sz w:val="44"/>
      <w:szCs w:val="44"/>
      <w:lang w:bidi="en-US"/>
    </w:rPr>
  </w:style>
  <w:style w:type="paragraph" w:styleId="Heading2">
    <w:name w:val="heading 2"/>
    <w:basedOn w:val="Normal"/>
    <w:next w:val="Normal"/>
    <w:link w:val="Heading2Char"/>
    <w:uiPriority w:val="9"/>
    <w:unhideWhenUsed/>
    <w:qFormat/>
    <w:rsid w:val="008C64AD"/>
    <w:pPr>
      <w:keepNext/>
      <w:keepLines/>
      <w:spacing w:before="40" w:after="0"/>
      <w:outlineLvl w:val="1"/>
    </w:pPr>
    <w:rPr>
      <w:rFonts w:asciiTheme="majorBidi" w:eastAsia="MS Mincho" w:hAnsiTheme="majorBidi" w:cstheme="majorBidi"/>
      <w:b/>
      <w:bCs/>
    </w:rPr>
  </w:style>
  <w:style w:type="paragraph" w:styleId="Heading3">
    <w:name w:val="heading 3"/>
    <w:basedOn w:val="Normal"/>
    <w:next w:val="Normal"/>
    <w:link w:val="Heading3Char"/>
    <w:uiPriority w:val="9"/>
    <w:unhideWhenUsed/>
    <w:qFormat/>
    <w:rsid w:val="00F94C0E"/>
    <w:pPr>
      <w:numPr>
        <w:ilvl w:val="2"/>
        <w:numId w:val="8"/>
      </w:numPr>
      <w:spacing w:line="360" w:lineRule="auto"/>
      <w:outlineLvl w:val="2"/>
    </w:pPr>
    <w:rPr>
      <w:rFonts w:asciiTheme="majorBidi" w:hAnsiTheme="majorBidi"/>
      <w:b/>
      <w:bCs/>
      <w:lang w:val="de-DE"/>
    </w:rPr>
  </w:style>
  <w:style w:type="paragraph" w:styleId="Heading4">
    <w:name w:val="heading 4"/>
    <w:basedOn w:val="Normal"/>
    <w:next w:val="Normal"/>
    <w:link w:val="Heading4Char"/>
    <w:uiPriority w:val="9"/>
    <w:semiHidden/>
    <w:unhideWhenUsed/>
    <w:qFormat/>
    <w:rsid w:val="00251BE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66EF"/>
    <w:pPr>
      <w:ind w:left="720"/>
      <w:contextualSpacing/>
    </w:pPr>
  </w:style>
  <w:style w:type="paragraph" w:customStyle="1" w:styleId="References">
    <w:name w:val="References"/>
    <w:basedOn w:val="Normal"/>
    <w:link w:val="ReferencesChar"/>
    <w:qFormat/>
    <w:rsid w:val="00A666EF"/>
    <w:pPr>
      <w:numPr>
        <w:numId w:val="1"/>
      </w:numPr>
      <w:spacing w:after="60"/>
      <w:ind w:left="0" w:firstLine="0"/>
    </w:pPr>
    <w:rPr>
      <w:szCs w:val="20"/>
      <w:lang w:val="sl-SI"/>
    </w:rPr>
  </w:style>
  <w:style w:type="character" w:customStyle="1" w:styleId="ReferencesChar">
    <w:name w:val="References Char"/>
    <w:basedOn w:val="DefaultParagraphFont"/>
    <w:link w:val="References"/>
    <w:rsid w:val="00A666EF"/>
    <w:rPr>
      <w:rFonts w:ascii="Times New Roman" w:eastAsia="Times New Roman" w:hAnsi="Times New Roman" w:cs="Times New Roman"/>
      <w:sz w:val="24"/>
      <w:szCs w:val="20"/>
      <w:lang w:val="sl-SI"/>
    </w:rPr>
  </w:style>
  <w:style w:type="paragraph" w:styleId="BodyText">
    <w:name w:val="Body Text"/>
    <w:basedOn w:val="Normal"/>
    <w:link w:val="BodyTextChar"/>
    <w:uiPriority w:val="1"/>
    <w:qFormat/>
    <w:rsid w:val="00A666EF"/>
    <w:pPr>
      <w:widowControl w:val="0"/>
      <w:autoSpaceDE w:val="0"/>
      <w:autoSpaceDN w:val="0"/>
      <w:spacing w:after="0"/>
    </w:pPr>
    <w:rPr>
      <w:lang w:bidi="en-US"/>
    </w:rPr>
  </w:style>
  <w:style w:type="character" w:customStyle="1" w:styleId="BodyTextChar">
    <w:name w:val="Body Text Char"/>
    <w:basedOn w:val="DefaultParagraphFont"/>
    <w:link w:val="BodyText"/>
    <w:uiPriority w:val="1"/>
    <w:rsid w:val="00A666EF"/>
    <w:rPr>
      <w:rFonts w:ascii="Times New Roman" w:eastAsia="Times New Roman" w:hAnsi="Times New Roman" w:cs="Times New Roman"/>
      <w:sz w:val="24"/>
      <w:szCs w:val="24"/>
      <w:lang w:bidi="en-US"/>
    </w:rPr>
  </w:style>
  <w:style w:type="paragraph" w:styleId="EndnoteText">
    <w:name w:val="endnote text"/>
    <w:basedOn w:val="Normal"/>
    <w:link w:val="EndnoteTextChar"/>
    <w:uiPriority w:val="99"/>
    <w:semiHidden/>
    <w:unhideWhenUsed/>
    <w:rsid w:val="00A666EF"/>
    <w:pPr>
      <w:spacing w:after="0"/>
    </w:pPr>
    <w:rPr>
      <w:sz w:val="20"/>
      <w:szCs w:val="20"/>
    </w:rPr>
  </w:style>
  <w:style w:type="character" w:customStyle="1" w:styleId="EndnoteTextChar">
    <w:name w:val="Endnote Text Char"/>
    <w:basedOn w:val="DefaultParagraphFont"/>
    <w:link w:val="EndnoteText"/>
    <w:uiPriority w:val="99"/>
    <w:semiHidden/>
    <w:rsid w:val="00A666EF"/>
    <w:rPr>
      <w:sz w:val="20"/>
      <w:szCs w:val="20"/>
      <w:lang w:val="en-GB"/>
    </w:rPr>
  </w:style>
  <w:style w:type="character" w:styleId="EndnoteReference">
    <w:name w:val="endnote reference"/>
    <w:basedOn w:val="DefaultParagraphFont"/>
    <w:uiPriority w:val="99"/>
    <w:semiHidden/>
    <w:unhideWhenUsed/>
    <w:rsid w:val="00A666EF"/>
    <w:rPr>
      <w:vertAlign w:val="superscript"/>
    </w:rPr>
  </w:style>
  <w:style w:type="character" w:styleId="Hyperlink">
    <w:name w:val="Hyperlink"/>
    <w:basedOn w:val="DefaultParagraphFont"/>
    <w:uiPriority w:val="99"/>
    <w:unhideWhenUsed/>
    <w:rsid w:val="00924239"/>
    <w:rPr>
      <w:color w:val="0563C1" w:themeColor="hyperlink"/>
      <w:u w:val="single"/>
    </w:rPr>
  </w:style>
  <w:style w:type="character" w:styleId="FollowedHyperlink">
    <w:name w:val="FollowedHyperlink"/>
    <w:basedOn w:val="DefaultParagraphFont"/>
    <w:uiPriority w:val="99"/>
    <w:semiHidden/>
    <w:unhideWhenUsed/>
    <w:rsid w:val="00924239"/>
    <w:rPr>
      <w:color w:val="954F72" w:themeColor="followedHyperlink"/>
      <w:u w:val="single"/>
    </w:rPr>
  </w:style>
  <w:style w:type="paragraph" w:styleId="FootnoteText">
    <w:name w:val="footnote text"/>
    <w:basedOn w:val="Normal"/>
    <w:link w:val="FootnoteTextChar"/>
    <w:uiPriority w:val="99"/>
    <w:semiHidden/>
    <w:unhideWhenUsed/>
    <w:rsid w:val="00BC0E34"/>
    <w:pPr>
      <w:spacing w:after="0"/>
    </w:pPr>
    <w:rPr>
      <w:sz w:val="20"/>
      <w:szCs w:val="20"/>
    </w:rPr>
  </w:style>
  <w:style w:type="character" w:customStyle="1" w:styleId="FootnoteTextChar">
    <w:name w:val="Footnote Text Char"/>
    <w:basedOn w:val="DefaultParagraphFont"/>
    <w:link w:val="FootnoteText"/>
    <w:uiPriority w:val="99"/>
    <w:semiHidden/>
    <w:rsid w:val="00BC0E34"/>
    <w:rPr>
      <w:sz w:val="20"/>
      <w:szCs w:val="20"/>
      <w:lang w:val="en-GB"/>
    </w:rPr>
  </w:style>
  <w:style w:type="character" w:styleId="FootnoteReference">
    <w:name w:val="footnote reference"/>
    <w:basedOn w:val="DefaultParagraphFont"/>
    <w:uiPriority w:val="99"/>
    <w:semiHidden/>
    <w:unhideWhenUsed/>
    <w:rsid w:val="00BC0E34"/>
    <w:rPr>
      <w:vertAlign w:val="superscript"/>
    </w:rPr>
  </w:style>
  <w:style w:type="paragraph" w:styleId="BalloonText">
    <w:name w:val="Balloon Text"/>
    <w:basedOn w:val="Normal"/>
    <w:link w:val="BalloonTextChar"/>
    <w:uiPriority w:val="99"/>
    <w:semiHidden/>
    <w:unhideWhenUsed/>
    <w:rsid w:val="00437107"/>
    <w:pPr>
      <w:spacing w:after="0"/>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437107"/>
    <w:rPr>
      <w:rFonts w:ascii="Tahoma" w:eastAsiaTheme="minorEastAsia" w:hAnsi="Tahoma" w:cs="Tahoma"/>
      <w:sz w:val="16"/>
      <w:szCs w:val="16"/>
    </w:rPr>
  </w:style>
  <w:style w:type="character" w:customStyle="1" w:styleId="Heading1Char">
    <w:name w:val="Heading 1 Char"/>
    <w:basedOn w:val="DefaultParagraphFont"/>
    <w:link w:val="Heading1"/>
    <w:uiPriority w:val="9"/>
    <w:rsid w:val="008C64AD"/>
    <w:rPr>
      <w:rFonts w:ascii="Times New Roman" w:eastAsia="Times New Roman" w:hAnsi="Times New Roman" w:cs="Times New Roman"/>
      <w:b/>
      <w:bCs/>
      <w:sz w:val="44"/>
      <w:szCs w:val="44"/>
      <w:lang w:bidi="en-US"/>
    </w:rPr>
  </w:style>
  <w:style w:type="character" w:customStyle="1" w:styleId="Heading2Char">
    <w:name w:val="Heading 2 Char"/>
    <w:basedOn w:val="DefaultParagraphFont"/>
    <w:link w:val="Heading2"/>
    <w:uiPriority w:val="9"/>
    <w:rsid w:val="008C64AD"/>
    <w:rPr>
      <w:rFonts w:asciiTheme="majorBidi" w:eastAsia="MS Mincho" w:hAnsiTheme="majorBidi" w:cstheme="majorBidi"/>
      <w:b/>
      <w:bCs/>
      <w:sz w:val="24"/>
      <w:szCs w:val="24"/>
    </w:rPr>
  </w:style>
  <w:style w:type="table" w:styleId="LightGrid-Accent3">
    <w:name w:val="Light Grid Accent 3"/>
    <w:basedOn w:val="TableNormal"/>
    <w:uiPriority w:val="62"/>
    <w:rsid w:val="00C84AE9"/>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styleId="CommentReference">
    <w:name w:val="annotation reference"/>
    <w:basedOn w:val="DefaultParagraphFont"/>
    <w:uiPriority w:val="99"/>
    <w:semiHidden/>
    <w:unhideWhenUsed/>
    <w:rsid w:val="003F3CF4"/>
    <w:rPr>
      <w:sz w:val="16"/>
      <w:szCs w:val="16"/>
    </w:rPr>
  </w:style>
  <w:style w:type="paragraph" w:styleId="CommentText">
    <w:name w:val="annotation text"/>
    <w:basedOn w:val="Normal"/>
    <w:link w:val="CommentTextChar"/>
    <w:uiPriority w:val="99"/>
    <w:semiHidden/>
    <w:unhideWhenUsed/>
    <w:rsid w:val="003F3CF4"/>
    <w:rPr>
      <w:sz w:val="20"/>
      <w:szCs w:val="20"/>
    </w:rPr>
  </w:style>
  <w:style w:type="character" w:customStyle="1" w:styleId="CommentTextChar">
    <w:name w:val="Comment Text Char"/>
    <w:basedOn w:val="DefaultParagraphFont"/>
    <w:link w:val="CommentText"/>
    <w:uiPriority w:val="99"/>
    <w:semiHidden/>
    <w:rsid w:val="003F3CF4"/>
    <w:rPr>
      <w:sz w:val="20"/>
      <w:szCs w:val="20"/>
      <w:lang w:val="en-GB"/>
    </w:rPr>
  </w:style>
  <w:style w:type="paragraph" w:styleId="CommentSubject">
    <w:name w:val="annotation subject"/>
    <w:basedOn w:val="CommentText"/>
    <w:next w:val="CommentText"/>
    <w:link w:val="CommentSubjectChar"/>
    <w:uiPriority w:val="99"/>
    <w:semiHidden/>
    <w:unhideWhenUsed/>
    <w:rsid w:val="003F3CF4"/>
    <w:rPr>
      <w:b/>
      <w:bCs/>
    </w:rPr>
  </w:style>
  <w:style w:type="character" w:customStyle="1" w:styleId="CommentSubjectChar">
    <w:name w:val="Comment Subject Char"/>
    <w:basedOn w:val="CommentTextChar"/>
    <w:link w:val="CommentSubject"/>
    <w:uiPriority w:val="99"/>
    <w:semiHidden/>
    <w:rsid w:val="003F3CF4"/>
    <w:rPr>
      <w:b/>
      <w:bCs/>
      <w:sz w:val="20"/>
      <w:szCs w:val="20"/>
      <w:lang w:val="en-GB"/>
    </w:rPr>
  </w:style>
  <w:style w:type="character" w:styleId="Emphasis">
    <w:name w:val="Emphasis"/>
    <w:basedOn w:val="DefaultParagraphFont"/>
    <w:uiPriority w:val="20"/>
    <w:qFormat/>
    <w:rsid w:val="005B7903"/>
    <w:rPr>
      <w:i/>
      <w:iCs/>
    </w:rPr>
  </w:style>
  <w:style w:type="paragraph" w:styleId="Bibliography">
    <w:name w:val="Bibliography"/>
    <w:basedOn w:val="Normal"/>
    <w:next w:val="Normal"/>
    <w:uiPriority w:val="37"/>
    <w:unhideWhenUsed/>
    <w:rsid w:val="00824347"/>
  </w:style>
  <w:style w:type="paragraph" w:styleId="Caption">
    <w:name w:val="caption"/>
    <w:basedOn w:val="Normal"/>
    <w:next w:val="Normal"/>
    <w:uiPriority w:val="35"/>
    <w:unhideWhenUsed/>
    <w:qFormat/>
    <w:rsid w:val="00934F43"/>
    <w:rPr>
      <w:i/>
      <w:iCs/>
      <w:color w:val="44546A" w:themeColor="text2"/>
      <w:sz w:val="18"/>
      <w:szCs w:val="18"/>
    </w:rPr>
  </w:style>
  <w:style w:type="paragraph" w:styleId="Header">
    <w:name w:val="header"/>
    <w:basedOn w:val="Normal"/>
    <w:link w:val="HeaderChar"/>
    <w:uiPriority w:val="99"/>
    <w:unhideWhenUsed/>
    <w:rsid w:val="00415CD6"/>
    <w:pPr>
      <w:tabs>
        <w:tab w:val="center" w:pos="4680"/>
        <w:tab w:val="right" w:pos="9360"/>
      </w:tabs>
      <w:spacing w:after="0"/>
    </w:pPr>
  </w:style>
  <w:style w:type="character" w:customStyle="1" w:styleId="HeaderChar">
    <w:name w:val="Header Char"/>
    <w:basedOn w:val="DefaultParagraphFont"/>
    <w:link w:val="Header"/>
    <w:uiPriority w:val="99"/>
    <w:rsid w:val="00415CD6"/>
    <w:rPr>
      <w:lang w:val="en-GB"/>
    </w:rPr>
  </w:style>
  <w:style w:type="paragraph" w:styleId="Footer">
    <w:name w:val="footer"/>
    <w:basedOn w:val="Normal"/>
    <w:link w:val="FooterChar"/>
    <w:uiPriority w:val="99"/>
    <w:unhideWhenUsed/>
    <w:rsid w:val="00415CD6"/>
    <w:pPr>
      <w:tabs>
        <w:tab w:val="center" w:pos="4680"/>
        <w:tab w:val="right" w:pos="9360"/>
      </w:tabs>
      <w:spacing w:after="0"/>
    </w:pPr>
  </w:style>
  <w:style w:type="character" w:customStyle="1" w:styleId="FooterChar">
    <w:name w:val="Footer Char"/>
    <w:basedOn w:val="DefaultParagraphFont"/>
    <w:link w:val="Footer"/>
    <w:uiPriority w:val="99"/>
    <w:rsid w:val="00415CD6"/>
    <w:rPr>
      <w:lang w:val="en-GB"/>
    </w:rPr>
  </w:style>
  <w:style w:type="paragraph" w:styleId="NormalWeb">
    <w:name w:val="Normal (Web)"/>
    <w:basedOn w:val="Normal"/>
    <w:uiPriority w:val="99"/>
    <w:semiHidden/>
    <w:unhideWhenUsed/>
    <w:rsid w:val="00A8140C"/>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A8140C"/>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A8140C"/>
    <w:rPr>
      <w:rFonts w:ascii="Arial" w:eastAsia="Times New Roman" w:hAnsi="Arial" w:cs="Arial"/>
      <w:vanish/>
      <w:sz w:val="16"/>
      <w:szCs w:val="16"/>
    </w:rPr>
  </w:style>
  <w:style w:type="paragraph" w:styleId="Revision">
    <w:name w:val="Revision"/>
    <w:hidden/>
    <w:uiPriority w:val="99"/>
    <w:semiHidden/>
    <w:rsid w:val="004600D2"/>
    <w:pPr>
      <w:spacing w:after="0" w:line="240" w:lineRule="auto"/>
    </w:pPr>
    <w:rPr>
      <w:lang w:val="en-GB"/>
    </w:rPr>
  </w:style>
  <w:style w:type="paragraph" w:styleId="TOCHeading">
    <w:name w:val="TOC Heading"/>
    <w:basedOn w:val="Heading1"/>
    <w:next w:val="Normal"/>
    <w:uiPriority w:val="39"/>
    <w:unhideWhenUsed/>
    <w:qFormat/>
    <w:rsid w:val="008C64AD"/>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bidi="ar-SA"/>
    </w:rPr>
  </w:style>
  <w:style w:type="paragraph" w:styleId="TOC1">
    <w:name w:val="toc 1"/>
    <w:basedOn w:val="Normal"/>
    <w:next w:val="Normal"/>
    <w:autoRedefine/>
    <w:uiPriority w:val="39"/>
    <w:unhideWhenUsed/>
    <w:rsid w:val="00660FFE"/>
    <w:pPr>
      <w:spacing w:after="100"/>
    </w:pPr>
  </w:style>
  <w:style w:type="paragraph" w:styleId="TOC2">
    <w:name w:val="toc 2"/>
    <w:basedOn w:val="Normal"/>
    <w:next w:val="Normal"/>
    <w:autoRedefine/>
    <w:uiPriority w:val="39"/>
    <w:unhideWhenUsed/>
    <w:rsid w:val="00660FFE"/>
    <w:pPr>
      <w:spacing w:after="100"/>
      <w:ind w:left="220"/>
    </w:pPr>
  </w:style>
  <w:style w:type="character" w:customStyle="1" w:styleId="Heading3Char">
    <w:name w:val="Heading 3 Char"/>
    <w:basedOn w:val="DefaultParagraphFont"/>
    <w:link w:val="Heading3"/>
    <w:uiPriority w:val="9"/>
    <w:rsid w:val="00F94C0E"/>
    <w:rPr>
      <w:rFonts w:asciiTheme="majorBidi" w:eastAsia="Times New Roman" w:hAnsiTheme="majorBidi" w:cs="Times New Roman"/>
      <w:b/>
      <w:bCs/>
      <w:sz w:val="24"/>
      <w:szCs w:val="24"/>
      <w:lang w:val="de-DE"/>
    </w:rPr>
  </w:style>
  <w:style w:type="paragraph" w:styleId="TableofFigures">
    <w:name w:val="table of figures"/>
    <w:basedOn w:val="Normal"/>
    <w:next w:val="Normal"/>
    <w:uiPriority w:val="99"/>
    <w:unhideWhenUsed/>
    <w:rsid w:val="002F460E"/>
    <w:pPr>
      <w:spacing w:after="0"/>
    </w:pPr>
  </w:style>
  <w:style w:type="paragraph" w:styleId="TOC3">
    <w:name w:val="toc 3"/>
    <w:basedOn w:val="Normal"/>
    <w:next w:val="Normal"/>
    <w:autoRedefine/>
    <w:uiPriority w:val="39"/>
    <w:unhideWhenUsed/>
    <w:rsid w:val="00C953A4"/>
    <w:pPr>
      <w:spacing w:after="100"/>
      <w:ind w:left="440"/>
    </w:pPr>
  </w:style>
  <w:style w:type="paragraph" w:styleId="Title">
    <w:name w:val="Title"/>
    <w:basedOn w:val="Normal"/>
    <w:next w:val="Normal"/>
    <w:link w:val="TitleChar"/>
    <w:uiPriority w:val="10"/>
    <w:qFormat/>
    <w:rsid w:val="00F3475B"/>
    <w:pPr>
      <w:spacing w:after="0" w:line="360" w:lineRule="auto"/>
      <w:contextualSpacing/>
    </w:pPr>
    <w:rPr>
      <w:rFonts w:asciiTheme="majorBidi" w:eastAsia="Calibri" w:hAnsiTheme="majorBidi" w:cstheme="majorBidi"/>
      <w:b/>
      <w:bCs/>
      <w:spacing w:val="-10"/>
      <w:kern w:val="28"/>
      <w:sz w:val="28"/>
      <w:szCs w:val="28"/>
    </w:rPr>
  </w:style>
  <w:style w:type="character" w:customStyle="1" w:styleId="TitleChar">
    <w:name w:val="Title Char"/>
    <w:basedOn w:val="DefaultParagraphFont"/>
    <w:link w:val="Title"/>
    <w:uiPriority w:val="10"/>
    <w:rsid w:val="00F3475B"/>
    <w:rPr>
      <w:rFonts w:asciiTheme="majorBidi" w:eastAsia="Calibri" w:hAnsiTheme="majorBidi" w:cstheme="majorBidi"/>
      <w:b/>
      <w:bCs/>
      <w:spacing w:val="-10"/>
      <w:kern w:val="28"/>
      <w:sz w:val="28"/>
      <w:szCs w:val="28"/>
    </w:rPr>
  </w:style>
  <w:style w:type="numbering" w:customStyle="1" w:styleId="CurrentList1">
    <w:name w:val="Current List1"/>
    <w:uiPriority w:val="99"/>
    <w:rsid w:val="00196236"/>
    <w:pPr>
      <w:numPr>
        <w:numId w:val="15"/>
      </w:numPr>
    </w:pPr>
  </w:style>
  <w:style w:type="table" w:styleId="PlainTable2">
    <w:name w:val="Plain Table 2"/>
    <w:basedOn w:val="TableNormal"/>
    <w:uiPriority w:val="42"/>
    <w:rsid w:val="0074359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74359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Strong">
    <w:name w:val="Strong"/>
    <w:basedOn w:val="DefaultParagraphFont"/>
    <w:uiPriority w:val="22"/>
    <w:qFormat/>
    <w:rsid w:val="00C063AF"/>
    <w:rPr>
      <w:b/>
      <w:bCs/>
    </w:rPr>
  </w:style>
  <w:style w:type="character" w:customStyle="1" w:styleId="Heading4Char">
    <w:name w:val="Heading 4 Char"/>
    <w:basedOn w:val="DefaultParagraphFont"/>
    <w:link w:val="Heading4"/>
    <w:uiPriority w:val="9"/>
    <w:semiHidden/>
    <w:rsid w:val="00251BEE"/>
    <w:rPr>
      <w:rFonts w:asciiTheme="majorHAnsi" w:eastAsiaTheme="majorEastAsia" w:hAnsiTheme="majorHAnsi" w:cstheme="majorBidi"/>
      <w:i/>
      <w:iCs/>
      <w:color w:val="2F5496" w:themeColor="accent1" w:themeShade="BF"/>
      <w:sz w:val="24"/>
      <w:szCs w:val="24"/>
    </w:rPr>
  </w:style>
  <w:style w:type="table" w:styleId="TableGrid">
    <w:name w:val="Table Grid"/>
    <w:basedOn w:val="TableNormal"/>
    <w:uiPriority w:val="39"/>
    <w:rsid w:val="004605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D53C7"/>
    <w:rPr>
      <w:color w:val="666666"/>
    </w:rPr>
  </w:style>
  <w:style w:type="table" w:customStyle="1" w:styleId="TableGrid1">
    <w:name w:val="Table Grid1"/>
    <w:basedOn w:val="TableNormal"/>
    <w:next w:val="TableGrid"/>
    <w:uiPriority w:val="39"/>
    <w:rsid w:val="00B94BF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B94BF6"/>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UnresolvedMention">
    <w:name w:val="Unresolved Mention"/>
    <w:basedOn w:val="DefaultParagraphFont"/>
    <w:uiPriority w:val="99"/>
    <w:semiHidden/>
    <w:unhideWhenUsed/>
    <w:rsid w:val="000041C2"/>
    <w:rPr>
      <w:color w:val="605E5C"/>
      <w:shd w:val="clear" w:color="auto" w:fill="E1DFDD"/>
    </w:rPr>
  </w:style>
  <w:style w:type="table" w:styleId="PlainTable4">
    <w:name w:val="Plain Table 4"/>
    <w:basedOn w:val="TableNormal"/>
    <w:uiPriority w:val="44"/>
    <w:rsid w:val="00F7327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1150">
      <w:bodyDiv w:val="1"/>
      <w:marLeft w:val="0"/>
      <w:marRight w:val="0"/>
      <w:marTop w:val="0"/>
      <w:marBottom w:val="0"/>
      <w:divBdr>
        <w:top w:val="none" w:sz="0" w:space="0" w:color="auto"/>
        <w:left w:val="none" w:sz="0" w:space="0" w:color="auto"/>
        <w:bottom w:val="none" w:sz="0" w:space="0" w:color="auto"/>
        <w:right w:val="none" w:sz="0" w:space="0" w:color="auto"/>
      </w:divBdr>
    </w:div>
    <w:div w:id="6055512">
      <w:bodyDiv w:val="1"/>
      <w:marLeft w:val="0"/>
      <w:marRight w:val="0"/>
      <w:marTop w:val="0"/>
      <w:marBottom w:val="0"/>
      <w:divBdr>
        <w:top w:val="none" w:sz="0" w:space="0" w:color="auto"/>
        <w:left w:val="none" w:sz="0" w:space="0" w:color="auto"/>
        <w:bottom w:val="none" w:sz="0" w:space="0" w:color="auto"/>
        <w:right w:val="none" w:sz="0" w:space="0" w:color="auto"/>
      </w:divBdr>
    </w:div>
    <w:div w:id="6252735">
      <w:bodyDiv w:val="1"/>
      <w:marLeft w:val="0"/>
      <w:marRight w:val="0"/>
      <w:marTop w:val="0"/>
      <w:marBottom w:val="0"/>
      <w:divBdr>
        <w:top w:val="none" w:sz="0" w:space="0" w:color="auto"/>
        <w:left w:val="none" w:sz="0" w:space="0" w:color="auto"/>
        <w:bottom w:val="none" w:sz="0" w:space="0" w:color="auto"/>
        <w:right w:val="none" w:sz="0" w:space="0" w:color="auto"/>
      </w:divBdr>
    </w:div>
    <w:div w:id="23944391">
      <w:bodyDiv w:val="1"/>
      <w:marLeft w:val="0"/>
      <w:marRight w:val="0"/>
      <w:marTop w:val="0"/>
      <w:marBottom w:val="0"/>
      <w:divBdr>
        <w:top w:val="none" w:sz="0" w:space="0" w:color="auto"/>
        <w:left w:val="none" w:sz="0" w:space="0" w:color="auto"/>
        <w:bottom w:val="none" w:sz="0" w:space="0" w:color="auto"/>
        <w:right w:val="none" w:sz="0" w:space="0" w:color="auto"/>
      </w:divBdr>
    </w:div>
    <w:div w:id="30083367">
      <w:bodyDiv w:val="1"/>
      <w:marLeft w:val="0"/>
      <w:marRight w:val="0"/>
      <w:marTop w:val="0"/>
      <w:marBottom w:val="0"/>
      <w:divBdr>
        <w:top w:val="none" w:sz="0" w:space="0" w:color="auto"/>
        <w:left w:val="none" w:sz="0" w:space="0" w:color="auto"/>
        <w:bottom w:val="none" w:sz="0" w:space="0" w:color="auto"/>
        <w:right w:val="none" w:sz="0" w:space="0" w:color="auto"/>
      </w:divBdr>
    </w:div>
    <w:div w:id="30083453">
      <w:bodyDiv w:val="1"/>
      <w:marLeft w:val="0"/>
      <w:marRight w:val="0"/>
      <w:marTop w:val="0"/>
      <w:marBottom w:val="0"/>
      <w:divBdr>
        <w:top w:val="none" w:sz="0" w:space="0" w:color="auto"/>
        <w:left w:val="none" w:sz="0" w:space="0" w:color="auto"/>
        <w:bottom w:val="none" w:sz="0" w:space="0" w:color="auto"/>
        <w:right w:val="none" w:sz="0" w:space="0" w:color="auto"/>
      </w:divBdr>
    </w:div>
    <w:div w:id="37632331">
      <w:bodyDiv w:val="1"/>
      <w:marLeft w:val="0"/>
      <w:marRight w:val="0"/>
      <w:marTop w:val="0"/>
      <w:marBottom w:val="0"/>
      <w:divBdr>
        <w:top w:val="none" w:sz="0" w:space="0" w:color="auto"/>
        <w:left w:val="none" w:sz="0" w:space="0" w:color="auto"/>
        <w:bottom w:val="none" w:sz="0" w:space="0" w:color="auto"/>
        <w:right w:val="none" w:sz="0" w:space="0" w:color="auto"/>
      </w:divBdr>
    </w:div>
    <w:div w:id="38359423">
      <w:bodyDiv w:val="1"/>
      <w:marLeft w:val="0"/>
      <w:marRight w:val="0"/>
      <w:marTop w:val="0"/>
      <w:marBottom w:val="0"/>
      <w:divBdr>
        <w:top w:val="none" w:sz="0" w:space="0" w:color="auto"/>
        <w:left w:val="none" w:sz="0" w:space="0" w:color="auto"/>
        <w:bottom w:val="none" w:sz="0" w:space="0" w:color="auto"/>
        <w:right w:val="none" w:sz="0" w:space="0" w:color="auto"/>
      </w:divBdr>
    </w:div>
    <w:div w:id="38942208">
      <w:bodyDiv w:val="1"/>
      <w:marLeft w:val="0"/>
      <w:marRight w:val="0"/>
      <w:marTop w:val="0"/>
      <w:marBottom w:val="0"/>
      <w:divBdr>
        <w:top w:val="none" w:sz="0" w:space="0" w:color="auto"/>
        <w:left w:val="none" w:sz="0" w:space="0" w:color="auto"/>
        <w:bottom w:val="none" w:sz="0" w:space="0" w:color="auto"/>
        <w:right w:val="none" w:sz="0" w:space="0" w:color="auto"/>
      </w:divBdr>
    </w:div>
    <w:div w:id="40835779">
      <w:bodyDiv w:val="1"/>
      <w:marLeft w:val="0"/>
      <w:marRight w:val="0"/>
      <w:marTop w:val="0"/>
      <w:marBottom w:val="0"/>
      <w:divBdr>
        <w:top w:val="none" w:sz="0" w:space="0" w:color="auto"/>
        <w:left w:val="none" w:sz="0" w:space="0" w:color="auto"/>
        <w:bottom w:val="none" w:sz="0" w:space="0" w:color="auto"/>
        <w:right w:val="none" w:sz="0" w:space="0" w:color="auto"/>
      </w:divBdr>
    </w:div>
    <w:div w:id="53356751">
      <w:bodyDiv w:val="1"/>
      <w:marLeft w:val="0"/>
      <w:marRight w:val="0"/>
      <w:marTop w:val="0"/>
      <w:marBottom w:val="0"/>
      <w:divBdr>
        <w:top w:val="none" w:sz="0" w:space="0" w:color="auto"/>
        <w:left w:val="none" w:sz="0" w:space="0" w:color="auto"/>
        <w:bottom w:val="none" w:sz="0" w:space="0" w:color="auto"/>
        <w:right w:val="none" w:sz="0" w:space="0" w:color="auto"/>
      </w:divBdr>
    </w:div>
    <w:div w:id="56049520">
      <w:bodyDiv w:val="1"/>
      <w:marLeft w:val="0"/>
      <w:marRight w:val="0"/>
      <w:marTop w:val="0"/>
      <w:marBottom w:val="0"/>
      <w:divBdr>
        <w:top w:val="none" w:sz="0" w:space="0" w:color="auto"/>
        <w:left w:val="none" w:sz="0" w:space="0" w:color="auto"/>
        <w:bottom w:val="none" w:sz="0" w:space="0" w:color="auto"/>
        <w:right w:val="none" w:sz="0" w:space="0" w:color="auto"/>
      </w:divBdr>
    </w:div>
    <w:div w:id="57096429">
      <w:bodyDiv w:val="1"/>
      <w:marLeft w:val="0"/>
      <w:marRight w:val="0"/>
      <w:marTop w:val="0"/>
      <w:marBottom w:val="0"/>
      <w:divBdr>
        <w:top w:val="none" w:sz="0" w:space="0" w:color="auto"/>
        <w:left w:val="none" w:sz="0" w:space="0" w:color="auto"/>
        <w:bottom w:val="none" w:sz="0" w:space="0" w:color="auto"/>
        <w:right w:val="none" w:sz="0" w:space="0" w:color="auto"/>
      </w:divBdr>
    </w:div>
    <w:div w:id="59179890">
      <w:bodyDiv w:val="1"/>
      <w:marLeft w:val="0"/>
      <w:marRight w:val="0"/>
      <w:marTop w:val="0"/>
      <w:marBottom w:val="0"/>
      <w:divBdr>
        <w:top w:val="none" w:sz="0" w:space="0" w:color="auto"/>
        <w:left w:val="none" w:sz="0" w:space="0" w:color="auto"/>
        <w:bottom w:val="none" w:sz="0" w:space="0" w:color="auto"/>
        <w:right w:val="none" w:sz="0" w:space="0" w:color="auto"/>
      </w:divBdr>
    </w:div>
    <w:div w:id="69229549">
      <w:bodyDiv w:val="1"/>
      <w:marLeft w:val="0"/>
      <w:marRight w:val="0"/>
      <w:marTop w:val="0"/>
      <w:marBottom w:val="0"/>
      <w:divBdr>
        <w:top w:val="none" w:sz="0" w:space="0" w:color="auto"/>
        <w:left w:val="none" w:sz="0" w:space="0" w:color="auto"/>
        <w:bottom w:val="none" w:sz="0" w:space="0" w:color="auto"/>
        <w:right w:val="none" w:sz="0" w:space="0" w:color="auto"/>
      </w:divBdr>
    </w:div>
    <w:div w:id="79722969">
      <w:bodyDiv w:val="1"/>
      <w:marLeft w:val="0"/>
      <w:marRight w:val="0"/>
      <w:marTop w:val="0"/>
      <w:marBottom w:val="0"/>
      <w:divBdr>
        <w:top w:val="none" w:sz="0" w:space="0" w:color="auto"/>
        <w:left w:val="none" w:sz="0" w:space="0" w:color="auto"/>
        <w:bottom w:val="none" w:sz="0" w:space="0" w:color="auto"/>
        <w:right w:val="none" w:sz="0" w:space="0" w:color="auto"/>
      </w:divBdr>
    </w:div>
    <w:div w:id="87849347">
      <w:bodyDiv w:val="1"/>
      <w:marLeft w:val="0"/>
      <w:marRight w:val="0"/>
      <w:marTop w:val="0"/>
      <w:marBottom w:val="0"/>
      <w:divBdr>
        <w:top w:val="none" w:sz="0" w:space="0" w:color="auto"/>
        <w:left w:val="none" w:sz="0" w:space="0" w:color="auto"/>
        <w:bottom w:val="none" w:sz="0" w:space="0" w:color="auto"/>
        <w:right w:val="none" w:sz="0" w:space="0" w:color="auto"/>
      </w:divBdr>
      <w:divsChild>
        <w:div w:id="1373924503">
          <w:marLeft w:val="0"/>
          <w:marRight w:val="0"/>
          <w:marTop w:val="0"/>
          <w:marBottom w:val="0"/>
          <w:divBdr>
            <w:top w:val="none" w:sz="0" w:space="0" w:color="auto"/>
            <w:left w:val="none" w:sz="0" w:space="0" w:color="auto"/>
            <w:bottom w:val="none" w:sz="0" w:space="0" w:color="auto"/>
            <w:right w:val="none" w:sz="0" w:space="0" w:color="auto"/>
          </w:divBdr>
        </w:div>
      </w:divsChild>
    </w:div>
    <w:div w:id="101339903">
      <w:bodyDiv w:val="1"/>
      <w:marLeft w:val="0"/>
      <w:marRight w:val="0"/>
      <w:marTop w:val="0"/>
      <w:marBottom w:val="0"/>
      <w:divBdr>
        <w:top w:val="none" w:sz="0" w:space="0" w:color="auto"/>
        <w:left w:val="none" w:sz="0" w:space="0" w:color="auto"/>
        <w:bottom w:val="none" w:sz="0" w:space="0" w:color="auto"/>
        <w:right w:val="none" w:sz="0" w:space="0" w:color="auto"/>
      </w:divBdr>
    </w:div>
    <w:div w:id="111560801">
      <w:bodyDiv w:val="1"/>
      <w:marLeft w:val="0"/>
      <w:marRight w:val="0"/>
      <w:marTop w:val="0"/>
      <w:marBottom w:val="0"/>
      <w:divBdr>
        <w:top w:val="none" w:sz="0" w:space="0" w:color="auto"/>
        <w:left w:val="none" w:sz="0" w:space="0" w:color="auto"/>
        <w:bottom w:val="none" w:sz="0" w:space="0" w:color="auto"/>
        <w:right w:val="none" w:sz="0" w:space="0" w:color="auto"/>
      </w:divBdr>
    </w:div>
    <w:div w:id="117183441">
      <w:bodyDiv w:val="1"/>
      <w:marLeft w:val="0"/>
      <w:marRight w:val="0"/>
      <w:marTop w:val="0"/>
      <w:marBottom w:val="0"/>
      <w:divBdr>
        <w:top w:val="none" w:sz="0" w:space="0" w:color="auto"/>
        <w:left w:val="none" w:sz="0" w:space="0" w:color="auto"/>
        <w:bottom w:val="none" w:sz="0" w:space="0" w:color="auto"/>
        <w:right w:val="none" w:sz="0" w:space="0" w:color="auto"/>
      </w:divBdr>
    </w:div>
    <w:div w:id="118231586">
      <w:bodyDiv w:val="1"/>
      <w:marLeft w:val="0"/>
      <w:marRight w:val="0"/>
      <w:marTop w:val="0"/>
      <w:marBottom w:val="0"/>
      <w:divBdr>
        <w:top w:val="none" w:sz="0" w:space="0" w:color="auto"/>
        <w:left w:val="none" w:sz="0" w:space="0" w:color="auto"/>
        <w:bottom w:val="none" w:sz="0" w:space="0" w:color="auto"/>
        <w:right w:val="none" w:sz="0" w:space="0" w:color="auto"/>
      </w:divBdr>
    </w:div>
    <w:div w:id="137691693">
      <w:bodyDiv w:val="1"/>
      <w:marLeft w:val="0"/>
      <w:marRight w:val="0"/>
      <w:marTop w:val="0"/>
      <w:marBottom w:val="0"/>
      <w:divBdr>
        <w:top w:val="none" w:sz="0" w:space="0" w:color="auto"/>
        <w:left w:val="none" w:sz="0" w:space="0" w:color="auto"/>
        <w:bottom w:val="none" w:sz="0" w:space="0" w:color="auto"/>
        <w:right w:val="none" w:sz="0" w:space="0" w:color="auto"/>
      </w:divBdr>
    </w:div>
    <w:div w:id="138310107">
      <w:bodyDiv w:val="1"/>
      <w:marLeft w:val="0"/>
      <w:marRight w:val="0"/>
      <w:marTop w:val="0"/>
      <w:marBottom w:val="0"/>
      <w:divBdr>
        <w:top w:val="none" w:sz="0" w:space="0" w:color="auto"/>
        <w:left w:val="none" w:sz="0" w:space="0" w:color="auto"/>
        <w:bottom w:val="none" w:sz="0" w:space="0" w:color="auto"/>
        <w:right w:val="none" w:sz="0" w:space="0" w:color="auto"/>
      </w:divBdr>
    </w:div>
    <w:div w:id="139661744">
      <w:bodyDiv w:val="1"/>
      <w:marLeft w:val="0"/>
      <w:marRight w:val="0"/>
      <w:marTop w:val="0"/>
      <w:marBottom w:val="0"/>
      <w:divBdr>
        <w:top w:val="none" w:sz="0" w:space="0" w:color="auto"/>
        <w:left w:val="none" w:sz="0" w:space="0" w:color="auto"/>
        <w:bottom w:val="none" w:sz="0" w:space="0" w:color="auto"/>
        <w:right w:val="none" w:sz="0" w:space="0" w:color="auto"/>
      </w:divBdr>
    </w:div>
    <w:div w:id="141627120">
      <w:bodyDiv w:val="1"/>
      <w:marLeft w:val="0"/>
      <w:marRight w:val="0"/>
      <w:marTop w:val="0"/>
      <w:marBottom w:val="0"/>
      <w:divBdr>
        <w:top w:val="none" w:sz="0" w:space="0" w:color="auto"/>
        <w:left w:val="none" w:sz="0" w:space="0" w:color="auto"/>
        <w:bottom w:val="none" w:sz="0" w:space="0" w:color="auto"/>
        <w:right w:val="none" w:sz="0" w:space="0" w:color="auto"/>
      </w:divBdr>
    </w:div>
    <w:div w:id="141771477">
      <w:bodyDiv w:val="1"/>
      <w:marLeft w:val="0"/>
      <w:marRight w:val="0"/>
      <w:marTop w:val="0"/>
      <w:marBottom w:val="0"/>
      <w:divBdr>
        <w:top w:val="none" w:sz="0" w:space="0" w:color="auto"/>
        <w:left w:val="none" w:sz="0" w:space="0" w:color="auto"/>
        <w:bottom w:val="none" w:sz="0" w:space="0" w:color="auto"/>
        <w:right w:val="none" w:sz="0" w:space="0" w:color="auto"/>
      </w:divBdr>
    </w:div>
    <w:div w:id="144589918">
      <w:bodyDiv w:val="1"/>
      <w:marLeft w:val="0"/>
      <w:marRight w:val="0"/>
      <w:marTop w:val="0"/>
      <w:marBottom w:val="0"/>
      <w:divBdr>
        <w:top w:val="none" w:sz="0" w:space="0" w:color="auto"/>
        <w:left w:val="none" w:sz="0" w:space="0" w:color="auto"/>
        <w:bottom w:val="none" w:sz="0" w:space="0" w:color="auto"/>
        <w:right w:val="none" w:sz="0" w:space="0" w:color="auto"/>
      </w:divBdr>
    </w:div>
    <w:div w:id="154608161">
      <w:bodyDiv w:val="1"/>
      <w:marLeft w:val="0"/>
      <w:marRight w:val="0"/>
      <w:marTop w:val="0"/>
      <w:marBottom w:val="0"/>
      <w:divBdr>
        <w:top w:val="none" w:sz="0" w:space="0" w:color="auto"/>
        <w:left w:val="none" w:sz="0" w:space="0" w:color="auto"/>
        <w:bottom w:val="none" w:sz="0" w:space="0" w:color="auto"/>
        <w:right w:val="none" w:sz="0" w:space="0" w:color="auto"/>
      </w:divBdr>
    </w:div>
    <w:div w:id="167334049">
      <w:bodyDiv w:val="1"/>
      <w:marLeft w:val="0"/>
      <w:marRight w:val="0"/>
      <w:marTop w:val="0"/>
      <w:marBottom w:val="0"/>
      <w:divBdr>
        <w:top w:val="none" w:sz="0" w:space="0" w:color="auto"/>
        <w:left w:val="none" w:sz="0" w:space="0" w:color="auto"/>
        <w:bottom w:val="none" w:sz="0" w:space="0" w:color="auto"/>
        <w:right w:val="none" w:sz="0" w:space="0" w:color="auto"/>
      </w:divBdr>
    </w:div>
    <w:div w:id="169757937">
      <w:bodyDiv w:val="1"/>
      <w:marLeft w:val="0"/>
      <w:marRight w:val="0"/>
      <w:marTop w:val="0"/>
      <w:marBottom w:val="0"/>
      <w:divBdr>
        <w:top w:val="none" w:sz="0" w:space="0" w:color="auto"/>
        <w:left w:val="none" w:sz="0" w:space="0" w:color="auto"/>
        <w:bottom w:val="none" w:sz="0" w:space="0" w:color="auto"/>
        <w:right w:val="none" w:sz="0" w:space="0" w:color="auto"/>
      </w:divBdr>
    </w:div>
    <w:div w:id="172574540">
      <w:bodyDiv w:val="1"/>
      <w:marLeft w:val="0"/>
      <w:marRight w:val="0"/>
      <w:marTop w:val="0"/>
      <w:marBottom w:val="0"/>
      <w:divBdr>
        <w:top w:val="none" w:sz="0" w:space="0" w:color="auto"/>
        <w:left w:val="none" w:sz="0" w:space="0" w:color="auto"/>
        <w:bottom w:val="none" w:sz="0" w:space="0" w:color="auto"/>
        <w:right w:val="none" w:sz="0" w:space="0" w:color="auto"/>
      </w:divBdr>
    </w:div>
    <w:div w:id="176165992">
      <w:bodyDiv w:val="1"/>
      <w:marLeft w:val="0"/>
      <w:marRight w:val="0"/>
      <w:marTop w:val="0"/>
      <w:marBottom w:val="0"/>
      <w:divBdr>
        <w:top w:val="none" w:sz="0" w:space="0" w:color="auto"/>
        <w:left w:val="none" w:sz="0" w:space="0" w:color="auto"/>
        <w:bottom w:val="none" w:sz="0" w:space="0" w:color="auto"/>
        <w:right w:val="none" w:sz="0" w:space="0" w:color="auto"/>
      </w:divBdr>
    </w:div>
    <w:div w:id="186524195">
      <w:bodyDiv w:val="1"/>
      <w:marLeft w:val="0"/>
      <w:marRight w:val="0"/>
      <w:marTop w:val="0"/>
      <w:marBottom w:val="0"/>
      <w:divBdr>
        <w:top w:val="none" w:sz="0" w:space="0" w:color="auto"/>
        <w:left w:val="none" w:sz="0" w:space="0" w:color="auto"/>
        <w:bottom w:val="none" w:sz="0" w:space="0" w:color="auto"/>
        <w:right w:val="none" w:sz="0" w:space="0" w:color="auto"/>
      </w:divBdr>
    </w:div>
    <w:div w:id="188302979">
      <w:bodyDiv w:val="1"/>
      <w:marLeft w:val="0"/>
      <w:marRight w:val="0"/>
      <w:marTop w:val="0"/>
      <w:marBottom w:val="0"/>
      <w:divBdr>
        <w:top w:val="none" w:sz="0" w:space="0" w:color="auto"/>
        <w:left w:val="none" w:sz="0" w:space="0" w:color="auto"/>
        <w:bottom w:val="none" w:sz="0" w:space="0" w:color="auto"/>
        <w:right w:val="none" w:sz="0" w:space="0" w:color="auto"/>
      </w:divBdr>
    </w:div>
    <w:div w:id="213733619">
      <w:bodyDiv w:val="1"/>
      <w:marLeft w:val="0"/>
      <w:marRight w:val="0"/>
      <w:marTop w:val="0"/>
      <w:marBottom w:val="0"/>
      <w:divBdr>
        <w:top w:val="none" w:sz="0" w:space="0" w:color="auto"/>
        <w:left w:val="none" w:sz="0" w:space="0" w:color="auto"/>
        <w:bottom w:val="none" w:sz="0" w:space="0" w:color="auto"/>
        <w:right w:val="none" w:sz="0" w:space="0" w:color="auto"/>
      </w:divBdr>
    </w:div>
    <w:div w:id="220140266">
      <w:bodyDiv w:val="1"/>
      <w:marLeft w:val="0"/>
      <w:marRight w:val="0"/>
      <w:marTop w:val="0"/>
      <w:marBottom w:val="0"/>
      <w:divBdr>
        <w:top w:val="none" w:sz="0" w:space="0" w:color="auto"/>
        <w:left w:val="none" w:sz="0" w:space="0" w:color="auto"/>
        <w:bottom w:val="none" w:sz="0" w:space="0" w:color="auto"/>
        <w:right w:val="none" w:sz="0" w:space="0" w:color="auto"/>
      </w:divBdr>
    </w:div>
    <w:div w:id="224951713">
      <w:bodyDiv w:val="1"/>
      <w:marLeft w:val="0"/>
      <w:marRight w:val="0"/>
      <w:marTop w:val="0"/>
      <w:marBottom w:val="0"/>
      <w:divBdr>
        <w:top w:val="none" w:sz="0" w:space="0" w:color="auto"/>
        <w:left w:val="none" w:sz="0" w:space="0" w:color="auto"/>
        <w:bottom w:val="none" w:sz="0" w:space="0" w:color="auto"/>
        <w:right w:val="none" w:sz="0" w:space="0" w:color="auto"/>
      </w:divBdr>
      <w:divsChild>
        <w:div w:id="832645579">
          <w:marLeft w:val="0"/>
          <w:marRight w:val="0"/>
          <w:marTop w:val="0"/>
          <w:marBottom w:val="0"/>
          <w:divBdr>
            <w:top w:val="single" w:sz="2" w:space="0" w:color="D9D9E3"/>
            <w:left w:val="single" w:sz="2" w:space="0" w:color="D9D9E3"/>
            <w:bottom w:val="single" w:sz="2" w:space="0" w:color="D9D9E3"/>
            <w:right w:val="single" w:sz="2" w:space="0" w:color="D9D9E3"/>
          </w:divBdr>
          <w:divsChild>
            <w:div w:id="1917132733">
              <w:marLeft w:val="0"/>
              <w:marRight w:val="0"/>
              <w:marTop w:val="0"/>
              <w:marBottom w:val="0"/>
              <w:divBdr>
                <w:top w:val="single" w:sz="2" w:space="0" w:color="D9D9E3"/>
                <w:left w:val="single" w:sz="2" w:space="0" w:color="D9D9E3"/>
                <w:bottom w:val="single" w:sz="2" w:space="0" w:color="D9D9E3"/>
                <w:right w:val="single" w:sz="2" w:space="0" w:color="D9D9E3"/>
              </w:divBdr>
              <w:divsChild>
                <w:div w:id="522550160">
                  <w:marLeft w:val="0"/>
                  <w:marRight w:val="0"/>
                  <w:marTop w:val="0"/>
                  <w:marBottom w:val="0"/>
                  <w:divBdr>
                    <w:top w:val="single" w:sz="2" w:space="0" w:color="D9D9E3"/>
                    <w:left w:val="single" w:sz="2" w:space="0" w:color="D9D9E3"/>
                    <w:bottom w:val="single" w:sz="2" w:space="0" w:color="D9D9E3"/>
                    <w:right w:val="single" w:sz="2" w:space="0" w:color="D9D9E3"/>
                  </w:divBdr>
                  <w:divsChild>
                    <w:div w:id="910654353">
                      <w:marLeft w:val="0"/>
                      <w:marRight w:val="0"/>
                      <w:marTop w:val="0"/>
                      <w:marBottom w:val="0"/>
                      <w:divBdr>
                        <w:top w:val="single" w:sz="2" w:space="0" w:color="D9D9E3"/>
                        <w:left w:val="single" w:sz="2" w:space="0" w:color="D9D9E3"/>
                        <w:bottom w:val="single" w:sz="2" w:space="0" w:color="D9D9E3"/>
                        <w:right w:val="single" w:sz="2" w:space="0" w:color="D9D9E3"/>
                      </w:divBdr>
                      <w:divsChild>
                        <w:div w:id="338503842">
                          <w:marLeft w:val="0"/>
                          <w:marRight w:val="0"/>
                          <w:marTop w:val="0"/>
                          <w:marBottom w:val="0"/>
                          <w:divBdr>
                            <w:top w:val="single" w:sz="2" w:space="0" w:color="auto"/>
                            <w:left w:val="single" w:sz="2" w:space="0" w:color="auto"/>
                            <w:bottom w:val="single" w:sz="6" w:space="0" w:color="auto"/>
                            <w:right w:val="single" w:sz="2" w:space="0" w:color="auto"/>
                          </w:divBdr>
                          <w:divsChild>
                            <w:div w:id="175316060">
                              <w:marLeft w:val="0"/>
                              <w:marRight w:val="0"/>
                              <w:marTop w:val="100"/>
                              <w:marBottom w:val="100"/>
                              <w:divBdr>
                                <w:top w:val="single" w:sz="2" w:space="0" w:color="D9D9E3"/>
                                <w:left w:val="single" w:sz="2" w:space="0" w:color="D9D9E3"/>
                                <w:bottom w:val="single" w:sz="2" w:space="0" w:color="D9D9E3"/>
                                <w:right w:val="single" w:sz="2" w:space="0" w:color="D9D9E3"/>
                              </w:divBdr>
                              <w:divsChild>
                                <w:div w:id="1520654826">
                                  <w:marLeft w:val="0"/>
                                  <w:marRight w:val="0"/>
                                  <w:marTop w:val="0"/>
                                  <w:marBottom w:val="0"/>
                                  <w:divBdr>
                                    <w:top w:val="single" w:sz="2" w:space="0" w:color="D9D9E3"/>
                                    <w:left w:val="single" w:sz="2" w:space="0" w:color="D9D9E3"/>
                                    <w:bottom w:val="single" w:sz="2" w:space="0" w:color="D9D9E3"/>
                                    <w:right w:val="single" w:sz="2" w:space="0" w:color="D9D9E3"/>
                                  </w:divBdr>
                                  <w:divsChild>
                                    <w:div w:id="1670214062">
                                      <w:marLeft w:val="0"/>
                                      <w:marRight w:val="0"/>
                                      <w:marTop w:val="0"/>
                                      <w:marBottom w:val="0"/>
                                      <w:divBdr>
                                        <w:top w:val="single" w:sz="2" w:space="0" w:color="D9D9E3"/>
                                        <w:left w:val="single" w:sz="2" w:space="0" w:color="D9D9E3"/>
                                        <w:bottom w:val="single" w:sz="2" w:space="0" w:color="D9D9E3"/>
                                        <w:right w:val="single" w:sz="2" w:space="0" w:color="D9D9E3"/>
                                      </w:divBdr>
                                      <w:divsChild>
                                        <w:div w:id="2055346747">
                                          <w:marLeft w:val="0"/>
                                          <w:marRight w:val="0"/>
                                          <w:marTop w:val="0"/>
                                          <w:marBottom w:val="0"/>
                                          <w:divBdr>
                                            <w:top w:val="single" w:sz="2" w:space="0" w:color="D9D9E3"/>
                                            <w:left w:val="single" w:sz="2" w:space="0" w:color="D9D9E3"/>
                                            <w:bottom w:val="single" w:sz="2" w:space="0" w:color="D9D9E3"/>
                                            <w:right w:val="single" w:sz="2" w:space="0" w:color="D9D9E3"/>
                                          </w:divBdr>
                                          <w:divsChild>
                                            <w:div w:id="4332878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94205734">
                          <w:marLeft w:val="0"/>
                          <w:marRight w:val="0"/>
                          <w:marTop w:val="0"/>
                          <w:marBottom w:val="0"/>
                          <w:divBdr>
                            <w:top w:val="single" w:sz="2" w:space="0" w:color="auto"/>
                            <w:left w:val="single" w:sz="2" w:space="0" w:color="auto"/>
                            <w:bottom w:val="single" w:sz="6" w:space="0" w:color="auto"/>
                            <w:right w:val="single" w:sz="2" w:space="0" w:color="auto"/>
                          </w:divBdr>
                          <w:divsChild>
                            <w:div w:id="1393457905">
                              <w:marLeft w:val="0"/>
                              <w:marRight w:val="0"/>
                              <w:marTop w:val="100"/>
                              <w:marBottom w:val="100"/>
                              <w:divBdr>
                                <w:top w:val="single" w:sz="2" w:space="0" w:color="D9D9E3"/>
                                <w:left w:val="single" w:sz="2" w:space="0" w:color="D9D9E3"/>
                                <w:bottom w:val="single" w:sz="2" w:space="0" w:color="D9D9E3"/>
                                <w:right w:val="single" w:sz="2" w:space="0" w:color="D9D9E3"/>
                              </w:divBdr>
                              <w:divsChild>
                                <w:div w:id="492768099">
                                  <w:marLeft w:val="0"/>
                                  <w:marRight w:val="0"/>
                                  <w:marTop w:val="0"/>
                                  <w:marBottom w:val="0"/>
                                  <w:divBdr>
                                    <w:top w:val="single" w:sz="2" w:space="0" w:color="D9D9E3"/>
                                    <w:left w:val="single" w:sz="2" w:space="0" w:color="D9D9E3"/>
                                    <w:bottom w:val="single" w:sz="2" w:space="0" w:color="D9D9E3"/>
                                    <w:right w:val="single" w:sz="2" w:space="0" w:color="D9D9E3"/>
                                  </w:divBdr>
                                  <w:divsChild>
                                    <w:div w:id="1218934643">
                                      <w:marLeft w:val="0"/>
                                      <w:marRight w:val="0"/>
                                      <w:marTop w:val="0"/>
                                      <w:marBottom w:val="0"/>
                                      <w:divBdr>
                                        <w:top w:val="single" w:sz="2" w:space="0" w:color="D9D9E3"/>
                                        <w:left w:val="single" w:sz="2" w:space="0" w:color="D9D9E3"/>
                                        <w:bottom w:val="single" w:sz="2" w:space="0" w:color="D9D9E3"/>
                                        <w:right w:val="single" w:sz="2" w:space="0" w:color="D9D9E3"/>
                                      </w:divBdr>
                                      <w:divsChild>
                                        <w:div w:id="566320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98674473">
                                  <w:marLeft w:val="0"/>
                                  <w:marRight w:val="0"/>
                                  <w:marTop w:val="0"/>
                                  <w:marBottom w:val="0"/>
                                  <w:divBdr>
                                    <w:top w:val="single" w:sz="2" w:space="0" w:color="D9D9E3"/>
                                    <w:left w:val="single" w:sz="2" w:space="0" w:color="D9D9E3"/>
                                    <w:bottom w:val="single" w:sz="2" w:space="0" w:color="D9D9E3"/>
                                    <w:right w:val="single" w:sz="2" w:space="0" w:color="D9D9E3"/>
                                  </w:divBdr>
                                  <w:divsChild>
                                    <w:div w:id="17695388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389761112">
                          <w:marLeft w:val="0"/>
                          <w:marRight w:val="0"/>
                          <w:marTop w:val="0"/>
                          <w:marBottom w:val="0"/>
                          <w:divBdr>
                            <w:top w:val="single" w:sz="2" w:space="0" w:color="auto"/>
                            <w:left w:val="single" w:sz="2" w:space="0" w:color="auto"/>
                            <w:bottom w:val="single" w:sz="6" w:space="0" w:color="auto"/>
                            <w:right w:val="single" w:sz="2" w:space="0" w:color="auto"/>
                          </w:divBdr>
                          <w:divsChild>
                            <w:div w:id="881861830">
                              <w:marLeft w:val="0"/>
                              <w:marRight w:val="0"/>
                              <w:marTop w:val="100"/>
                              <w:marBottom w:val="100"/>
                              <w:divBdr>
                                <w:top w:val="single" w:sz="2" w:space="0" w:color="D9D9E3"/>
                                <w:left w:val="single" w:sz="2" w:space="0" w:color="D9D9E3"/>
                                <w:bottom w:val="single" w:sz="2" w:space="0" w:color="D9D9E3"/>
                                <w:right w:val="single" w:sz="2" w:space="0" w:color="D9D9E3"/>
                              </w:divBdr>
                              <w:divsChild>
                                <w:div w:id="1126318366">
                                  <w:marLeft w:val="0"/>
                                  <w:marRight w:val="0"/>
                                  <w:marTop w:val="0"/>
                                  <w:marBottom w:val="0"/>
                                  <w:divBdr>
                                    <w:top w:val="single" w:sz="2" w:space="0" w:color="D9D9E3"/>
                                    <w:left w:val="single" w:sz="2" w:space="0" w:color="D9D9E3"/>
                                    <w:bottom w:val="single" w:sz="2" w:space="0" w:color="D9D9E3"/>
                                    <w:right w:val="single" w:sz="2" w:space="0" w:color="D9D9E3"/>
                                  </w:divBdr>
                                  <w:divsChild>
                                    <w:div w:id="84231271">
                                      <w:marLeft w:val="0"/>
                                      <w:marRight w:val="0"/>
                                      <w:marTop w:val="0"/>
                                      <w:marBottom w:val="0"/>
                                      <w:divBdr>
                                        <w:top w:val="single" w:sz="2" w:space="0" w:color="D9D9E3"/>
                                        <w:left w:val="single" w:sz="2" w:space="0" w:color="D9D9E3"/>
                                        <w:bottom w:val="single" w:sz="2" w:space="0" w:color="D9D9E3"/>
                                        <w:right w:val="single" w:sz="2" w:space="0" w:color="D9D9E3"/>
                                      </w:divBdr>
                                      <w:divsChild>
                                        <w:div w:id="240675324">
                                          <w:marLeft w:val="0"/>
                                          <w:marRight w:val="0"/>
                                          <w:marTop w:val="0"/>
                                          <w:marBottom w:val="0"/>
                                          <w:divBdr>
                                            <w:top w:val="single" w:sz="2" w:space="0" w:color="D9D9E3"/>
                                            <w:left w:val="single" w:sz="2" w:space="0" w:color="D9D9E3"/>
                                            <w:bottom w:val="single" w:sz="2" w:space="0" w:color="D9D9E3"/>
                                            <w:right w:val="single" w:sz="2" w:space="0" w:color="D9D9E3"/>
                                          </w:divBdr>
                                          <w:divsChild>
                                            <w:div w:id="1241911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44646119">
          <w:marLeft w:val="0"/>
          <w:marRight w:val="0"/>
          <w:marTop w:val="0"/>
          <w:marBottom w:val="0"/>
          <w:divBdr>
            <w:top w:val="none" w:sz="0" w:space="0" w:color="auto"/>
            <w:left w:val="none" w:sz="0" w:space="0" w:color="auto"/>
            <w:bottom w:val="none" w:sz="0" w:space="0" w:color="auto"/>
            <w:right w:val="none" w:sz="0" w:space="0" w:color="auto"/>
          </w:divBdr>
        </w:div>
      </w:divsChild>
    </w:div>
    <w:div w:id="232158535">
      <w:bodyDiv w:val="1"/>
      <w:marLeft w:val="0"/>
      <w:marRight w:val="0"/>
      <w:marTop w:val="0"/>
      <w:marBottom w:val="0"/>
      <w:divBdr>
        <w:top w:val="none" w:sz="0" w:space="0" w:color="auto"/>
        <w:left w:val="none" w:sz="0" w:space="0" w:color="auto"/>
        <w:bottom w:val="none" w:sz="0" w:space="0" w:color="auto"/>
        <w:right w:val="none" w:sz="0" w:space="0" w:color="auto"/>
      </w:divBdr>
    </w:div>
    <w:div w:id="239675233">
      <w:bodyDiv w:val="1"/>
      <w:marLeft w:val="0"/>
      <w:marRight w:val="0"/>
      <w:marTop w:val="0"/>
      <w:marBottom w:val="0"/>
      <w:divBdr>
        <w:top w:val="none" w:sz="0" w:space="0" w:color="auto"/>
        <w:left w:val="none" w:sz="0" w:space="0" w:color="auto"/>
        <w:bottom w:val="none" w:sz="0" w:space="0" w:color="auto"/>
        <w:right w:val="none" w:sz="0" w:space="0" w:color="auto"/>
      </w:divBdr>
    </w:div>
    <w:div w:id="242109184">
      <w:bodyDiv w:val="1"/>
      <w:marLeft w:val="0"/>
      <w:marRight w:val="0"/>
      <w:marTop w:val="0"/>
      <w:marBottom w:val="0"/>
      <w:divBdr>
        <w:top w:val="none" w:sz="0" w:space="0" w:color="auto"/>
        <w:left w:val="none" w:sz="0" w:space="0" w:color="auto"/>
        <w:bottom w:val="none" w:sz="0" w:space="0" w:color="auto"/>
        <w:right w:val="none" w:sz="0" w:space="0" w:color="auto"/>
      </w:divBdr>
    </w:div>
    <w:div w:id="247082280">
      <w:bodyDiv w:val="1"/>
      <w:marLeft w:val="0"/>
      <w:marRight w:val="0"/>
      <w:marTop w:val="0"/>
      <w:marBottom w:val="0"/>
      <w:divBdr>
        <w:top w:val="none" w:sz="0" w:space="0" w:color="auto"/>
        <w:left w:val="none" w:sz="0" w:space="0" w:color="auto"/>
        <w:bottom w:val="none" w:sz="0" w:space="0" w:color="auto"/>
        <w:right w:val="none" w:sz="0" w:space="0" w:color="auto"/>
      </w:divBdr>
    </w:div>
    <w:div w:id="250696685">
      <w:bodyDiv w:val="1"/>
      <w:marLeft w:val="0"/>
      <w:marRight w:val="0"/>
      <w:marTop w:val="0"/>
      <w:marBottom w:val="0"/>
      <w:divBdr>
        <w:top w:val="none" w:sz="0" w:space="0" w:color="auto"/>
        <w:left w:val="none" w:sz="0" w:space="0" w:color="auto"/>
        <w:bottom w:val="none" w:sz="0" w:space="0" w:color="auto"/>
        <w:right w:val="none" w:sz="0" w:space="0" w:color="auto"/>
      </w:divBdr>
    </w:div>
    <w:div w:id="252009476">
      <w:bodyDiv w:val="1"/>
      <w:marLeft w:val="0"/>
      <w:marRight w:val="0"/>
      <w:marTop w:val="0"/>
      <w:marBottom w:val="0"/>
      <w:divBdr>
        <w:top w:val="none" w:sz="0" w:space="0" w:color="auto"/>
        <w:left w:val="none" w:sz="0" w:space="0" w:color="auto"/>
        <w:bottom w:val="none" w:sz="0" w:space="0" w:color="auto"/>
        <w:right w:val="none" w:sz="0" w:space="0" w:color="auto"/>
      </w:divBdr>
    </w:div>
    <w:div w:id="253825287">
      <w:bodyDiv w:val="1"/>
      <w:marLeft w:val="0"/>
      <w:marRight w:val="0"/>
      <w:marTop w:val="0"/>
      <w:marBottom w:val="0"/>
      <w:divBdr>
        <w:top w:val="none" w:sz="0" w:space="0" w:color="auto"/>
        <w:left w:val="none" w:sz="0" w:space="0" w:color="auto"/>
        <w:bottom w:val="none" w:sz="0" w:space="0" w:color="auto"/>
        <w:right w:val="none" w:sz="0" w:space="0" w:color="auto"/>
      </w:divBdr>
    </w:div>
    <w:div w:id="266550234">
      <w:bodyDiv w:val="1"/>
      <w:marLeft w:val="0"/>
      <w:marRight w:val="0"/>
      <w:marTop w:val="0"/>
      <w:marBottom w:val="0"/>
      <w:divBdr>
        <w:top w:val="none" w:sz="0" w:space="0" w:color="auto"/>
        <w:left w:val="none" w:sz="0" w:space="0" w:color="auto"/>
        <w:bottom w:val="none" w:sz="0" w:space="0" w:color="auto"/>
        <w:right w:val="none" w:sz="0" w:space="0" w:color="auto"/>
      </w:divBdr>
    </w:div>
    <w:div w:id="268776986">
      <w:bodyDiv w:val="1"/>
      <w:marLeft w:val="0"/>
      <w:marRight w:val="0"/>
      <w:marTop w:val="0"/>
      <w:marBottom w:val="0"/>
      <w:divBdr>
        <w:top w:val="none" w:sz="0" w:space="0" w:color="auto"/>
        <w:left w:val="none" w:sz="0" w:space="0" w:color="auto"/>
        <w:bottom w:val="none" w:sz="0" w:space="0" w:color="auto"/>
        <w:right w:val="none" w:sz="0" w:space="0" w:color="auto"/>
      </w:divBdr>
    </w:div>
    <w:div w:id="273564429">
      <w:bodyDiv w:val="1"/>
      <w:marLeft w:val="0"/>
      <w:marRight w:val="0"/>
      <w:marTop w:val="0"/>
      <w:marBottom w:val="0"/>
      <w:divBdr>
        <w:top w:val="none" w:sz="0" w:space="0" w:color="auto"/>
        <w:left w:val="none" w:sz="0" w:space="0" w:color="auto"/>
        <w:bottom w:val="none" w:sz="0" w:space="0" w:color="auto"/>
        <w:right w:val="none" w:sz="0" w:space="0" w:color="auto"/>
      </w:divBdr>
      <w:divsChild>
        <w:div w:id="1919097858">
          <w:marLeft w:val="0"/>
          <w:marRight w:val="0"/>
          <w:marTop w:val="0"/>
          <w:marBottom w:val="0"/>
          <w:divBdr>
            <w:top w:val="none" w:sz="0" w:space="0" w:color="auto"/>
            <w:left w:val="none" w:sz="0" w:space="0" w:color="auto"/>
            <w:bottom w:val="none" w:sz="0" w:space="0" w:color="auto"/>
            <w:right w:val="none" w:sz="0" w:space="0" w:color="auto"/>
          </w:divBdr>
        </w:div>
      </w:divsChild>
    </w:div>
    <w:div w:id="275210770">
      <w:bodyDiv w:val="1"/>
      <w:marLeft w:val="0"/>
      <w:marRight w:val="0"/>
      <w:marTop w:val="0"/>
      <w:marBottom w:val="0"/>
      <w:divBdr>
        <w:top w:val="none" w:sz="0" w:space="0" w:color="auto"/>
        <w:left w:val="none" w:sz="0" w:space="0" w:color="auto"/>
        <w:bottom w:val="none" w:sz="0" w:space="0" w:color="auto"/>
        <w:right w:val="none" w:sz="0" w:space="0" w:color="auto"/>
      </w:divBdr>
    </w:div>
    <w:div w:id="276836879">
      <w:bodyDiv w:val="1"/>
      <w:marLeft w:val="0"/>
      <w:marRight w:val="0"/>
      <w:marTop w:val="0"/>
      <w:marBottom w:val="0"/>
      <w:divBdr>
        <w:top w:val="none" w:sz="0" w:space="0" w:color="auto"/>
        <w:left w:val="none" w:sz="0" w:space="0" w:color="auto"/>
        <w:bottom w:val="none" w:sz="0" w:space="0" w:color="auto"/>
        <w:right w:val="none" w:sz="0" w:space="0" w:color="auto"/>
      </w:divBdr>
    </w:div>
    <w:div w:id="277176817">
      <w:bodyDiv w:val="1"/>
      <w:marLeft w:val="0"/>
      <w:marRight w:val="0"/>
      <w:marTop w:val="0"/>
      <w:marBottom w:val="0"/>
      <w:divBdr>
        <w:top w:val="none" w:sz="0" w:space="0" w:color="auto"/>
        <w:left w:val="none" w:sz="0" w:space="0" w:color="auto"/>
        <w:bottom w:val="none" w:sz="0" w:space="0" w:color="auto"/>
        <w:right w:val="none" w:sz="0" w:space="0" w:color="auto"/>
      </w:divBdr>
    </w:div>
    <w:div w:id="285816412">
      <w:bodyDiv w:val="1"/>
      <w:marLeft w:val="0"/>
      <w:marRight w:val="0"/>
      <w:marTop w:val="0"/>
      <w:marBottom w:val="0"/>
      <w:divBdr>
        <w:top w:val="none" w:sz="0" w:space="0" w:color="auto"/>
        <w:left w:val="none" w:sz="0" w:space="0" w:color="auto"/>
        <w:bottom w:val="none" w:sz="0" w:space="0" w:color="auto"/>
        <w:right w:val="none" w:sz="0" w:space="0" w:color="auto"/>
      </w:divBdr>
    </w:div>
    <w:div w:id="293486930">
      <w:bodyDiv w:val="1"/>
      <w:marLeft w:val="0"/>
      <w:marRight w:val="0"/>
      <w:marTop w:val="0"/>
      <w:marBottom w:val="0"/>
      <w:divBdr>
        <w:top w:val="none" w:sz="0" w:space="0" w:color="auto"/>
        <w:left w:val="none" w:sz="0" w:space="0" w:color="auto"/>
        <w:bottom w:val="none" w:sz="0" w:space="0" w:color="auto"/>
        <w:right w:val="none" w:sz="0" w:space="0" w:color="auto"/>
      </w:divBdr>
    </w:div>
    <w:div w:id="294602376">
      <w:bodyDiv w:val="1"/>
      <w:marLeft w:val="0"/>
      <w:marRight w:val="0"/>
      <w:marTop w:val="0"/>
      <w:marBottom w:val="0"/>
      <w:divBdr>
        <w:top w:val="none" w:sz="0" w:space="0" w:color="auto"/>
        <w:left w:val="none" w:sz="0" w:space="0" w:color="auto"/>
        <w:bottom w:val="none" w:sz="0" w:space="0" w:color="auto"/>
        <w:right w:val="none" w:sz="0" w:space="0" w:color="auto"/>
      </w:divBdr>
    </w:div>
    <w:div w:id="305010555">
      <w:bodyDiv w:val="1"/>
      <w:marLeft w:val="0"/>
      <w:marRight w:val="0"/>
      <w:marTop w:val="0"/>
      <w:marBottom w:val="0"/>
      <w:divBdr>
        <w:top w:val="none" w:sz="0" w:space="0" w:color="auto"/>
        <w:left w:val="none" w:sz="0" w:space="0" w:color="auto"/>
        <w:bottom w:val="none" w:sz="0" w:space="0" w:color="auto"/>
        <w:right w:val="none" w:sz="0" w:space="0" w:color="auto"/>
      </w:divBdr>
      <w:divsChild>
        <w:div w:id="309411431">
          <w:marLeft w:val="0"/>
          <w:marRight w:val="0"/>
          <w:marTop w:val="0"/>
          <w:marBottom w:val="0"/>
          <w:divBdr>
            <w:top w:val="none" w:sz="0" w:space="0" w:color="auto"/>
            <w:left w:val="none" w:sz="0" w:space="0" w:color="auto"/>
            <w:bottom w:val="none" w:sz="0" w:space="0" w:color="auto"/>
            <w:right w:val="none" w:sz="0" w:space="0" w:color="auto"/>
          </w:divBdr>
        </w:div>
        <w:div w:id="1660038794">
          <w:marLeft w:val="0"/>
          <w:marRight w:val="0"/>
          <w:marTop w:val="0"/>
          <w:marBottom w:val="0"/>
          <w:divBdr>
            <w:top w:val="single" w:sz="2" w:space="0" w:color="D9D9E3"/>
            <w:left w:val="single" w:sz="2" w:space="0" w:color="D9D9E3"/>
            <w:bottom w:val="single" w:sz="2" w:space="0" w:color="D9D9E3"/>
            <w:right w:val="single" w:sz="2" w:space="0" w:color="D9D9E3"/>
          </w:divBdr>
          <w:divsChild>
            <w:div w:id="1750033037">
              <w:marLeft w:val="0"/>
              <w:marRight w:val="0"/>
              <w:marTop w:val="0"/>
              <w:marBottom w:val="0"/>
              <w:divBdr>
                <w:top w:val="single" w:sz="2" w:space="0" w:color="D9D9E3"/>
                <w:left w:val="single" w:sz="2" w:space="0" w:color="D9D9E3"/>
                <w:bottom w:val="single" w:sz="2" w:space="0" w:color="D9D9E3"/>
                <w:right w:val="single" w:sz="2" w:space="0" w:color="D9D9E3"/>
              </w:divBdr>
              <w:divsChild>
                <w:div w:id="594173658">
                  <w:marLeft w:val="0"/>
                  <w:marRight w:val="0"/>
                  <w:marTop w:val="0"/>
                  <w:marBottom w:val="0"/>
                  <w:divBdr>
                    <w:top w:val="single" w:sz="2" w:space="0" w:color="D9D9E3"/>
                    <w:left w:val="single" w:sz="2" w:space="0" w:color="D9D9E3"/>
                    <w:bottom w:val="single" w:sz="2" w:space="0" w:color="D9D9E3"/>
                    <w:right w:val="single" w:sz="2" w:space="0" w:color="D9D9E3"/>
                  </w:divBdr>
                  <w:divsChild>
                    <w:div w:id="2022512392">
                      <w:marLeft w:val="0"/>
                      <w:marRight w:val="0"/>
                      <w:marTop w:val="0"/>
                      <w:marBottom w:val="0"/>
                      <w:divBdr>
                        <w:top w:val="single" w:sz="2" w:space="0" w:color="D9D9E3"/>
                        <w:left w:val="single" w:sz="2" w:space="0" w:color="D9D9E3"/>
                        <w:bottom w:val="single" w:sz="2" w:space="0" w:color="D9D9E3"/>
                        <w:right w:val="single" w:sz="2" w:space="0" w:color="D9D9E3"/>
                      </w:divBdr>
                      <w:divsChild>
                        <w:div w:id="270936457">
                          <w:marLeft w:val="0"/>
                          <w:marRight w:val="0"/>
                          <w:marTop w:val="0"/>
                          <w:marBottom w:val="0"/>
                          <w:divBdr>
                            <w:top w:val="single" w:sz="2" w:space="0" w:color="auto"/>
                            <w:left w:val="single" w:sz="2" w:space="0" w:color="auto"/>
                            <w:bottom w:val="single" w:sz="6" w:space="0" w:color="auto"/>
                            <w:right w:val="single" w:sz="2" w:space="0" w:color="auto"/>
                          </w:divBdr>
                          <w:divsChild>
                            <w:div w:id="1010110559">
                              <w:marLeft w:val="0"/>
                              <w:marRight w:val="0"/>
                              <w:marTop w:val="100"/>
                              <w:marBottom w:val="100"/>
                              <w:divBdr>
                                <w:top w:val="single" w:sz="2" w:space="0" w:color="D9D9E3"/>
                                <w:left w:val="single" w:sz="2" w:space="0" w:color="D9D9E3"/>
                                <w:bottom w:val="single" w:sz="2" w:space="0" w:color="D9D9E3"/>
                                <w:right w:val="single" w:sz="2" w:space="0" w:color="D9D9E3"/>
                              </w:divBdr>
                              <w:divsChild>
                                <w:div w:id="261492341">
                                  <w:marLeft w:val="0"/>
                                  <w:marRight w:val="0"/>
                                  <w:marTop w:val="0"/>
                                  <w:marBottom w:val="0"/>
                                  <w:divBdr>
                                    <w:top w:val="single" w:sz="2" w:space="0" w:color="D9D9E3"/>
                                    <w:left w:val="single" w:sz="2" w:space="0" w:color="D9D9E3"/>
                                    <w:bottom w:val="single" w:sz="2" w:space="0" w:color="D9D9E3"/>
                                    <w:right w:val="single" w:sz="2" w:space="0" w:color="D9D9E3"/>
                                  </w:divBdr>
                                  <w:divsChild>
                                    <w:div w:id="1754280096">
                                      <w:marLeft w:val="0"/>
                                      <w:marRight w:val="0"/>
                                      <w:marTop w:val="0"/>
                                      <w:marBottom w:val="0"/>
                                      <w:divBdr>
                                        <w:top w:val="single" w:sz="2" w:space="0" w:color="D9D9E3"/>
                                        <w:left w:val="single" w:sz="2" w:space="0" w:color="D9D9E3"/>
                                        <w:bottom w:val="single" w:sz="2" w:space="0" w:color="D9D9E3"/>
                                        <w:right w:val="single" w:sz="2" w:space="0" w:color="D9D9E3"/>
                                      </w:divBdr>
                                      <w:divsChild>
                                        <w:div w:id="1095898553">
                                          <w:marLeft w:val="0"/>
                                          <w:marRight w:val="0"/>
                                          <w:marTop w:val="0"/>
                                          <w:marBottom w:val="0"/>
                                          <w:divBdr>
                                            <w:top w:val="single" w:sz="2" w:space="0" w:color="D9D9E3"/>
                                            <w:left w:val="single" w:sz="2" w:space="0" w:color="D9D9E3"/>
                                            <w:bottom w:val="single" w:sz="2" w:space="0" w:color="D9D9E3"/>
                                            <w:right w:val="single" w:sz="2" w:space="0" w:color="D9D9E3"/>
                                          </w:divBdr>
                                          <w:divsChild>
                                            <w:div w:id="8280549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13580971">
                          <w:marLeft w:val="0"/>
                          <w:marRight w:val="0"/>
                          <w:marTop w:val="0"/>
                          <w:marBottom w:val="0"/>
                          <w:divBdr>
                            <w:top w:val="single" w:sz="2" w:space="0" w:color="auto"/>
                            <w:left w:val="single" w:sz="2" w:space="0" w:color="auto"/>
                            <w:bottom w:val="single" w:sz="6" w:space="0" w:color="auto"/>
                            <w:right w:val="single" w:sz="2" w:space="0" w:color="auto"/>
                          </w:divBdr>
                          <w:divsChild>
                            <w:div w:id="2046251065">
                              <w:marLeft w:val="0"/>
                              <w:marRight w:val="0"/>
                              <w:marTop w:val="100"/>
                              <w:marBottom w:val="100"/>
                              <w:divBdr>
                                <w:top w:val="single" w:sz="2" w:space="0" w:color="D9D9E3"/>
                                <w:left w:val="single" w:sz="2" w:space="0" w:color="D9D9E3"/>
                                <w:bottom w:val="single" w:sz="2" w:space="0" w:color="D9D9E3"/>
                                <w:right w:val="single" w:sz="2" w:space="0" w:color="D9D9E3"/>
                              </w:divBdr>
                              <w:divsChild>
                                <w:div w:id="1498421139">
                                  <w:marLeft w:val="0"/>
                                  <w:marRight w:val="0"/>
                                  <w:marTop w:val="0"/>
                                  <w:marBottom w:val="0"/>
                                  <w:divBdr>
                                    <w:top w:val="single" w:sz="2" w:space="0" w:color="D9D9E3"/>
                                    <w:left w:val="single" w:sz="2" w:space="0" w:color="D9D9E3"/>
                                    <w:bottom w:val="single" w:sz="2" w:space="0" w:color="D9D9E3"/>
                                    <w:right w:val="single" w:sz="2" w:space="0" w:color="D9D9E3"/>
                                  </w:divBdr>
                                  <w:divsChild>
                                    <w:div w:id="1216357377">
                                      <w:marLeft w:val="0"/>
                                      <w:marRight w:val="0"/>
                                      <w:marTop w:val="0"/>
                                      <w:marBottom w:val="0"/>
                                      <w:divBdr>
                                        <w:top w:val="single" w:sz="2" w:space="0" w:color="D9D9E3"/>
                                        <w:left w:val="single" w:sz="2" w:space="0" w:color="D9D9E3"/>
                                        <w:bottom w:val="single" w:sz="2" w:space="0" w:color="D9D9E3"/>
                                        <w:right w:val="single" w:sz="2" w:space="0" w:color="D9D9E3"/>
                                      </w:divBdr>
                                      <w:divsChild>
                                        <w:div w:id="5344676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82256488">
                                  <w:marLeft w:val="0"/>
                                  <w:marRight w:val="0"/>
                                  <w:marTop w:val="0"/>
                                  <w:marBottom w:val="0"/>
                                  <w:divBdr>
                                    <w:top w:val="single" w:sz="2" w:space="0" w:color="D9D9E3"/>
                                    <w:left w:val="single" w:sz="2" w:space="0" w:color="D9D9E3"/>
                                    <w:bottom w:val="single" w:sz="2" w:space="0" w:color="D9D9E3"/>
                                    <w:right w:val="single" w:sz="2" w:space="0" w:color="D9D9E3"/>
                                  </w:divBdr>
                                  <w:divsChild>
                                    <w:div w:id="20587732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72526978">
                          <w:marLeft w:val="0"/>
                          <w:marRight w:val="0"/>
                          <w:marTop w:val="0"/>
                          <w:marBottom w:val="0"/>
                          <w:divBdr>
                            <w:top w:val="single" w:sz="2" w:space="0" w:color="auto"/>
                            <w:left w:val="single" w:sz="2" w:space="0" w:color="auto"/>
                            <w:bottom w:val="single" w:sz="6" w:space="0" w:color="auto"/>
                            <w:right w:val="single" w:sz="2" w:space="0" w:color="auto"/>
                          </w:divBdr>
                          <w:divsChild>
                            <w:div w:id="1282103078">
                              <w:marLeft w:val="0"/>
                              <w:marRight w:val="0"/>
                              <w:marTop w:val="100"/>
                              <w:marBottom w:val="100"/>
                              <w:divBdr>
                                <w:top w:val="single" w:sz="2" w:space="0" w:color="D9D9E3"/>
                                <w:left w:val="single" w:sz="2" w:space="0" w:color="D9D9E3"/>
                                <w:bottom w:val="single" w:sz="2" w:space="0" w:color="D9D9E3"/>
                                <w:right w:val="single" w:sz="2" w:space="0" w:color="D9D9E3"/>
                              </w:divBdr>
                              <w:divsChild>
                                <w:div w:id="1253516095">
                                  <w:marLeft w:val="0"/>
                                  <w:marRight w:val="0"/>
                                  <w:marTop w:val="0"/>
                                  <w:marBottom w:val="0"/>
                                  <w:divBdr>
                                    <w:top w:val="single" w:sz="2" w:space="0" w:color="D9D9E3"/>
                                    <w:left w:val="single" w:sz="2" w:space="0" w:color="D9D9E3"/>
                                    <w:bottom w:val="single" w:sz="2" w:space="0" w:color="D9D9E3"/>
                                    <w:right w:val="single" w:sz="2" w:space="0" w:color="D9D9E3"/>
                                  </w:divBdr>
                                  <w:divsChild>
                                    <w:div w:id="1269309074">
                                      <w:marLeft w:val="0"/>
                                      <w:marRight w:val="0"/>
                                      <w:marTop w:val="0"/>
                                      <w:marBottom w:val="0"/>
                                      <w:divBdr>
                                        <w:top w:val="single" w:sz="2" w:space="0" w:color="D9D9E3"/>
                                        <w:left w:val="single" w:sz="2" w:space="0" w:color="D9D9E3"/>
                                        <w:bottom w:val="single" w:sz="2" w:space="0" w:color="D9D9E3"/>
                                        <w:right w:val="single" w:sz="2" w:space="0" w:color="D9D9E3"/>
                                      </w:divBdr>
                                      <w:divsChild>
                                        <w:div w:id="1329749691">
                                          <w:marLeft w:val="0"/>
                                          <w:marRight w:val="0"/>
                                          <w:marTop w:val="0"/>
                                          <w:marBottom w:val="0"/>
                                          <w:divBdr>
                                            <w:top w:val="single" w:sz="2" w:space="0" w:color="D9D9E3"/>
                                            <w:left w:val="single" w:sz="2" w:space="0" w:color="D9D9E3"/>
                                            <w:bottom w:val="single" w:sz="2" w:space="0" w:color="D9D9E3"/>
                                            <w:right w:val="single" w:sz="2" w:space="0" w:color="D9D9E3"/>
                                          </w:divBdr>
                                          <w:divsChild>
                                            <w:div w:id="8176484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313922458">
      <w:bodyDiv w:val="1"/>
      <w:marLeft w:val="0"/>
      <w:marRight w:val="0"/>
      <w:marTop w:val="0"/>
      <w:marBottom w:val="0"/>
      <w:divBdr>
        <w:top w:val="none" w:sz="0" w:space="0" w:color="auto"/>
        <w:left w:val="none" w:sz="0" w:space="0" w:color="auto"/>
        <w:bottom w:val="none" w:sz="0" w:space="0" w:color="auto"/>
        <w:right w:val="none" w:sz="0" w:space="0" w:color="auto"/>
      </w:divBdr>
      <w:divsChild>
        <w:div w:id="1482229667">
          <w:marLeft w:val="0"/>
          <w:marRight w:val="0"/>
          <w:marTop w:val="0"/>
          <w:marBottom w:val="0"/>
          <w:divBdr>
            <w:top w:val="none" w:sz="0" w:space="0" w:color="auto"/>
            <w:left w:val="none" w:sz="0" w:space="0" w:color="auto"/>
            <w:bottom w:val="none" w:sz="0" w:space="0" w:color="auto"/>
            <w:right w:val="none" w:sz="0" w:space="0" w:color="auto"/>
          </w:divBdr>
        </w:div>
      </w:divsChild>
    </w:div>
    <w:div w:id="319891479">
      <w:bodyDiv w:val="1"/>
      <w:marLeft w:val="0"/>
      <w:marRight w:val="0"/>
      <w:marTop w:val="0"/>
      <w:marBottom w:val="0"/>
      <w:divBdr>
        <w:top w:val="none" w:sz="0" w:space="0" w:color="auto"/>
        <w:left w:val="none" w:sz="0" w:space="0" w:color="auto"/>
        <w:bottom w:val="none" w:sz="0" w:space="0" w:color="auto"/>
        <w:right w:val="none" w:sz="0" w:space="0" w:color="auto"/>
      </w:divBdr>
    </w:div>
    <w:div w:id="327439227">
      <w:bodyDiv w:val="1"/>
      <w:marLeft w:val="0"/>
      <w:marRight w:val="0"/>
      <w:marTop w:val="0"/>
      <w:marBottom w:val="0"/>
      <w:divBdr>
        <w:top w:val="none" w:sz="0" w:space="0" w:color="auto"/>
        <w:left w:val="none" w:sz="0" w:space="0" w:color="auto"/>
        <w:bottom w:val="none" w:sz="0" w:space="0" w:color="auto"/>
        <w:right w:val="none" w:sz="0" w:space="0" w:color="auto"/>
      </w:divBdr>
    </w:div>
    <w:div w:id="329718809">
      <w:bodyDiv w:val="1"/>
      <w:marLeft w:val="0"/>
      <w:marRight w:val="0"/>
      <w:marTop w:val="0"/>
      <w:marBottom w:val="0"/>
      <w:divBdr>
        <w:top w:val="none" w:sz="0" w:space="0" w:color="auto"/>
        <w:left w:val="none" w:sz="0" w:space="0" w:color="auto"/>
        <w:bottom w:val="none" w:sz="0" w:space="0" w:color="auto"/>
        <w:right w:val="none" w:sz="0" w:space="0" w:color="auto"/>
      </w:divBdr>
      <w:divsChild>
        <w:div w:id="2078044521">
          <w:marLeft w:val="0"/>
          <w:marRight w:val="0"/>
          <w:marTop w:val="0"/>
          <w:marBottom w:val="0"/>
          <w:divBdr>
            <w:top w:val="none" w:sz="0" w:space="0" w:color="auto"/>
            <w:left w:val="none" w:sz="0" w:space="0" w:color="auto"/>
            <w:bottom w:val="none" w:sz="0" w:space="0" w:color="auto"/>
            <w:right w:val="none" w:sz="0" w:space="0" w:color="auto"/>
          </w:divBdr>
        </w:div>
      </w:divsChild>
    </w:div>
    <w:div w:id="334695065">
      <w:bodyDiv w:val="1"/>
      <w:marLeft w:val="0"/>
      <w:marRight w:val="0"/>
      <w:marTop w:val="0"/>
      <w:marBottom w:val="0"/>
      <w:divBdr>
        <w:top w:val="none" w:sz="0" w:space="0" w:color="auto"/>
        <w:left w:val="none" w:sz="0" w:space="0" w:color="auto"/>
        <w:bottom w:val="none" w:sz="0" w:space="0" w:color="auto"/>
        <w:right w:val="none" w:sz="0" w:space="0" w:color="auto"/>
      </w:divBdr>
    </w:div>
    <w:div w:id="336617553">
      <w:bodyDiv w:val="1"/>
      <w:marLeft w:val="0"/>
      <w:marRight w:val="0"/>
      <w:marTop w:val="0"/>
      <w:marBottom w:val="0"/>
      <w:divBdr>
        <w:top w:val="none" w:sz="0" w:space="0" w:color="auto"/>
        <w:left w:val="none" w:sz="0" w:space="0" w:color="auto"/>
        <w:bottom w:val="none" w:sz="0" w:space="0" w:color="auto"/>
        <w:right w:val="none" w:sz="0" w:space="0" w:color="auto"/>
      </w:divBdr>
      <w:divsChild>
        <w:div w:id="1691101184">
          <w:marLeft w:val="0"/>
          <w:marRight w:val="0"/>
          <w:marTop w:val="0"/>
          <w:marBottom w:val="0"/>
          <w:divBdr>
            <w:top w:val="none" w:sz="0" w:space="0" w:color="auto"/>
            <w:left w:val="none" w:sz="0" w:space="0" w:color="auto"/>
            <w:bottom w:val="none" w:sz="0" w:space="0" w:color="auto"/>
            <w:right w:val="none" w:sz="0" w:space="0" w:color="auto"/>
          </w:divBdr>
        </w:div>
      </w:divsChild>
    </w:div>
    <w:div w:id="341130039">
      <w:bodyDiv w:val="1"/>
      <w:marLeft w:val="0"/>
      <w:marRight w:val="0"/>
      <w:marTop w:val="0"/>
      <w:marBottom w:val="0"/>
      <w:divBdr>
        <w:top w:val="none" w:sz="0" w:space="0" w:color="auto"/>
        <w:left w:val="none" w:sz="0" w:space="0" w:color="auto"/>
        <w:bottom w:val="none" w:sz="0" w:space="0" w:color="auto"/>
        <w:right w:val="none" w:sz="0" w:space="0" w:color="auto"/>
      </w:divBdr>
    </w:div>
    <w:div w:id="343439115">
      <w:bodyDiv w:val="1"/>
      <w:marLeft w:val="0"/>
      <w:marRight w:val="0"/>
      <w:marTop w:val="0"/>
      <w:marBottom w:val="0"/>
      <w:divBdr>
        <w:top w:val="none" w:sz="0" w:space="0" w:color="auto"/>
        <w:left w:val="none" w:sz="0" w:space="0" w:color="auto"/>
        <w:bottom w:val="none" w:sz="0" w:space="0" w:color="auto"/>
        <w:right w:val="none" w:sz="0" w:space="0" w:color="auto"/>
      </w:divBdr>
    </w:div>
    <w:div w:id="351760505">
      <w:bodyDiv w:val="1"/>
      <w:marLeft w:val="0"/>
      <w:marRight w:val="0"/>
      <w:marTop w:val="0"/>
      <w:marBottom w:val="0"/>
      <w:divBdr>
        <w:top w:val="none" w:sz="0" w:space="0" w:color="auto"/>
        <w:left w:val="none" w:sz="0" w:space="0" w:color="auto"/>
        <w:bottom w:val="none" w:sz="0" w:space="0" w:color="auto"/>
        <w:right w:val="none" w:sz="0" w:space="0" w:color="auto"/>
      </w:divBdr>
    </w:div>
    <w:div w:id="367681548">
      <w:bodyDiv w:val="1"/>
      <w:marLeft w:val="0"/>
      <w:marRight w:val="0"/>
      <w:marTop w:val="0"/>
      <w:marBottom w:val="0"/>
      <w:divBdr>
        <w:top w:val="none" w:sz="0" w:space="0" w:color="auto"/>
        <w:left w:val="none" w:sz="0" w:space="0" w:color="auto"/>
        <w:bottom w:val="none" w:sz="0" w:space="0" w:color="auto"/>
        <w:right w:val="none" w:sz="0" w:space="0" w:color="auto"/>
      </w:divBdr>
    </w:div>
    <w:div w:id="372191137">
      <w:bodyDiv w:val="1"/>
      <w:marLeft w:val="0"/>
      <w:marRight w:val="0"/>
      <w:marTop w:val="0"/>
      <w:marBottom w:val="0"/>
      <w:divBdr>
        <w:top w:val="none" w:sz="0" w:space="0" w:color="auto"/>
        <w:left w:val="none" w:sz="0" w:space="0" w:color="auto"/>
        <w:bottom w:val="none" w:sz="0" w:space="0" w:color="auto"/>
        <w:right w:val="none" w:sz="0" w:space="0" w:color="auto"/>
      </w:divBdr>
    </w:div>
    <w:div w:id="375593352">
      <w:bodyDiv w:val="1"/>
      <w:marLeft w:val="0"/>
      <w:marRight w:val="0"/>
      <w:marTop w:val="0"/>
      <w:marBottom w:val="0"/>
      <w:divBdr>
        <w:top w:val="none" w:sz="0" w:space="0" w:color="auto"/>
        <w:left w:val="none" w:sz="0" w:space="0" w:color="auto"/>
        <w:bottom w:val="none" w:sz="0" w:space="0" w:color="auto"/>
        <w:right w:val="none" w:sz="0" w:space="0" w:color="auto"/>
      </w:divBdr>
    </w:div>
    <w:div w:id="385418916">
      <w:bodyDiv w:val="1"/>
      <w:marLeft w:val="0"/>
      <w:marRight w:val="0"/>
      <w:marTop w:val="0"/>
      <w:marBottom w:val="0"/>
      <w:divBdr>
        <w:top w:val="none" w:sz="0" w:space="0" w:color="auto"/>
        <w:left w:val="none" w:sz="0" w:space="0" w:color="auto"/>
        <w:bottom w:val="none" w:sz="0" w:space="0" w:color="auto"/>
        <w:right w:val="none" w:sz="0" w:space="0" w:color="auto"/>
      </w:divBdr>
    </w:div>
    <w:div w:id="386799956">
      <w:bodyDiv w:val="1"/>
      <w:marLeft w:val="0"/>
      <w:marRight w:val="0"/>
      <w:marTop w:val="0"/>
      <w:marBottom w:val="0"/>
      <w:divBdr>
        <w:top w:val="none" w:sz="0" w:space="0" w:color="auto"/>
        <w:left w:val="none" w:sz="0" w:space="0" w:color="auto"/>
        <w:bottom w:val="none" w:sz="0" w:space="0" w:color="auto"/>
        <w:right w:val="none" w:sz="0" w:space="0" w:color="auto"/>
      </w:divBdr>
      <w:divsChild>
        <w:div w:id="646130725">
          <w:marLeft w:val="0"/>
          <w:marRight w:val="0"/>
          <w:marTop w:val="0"/>
          <w:marBottom w:val="0"/>
          <w:divBdr>
            <w:top w:val="none" w:sz="0" w:space="0" w:color="auto"/>
            <w:left w:val="none" w:sz="0" w:space="0" w:color="auto"/>
            <w:bottom w:val="none" w:sz="0" w:space="0" w:color="auto"/>
            <w:right w:val="none" w:sz="0" w:space="0" w:color="auto"/>
          </w:divBdr>
        </w:div>
      </w:divsChild>
    </w:div>
    <w:div w:id="387146947">
      <w:bodyDiv w:val="1"/>
      <w:marLeft w:val="0"/>
      <w:marRight w:val="0"/>
      <w:marTop w:val="0"/>
      <w:marBottom w:val="0"/>
      <w:divBdr>
        <w:top w:val="none" w:sz="0" w:space="0" w:color="auto"/>
        <w:left w:val="none" w:sz="0" w:space="0" w:color="auto"/>
        <w:bottom w:val="none" w:sz="0" w:space="0" w:color="auto"/>
        <w:right w:val="none" w:sz="0" w:space="0" w:color="auto"/>
      </w:divBdr>
    </w:div>
    <w:div w:id="392119992">
      <w:bodyDiv w:val="1"/>
      <w:marLeft w:val="0"/>
      <w:marRight w:val="0"/>
      <w:marTop w:val="0"/>
      <w:marBottom w:val="0"/>
      <w:divBdr>
        <w:top w:val="none" w:sz="0" w:space="0" w:color="auto"/>
        <w:left w:val="none" w:sz="0" w:space="0" w:color="auto"/>
        <w:bottom w:val="none" w:sz="0" w:space="0" w:color="auto"/>
        <w:right w:val="none" w:sz="0" w:space="0" w:color="auto"/>
      </w:divBdr>
    </w:div>
    <w:div w:id="403990713">
      <w:bodyDiv w:val="1"/>
      <w:marLeft w:val="0"/>
      <w:marRight w:val="0"/>
      <w:marTop w:val="0"/>
      <w:marBottom w:val="0"/>
      <w:divBdr>
        <w:top w:val="none" w:sz="0" w:space="0" w:color="auto"/>
        <w:left w:val="none" w:sz="0" w:space="0" w:color="auto"/>
        <w:bottom w:val="none" w:sz="0" w:space="0" w:color="auto"/>
        <w:right w:val="none" w:sz="0" w:space="0" w:color="auto"/>
      </w:divBdr>
    </w:div>
    <w:div w:id="406149480">
      <w:bodyDiv w:val="1"/>
      <w:marLeft w:val="0"/>
      <w:marRight w:val="0"/>
      <w:marTop w:val="0"/>
      <w:marBottom w:val="0"/>
      <w:divBdr>
        <w:top w:val="none" w:sz="0" w:space="0" w:color="auto"/>
        <w:left w:val="none" w:sz="0" w:space="0" w:color="auto"/>
        <w:bottom w:val="none" w:sz="0" w:space="0" w:color="auto"/>
        <w:right w:val="none" w:sz="0" w:space="0" w:color="auto"/>
      </w:divBdr>
    </w:div>
    <w:div w:id="406273343">
      <w:bodyDiv w:val="1"/>
      <w:marLeft w:val="0"/>
      <w:marRight w:val="0"/>
      <w:marTop w:val="0"/>
      <w:marBottom w:val="0"/>
      <w:divBdr>
        <w:top w:val="none" w:sz="0" w:space="0" w:color="auto"/>
        <w:left w:val="none" w:sz="0" w:space="0" w:color="auto"/>
        <w:bottom w:val="none" w:sz="0" w:space="0" w:color="auto"/>
        <w:right w:val="none" w:sz="0" w:space="0" w:color="auto"/>
      </w:divBdr>
    </w:div>
    <w:div w:id="408623126">
      <w:bodyDiv w:val="1"/>
      <w:marLeft w:val="0"/>
      <w:marRight w:val="0"/>
      <w:marTop w:val="0"/>
      <w:marBottom w:val="0"/>
      <w:divBdr>
        <w:top w:val="none" w:sz="0" w:space="0" w:color="auto"/>
        <w:left w:val="none" w:sz="0" w:space="0" w:color="auto"/>
        <w:bottom w:val="none" w:sz="0" w:space="0" w:color="auto"/>
        <w:right w:val="none" w:sz="0" w:space="0" w:color="auto"/>
      </w:divBdr>
    </w:div>
    <w:div w:id="411244311">
      <w:bodyDiv w:val="1"/>
      <w:marLeft w:val="0"/>
      <w:marRight w:val="0"/>
      <w:marTop w:val="0"/>
      <w:marBottom w:val="0"/>
      <w:divBdr>
        <w:top w:val="none" w:sz="0" w:space="0" w:color="auto"/>
        <w:left w:val="none" w:sz="0" w:space="0" w:color="auto"/>
        <w:bottom w:val="none" w:sz="0" w:space="0" w:color="auto"/>
        <w:right w:val="none" w:sz="0" w:space="0" w:color="auto"/>
      </w:divBdr>
    </w:div>
    <w:div w:id="414784655">
      <w:bodyDiv w:val="1"/>
      <w:marLeft w:val="0"/>
      <w:marRight w:val="0"/>
      <w:marTop w:val="0"/>
      <w:marBottom w:val="0"/>
      <w:divBdr>
        <w:top w:val="none" w:sz="0" w:space="0" w:color="auto"/>
        <w:left w:val="none" w:sz="0" w:space="0" w:color="auto"/>
        <w:bottom w:val="none" w:sz="0" w:space="0" w:color="auto"/>
        <w:right w:val="none" w:sz="0" w:space="0" w:color="auto"/>
      </w:divBdr>
      <w:divsChild>
        <w:div w:id="1756824126">
          <w:marLeft w:val="0"/>
          <w:marRight w:val="0"/>
          <w:marTop w:val="0"/>
          <w:marBottom w:val="0"/>
          <w:divBdr>
            <w:top w:val="none" w:sz="0" w:space="0" w:color="auto"/>
            <w:left w:val="none" w:sz="0" w:space="0" w:color="auto"/>
            <w:bottom w:val="none" w:sz="0" w:space="0" w:color="auto"/>
            <w:right w:val="none" w:sz="0" w:space="0" w:color="auto"/>
          </w:divBdr>
        </w:div>
      </w:divsChild>
    </w:div>
    <w:div w:id="415791171">
      <w:bodyDiv w:val="1"/>
      <w:marLeft w:val="0"/>
      <w:marRight w:val="0"/>
      <w:marTop w:val="0"/>
      <w:marBottom w:val="0"/>
      <w:divBdr>
        <w:top w:val="none" w:sz="0" w:space="0" w:color="auto"/>
        <w:left w:val="none" w:sz="0" w:space="0" w:color="auto"/>
        <w:bottom w:val="none" w:sz="0" w:space="0" w:color="auto"/>
        <w:right w:val="none" w:sz="0" w:space="0" w:color="auto"/>
      </w:divBdr>
    </w:div>
    <w:div w:id="424572822">
      <w:bodyDiv w:val="1"/>
      <w:marLeft w:val="0"/>
      <w:marRight w:val="0"/>
      <w:marTop w:val="0"/>
      <w:marBottom w:val="0"/>
      <w:divBdr>
        <w:top w:val="none" w:sz="0" w:space="0" w:color="auto"/>
        <w:left w:val="none" w:sz="0" w:space="0" w:color="auto"/>
        <w:bottom w:val="none" w:sz="0" w:space="0" w:color="auto"/>
        <w:right w:val="none" w:sz="0" w:space="0" w:color="auto"/>
      </w:divBdr>
    </w:div>
    <w:div w:id="434328301">
      <w:bodyDiv w:val="1"/>
      <w:marLeft w:val="0"/>
      <w:marRight w:val="0"/>
      <w:marTop w:val="0"/>
      <w:marBottom w:val="0"/>
      <w:divBdr>
        <w:top w:val="none" w:sz="0" w:space="0" w:color="auto"/>
        <w:left w:val="none" w:sz="0" w:space="0" w:color="auto"/>
        <w:bottom w:val="none" w:sz="0" w:space="0" w:color="auto"/>
        <w:right w:val="none" w:sz="0" w:space="0" w:color="auto"/>
      </w:divBdr>
    </w:div>
    <w:div w:id="462163553">
      <w:bodyDiv w:val="1"/>
      <w:marLeft w:val="0"/>
      <w:marRight w:val="0"/>
      <w:marTop w:val="0"/>
      <w:marBottom w:val="0"/>
      <w:divBdr>
        <w:top w:val="none" w:sz="0" w:space="0" w:color="auto"/>
        <w:left w:val="none" w:sz="0" w:space="0" w:color="auto"/>
        <w:bottom w:val="none" w:sz="0" w:space="0" w:color="auto"/>
        <w:right w:val="none" w:sz="0" w:space="0" w:color="auto"/>
      </w:divBdr>
    </w:div>
    <w:div w:id="462818855">
      <w:bodyDiv w:val="1"/>
      <w:marLeft w:val="0"/>
      <w:marRight w:val="0"/>
      <w:marTop w:val="0"/>
      <w:marBottom w:val="0"/>
      <w:divBdr>
        <w:top w:val="none" w:sz="0" w:space="0" w:color="auto"/>
        <w:left w:val="none" w:sz="0" w:space="0" w:color="auto"/>
        <w:bottom w:val="none" w:sz="0" w:space="0" w:color="auto"/>
        <w:right w:val="none" w:sz="0" w:space="0" w:color="auto"/>
      </w:divBdr>
    </w:div>
    <w:div w:id="464540368">
      <w:bodyDiv w:val="1"/>
      <w:marLeft w:val="0"/>
      <w:marRight w:val="0"/>
      <w:marTop w:val="0"/>
      <w:marBottom w:val="0"/>
      <w:divBdr>
        <w:top w:val="none" w:sz="0" w:space="0" w:color="auto"/>
        <w:left w:val="none" w:sz="0" w:space="0" w:color="auto"/>
        <w:bottom w:val="none" w:sz="0" w:space="0" w:color="auto"/>
        <w:right w:val="none" w:sz="0" w:space="0" w:color="auto"/>
      </w:divBdr>
    </w:div>
    <w:div w:id="468059436">
      <w:bodyDiv w:val="1"/>
      <w:marLeft w:val="0"/>
      <w:marRight w:val="0"/>
      <w:marTop w:val="0"/>
      <w:marBottom w:val="0"/>
      <w:divBdr>
        <w:top w:val="none" w:sz="0" w:space="0" w:color="auto"/>
        <w:left w:val="none" w:sz="0" w:space="0" w:color="auto"/>
        <w:bottom w:val="none" w:sz="0" w:space="0" w:color="auto"/>
        <w:right w:val="none" w:sz="0" w:space="0" w:color="auto"/>
      </w:divBdr>
    </w:div>
    <w:div w:id="468517968">
      <w:bodyDiv w:val="1"/>
      <w:marLeft w:val="0"/>
      <w:marRight w:val="0"/>
      <w:marTop w:val="0"/>
      <w:marBottom w:val="0"/>
      <w:divBdr>
        <w:top w:val="none" w:sz="0" w:space="0" w:color="auto"/>
        <w:left w:val="none" w:sz="0" w:space="0" w:color="auto"/>
        <w:bottom w:val="none" w:sz="0" w:space="0" w:color="auto"/>
        <w:right w:val="none" w:sz="0" w:space="0" w:color="auto"/>
      </w:divBdr>
    </w:div>
    <w:div w:id="474108124">
      <w:bodyDiv w:val="1"/>
      <w:marLeft w:val="0"/>
      <w:marRight w:val="0"/>
      <w:marTop w:val="0"/>
      <w:marBottom w:val="0"/>
      <w:divBdr>
        <w:top w:val="none" w:sz="0" w:space="0" w:color="auto"/>
        <w:left w:val="none" w:sz="0" w:space="0" w:color="auto"/>
        <w:bottom w:val="none" w:sz="0" w:space="0" w:color="auto"/>
        <w:right w:val="none" w:sz="0" w:space="0" w:color="auto"/>
      </w:divBdr>
    </w:div>
    <w:div w:id="483009027">
      <w:bodyDiv w:val="1"/>
      <w:marLeft w:val="0"/>
      <w:marRight w:val="0"/>
      <w:marTop w:val="0"/>
      <w:marBottom w:val="0"/>
      <w:divBdr>
        <w:top w:val="none" w:sz="0" w:space="0" w:color="auto"/>
        <w:left w:val="none" w:sz="0" w:space="0" w:color="auto"/>
        <w:bottom w:val="none" w:sz="0" w:space="0" w:color="auto"/>
        <w:right w:val="none" w:sz="0" w:space="0" w:color="auto"/>
      </w:divBdr>
    </w:div>
    <w:div w:id="483395191">
      <w:bodyDiv w:val="1"/>
      <w:marLeft w:val="0"/>
      <w:marRight w:val="0"/>
      <w:marTop w:val="0"/>
      <w:marBottom w:val="0"/>
      <w:divBdr>
        <w:top w:val="none" w:sz="0" w:space="0" w:color="auto"/>
        <w:left w:val="none" w:sz="0" w:space="0" w:color="auto"/>
        <w:bottom w:val="none" w:sz="0" w:space="0" w:color="auto"/>
        <w:right w:val="none" w:sz="0" w:space="0" w:color="auto"/>
      </w:divBdr>
    </w:div>
    <w:div w:id="491527796">
      <w:bodyDiv w:val="1"/>
      <w:marLeft w:val="0"/>
      <w:marRight w:val="0"/>
      <w:marTop w:val="0"/>
      <w:marBottom w:val="0"/>
      <w:divBdr>
        <w:top w:val="none" w:sz="0" w:space="0" w:color="auto"/>
        <w:left w:val="none" w:sz="0" w:space="0" w:color="auto"/>
        <w:bottom w:val="none" w:sz="0" w:space="0" w:color="auto"/>
        <w:right w:val="none" w:sz="0" w:space="0" w:color="auto"/>
      </w:divBdr>
    </w:div>
    <w:div w:id="492839978">
      <w:bodyDiv w:val="1"/>
      <w:marLeft w:val="0"/>
      <w:marRight w:val="0"/>
      <w:marTop w:val="0"/>
      <w:marBottom w:val="0"/>
      <w:divBdr>
        <w:top w:val="none" w:sz="0" w:space="0" w:color="auto"/>
        <w:left w:val="none" w:sz="0" w:space="0" w:color="auto"/>
        <w:bottom w:val="none" w:sz="0" w:space="0" w:color="auto"/>
        <w:right w:val="none" w:sz="0" w:space="0" w:color="auto"/>
      </w:divBdr>
    </w:div>
    <w:div w:id="502013217">
      <w:bodyDiv w:val="1"/>
      <w:marLeft w:val="0"/>
      <w:marRight w:val="0"/>
      <w:marTop w:val="0"/>
      <w:marBottom w:val="0"/>
      <w:divBdr>
        <w:top w:val="none" w:sz="0" w:space="0" w:color="auto"/>
        <w:left w:val="none" w:sz="0" w:space="0" w:color="auto"/>
        <w:bottom w:val="none" w:sz="0" w:space="0" w:color="auto"/>
        <w:right w:val="none" w:sz="0" w:space="0" w:color="auto"/>
      </w:divBdr>
    </w:div>
    <w:div w:id="507604273">
      <w:bodyDiv w:val="1"/>
      <w:marLeft w:val="0"/>
      <w:marRight w:val="0"/>
      <w:marTop w:val="0"/>
      <w:marBottom w:val="0"/>
      <w:divBdr>
        <w:top w:val="none" w:sz="0" w:space="0" w:color="auto"/>
        <w:left w:val="none" w:sz="0" w:space="0" w:color="auto"/>
        <w:bottom w:val="none" w:sz="0" w:space="0" w:color="auto"/>
        <w:right w:val="none" w:sz="0" w:space="0" w:color="auto"/>
      </w:divBdr>
    </w:div>
    <w:div w:id="517700356">
      <w:bodyDiv w:val="1"/>
      <w:marLeft w:val="0"/>
      <w:marRight w:val="0"/>
      <w:marTop w:val="0"/>
      <w:marBottom w:val="0"/>
      <w:divBdr>
        <w:top w:val="none" w:sz="0" w:space="0" w:color="auto"/>
        <w:left w:val="none" w:sz="0" w:space="0" w:color="auto"/>
        <w:bottom w:val="none" w:sz="0" w:space="0" w:color="auto"/>
        <w:right w:val="none" w:sz="0" w:space="0" w:color="auto"/>
      </w:divBdr>
    </w:div>
    <w:div w:id="530261884">
      <w:bodyDiv w:val="1"/>
      <w:marLeft w:val="0"/>
      <w:marRight w:val="0"/>
      <w:marTop w:val="0"/>
      <w:marBottom w:val="0"/>
      <w:divBdr>
        <w:top w:val="none" w:sz="0" w:space="0" w:color="auto"/>
        <w:left w:val="none" w:sz="0" w:space="0" w:color="auto"/>
        <w:bottom w:val="none" w:sz="0" w:space="0" w:color="auto"/>
        <w:right w:val="none" w:sz="0" w:space="0" w:color="auto"/>
      </w:divBdr>
      <w:divsChild>
        <w:div w:id="875581016">
          <w:marLeft w:val="0"/>
          <w:marRight w:val="0"/>
          <w:marTop w:val="0"/>
          <w:marBottom w:val="0"/>
          <w:divBdr>
            <w:top w:val="none" w:sz="0" w:space="0" w:color="auto"/>
            <w:left w:val="none" w:sz="0" w:space="0" w:color="auto"/>
            <w:bottom w:val="none" w:sz="0" w:space="0" w:color="auto"/>
            <w:right w:val="none" w:sz="0" w:space="0" w:color="auto"/>
          </w:divBdr>
        </w:div>
      </w:divsChild>
    </w:div>
    <w:div w:id="530651360">
      <w:bodyDiv w:val="1"/>
      <w:marLeft w:val="0"/>
      <w:marRight w:val="0"/>
      <w:marTop w:val="0"/>
      <w:marBottom w:val="0"/>
      <w:divBdr>
        <w:top w:val="none" w:sz="0" w:space="0" w:color="auto"/>
        <w:left w:val="none" w:sz="0" w:space="0" w:color="auto"/>
        <w:bottom w:val="none" w:sz="0" w:space="0" w:color="auto"/>
        <w:right w:val="none" w:sz="0" w:space="0" w:color="auto"/>
      </w:divBdr>
    </w:div>
    <w:div w:id="568073202">
      <w:bodyDiv w:val="1"/>
      <w:marLeft w:val="0"/>
      <w:marRight w:val="0"/>
      <w:marTop w:val="0"/>
      <w:marBottom w:val="0"/>
      <w:divBdr>
        <w:top w:val="none" w:sz="0" w:space="0" w:color="auto"/>
        <w:left w:val="none" w:sz="0" w:space="0" w:color="auto"/>
        <w:bottom w:val="none" w:sz="0" w:space="0" w:color="auto"/>
        <w:right w:val="none" w:sz="0" w:space="0" w:color="auto"/>
      </w:divBdr>
    </w:div>
    <w:div w:id="584269542">
      <w:bodyDiv w:val="1"/>
      <w:marLeft w:val="0"/>
      <w:marRight w:val="0"/>
      <w:marTop w:val="0"/>
      <w:marBottom w:val="0"/>
      <w:divBdr>
        <w:top w:val="none" w:sz="0" w:space="0" w:color="auto"/>
        <w:left w:val="none" w:sz="0" w:space="0" w:color="auto"/>
        <w:bottom w:val="none" w:sz="0" w:space="0" w:color="auto"/>
        <w:right w:val="none" w:sz="0" w:space="0" w:color="auto"/>
      </w:divBdr>
      <w:divsChild>
        <w:div w:id="99641156">
          <w:marLeft w:val="0"/>
          <w:marRight w:val="0"/>
          <w:marTop w:val="0"/>
          <w:marBottom w:val="0"/>
          <w:divBdr>
            <w:top w:val="none" w:sz="0" w:space="0" w:color="auto"/>
            <w:left w:val="none" w:sz="0" w:space="0" w:color="auto"/>
            <w:bottom w:val="none" w:sz="0" w:space="0" w:color="auto"/>
            <w:right w:val="none" w:sz="0" w:space="0" w:color="auto"/>
          </w:divBdr>
        </w:div>
      </w:divsChild>
    </w:div>
    <w:div w:id="590628823">
      <w:bodyDiv w:val="1"/>
      <w:marLeft w:val="0"/>
      <w:marRight w:val="0"/>
      <w:marTop w:val="0"/>
      <w:marBottom w:val="0"/>
      <w:divBdr>
        <w:top w:val="none" w:sz="0" w:space="0" w:color="auto"/>
        <w:left w:val="none" w:sz="0" w:space="0" w:color="auto"/>
        <w:bottom w:val="none" w:sz="0" w:space="0" w:color="auto"/>
        <w:right w:val="none" w:sz="0" w:space="0" w:color="auto"/>
      </w:divBdr>
    </w:div>
    <w:div w:id="596712348">
      <w:bodyDiv w:val="1"/>
      <w:marLeft w:val="0"/>
      <w:marRight w:val="0"/>
      <w:marTop w:val="0"/>
      <w:marBottom w:val="0"/>
      <w:divBdr>
        <w:top w:val="none" w:sz="0" w:space="0" w:color="auto"/>
        <w:left w:val="none" w:sz="0" w:space="0" w:color="auto"/>
        <w:bottom w:val="none" w:sz="0" w:space="0" w:color="auto"/>
        <w:right w:val="none" w:sz="0" w:space="0" w:color="auto"/>
      </w:divBdr>
    </w:div>
    <w:div w:id="601303966">
      <w:bodyDiv w:val="1"/>
      <w:marLeft w:val="0"/>
      <w:marRight w:val="0"/>
      <w:marTop w:val="0"/>
      <w:marBottom w:val="0"/>
      <w:divBdr>
        <w:top w:val="none" w:sz="0" w:space="0" w:color="auto"/>
        <w:left w:val="none" w:sz="0" w:space="0" w:color="auto"/>
        <w:bottom w:val="none" w:sz="0" w:space="0" w:color="auto"/>
        <w:right w:val="none" w:sz="0" w:space="0" w:color="auto"/>
      </w:divBdr>
    </w:div>
    <w:div w:id="628314928">
      <w:bodyDiv w:val="1"/>
      <w:marLeft w:val="0"/>
      <w:marRight w:val="0"/>
      <w:marTop w:val="0"/>
      <w:marBottom w:val="0"/>
      <w:divBdr>
        <w:top w:val="none" w:sz="0" w:space="0" w:color="auto"/>
        <w:left w:val="none" w:sz="0" w:space="0" w:color="auto"/>
        <w:bottom w:val="none" w:sz="0" w:space="0" w:color="auto"/>
        <w:right w:val="none" w:sz="0" w:space="0" w:color="auto"/>
      </w:divBdr>
      <w:divsChild>
        <w:div w:id="434328398">
          <w:marLeft w:val="0"/>
          <w:marRight w:val="0"/>
          <w:marTop w:val="0"/>
          <w:marBottom w:val="0"/>
          <w:divBdr>
            <w:top w:val="single" w:sz="2" w:space="0" w:color="D9D9E3"/>
            <w:left w:val="single" w:sz="2" w:space="0" w:color="D9D9E3"/>
            <w:bottom w:val="single" w:sz="2" w:space="0" w:color="D9D9E3"/>
            <w:right w:val="single" w:sz="2" w:space="0" w:color="D9D9E3"/>
          </w:divBdr>
          <w:divsChild>
            <w:div w:id="1760059169">
              <w:marLeft w:val="0"/>
              <w:marRight w:val="0"/>
              <w:marTop w:val="0"/>
              <w:marBottom w:val="0"/>
              <w:divBdr>
                <w:top w:val="single" w:sz="2" w:space="0" w:color="D9D9E3"/>
                <w:left w:val="single" w:sz="2" w:space="0" w:color="D9D9E3"/>
                <w:bottom w:val="single" w:sz="2" w:space="0" w:color="D9D9E3"/>
                <w:right w:val="single" w:sz="2" w:space="0" w:color="D9D9E3"/>
              </w:divBdr>
              <w:divsChild>
                <w:div w:id="398947112">
                  <w:marLeft w:val="0"/>
                  <w:marRight w:val="0"/>
                  <w:marTop w:val="0"/>
                  <w:marBottom w:val="0"/>
                  <w:divBdr>
                    <w:top w:val="single" w:sz="2" w:space="0" w:color="D9D9E3"/>
                    <w:left w:val="single" w:sz="2" w:space="0" w:color="D9D9E3"/>
                    <w:bottom w:val="single" w:sz="2" w:space="0" w:color="D9D9E3"/>
                    <w:right w:val="single" w:sz="2" w:space="0" w:color="D9D9E3"/>
                  </w:divBdr>
                  <w:divsChild>
                    <w:div w:id="1699160777">
                      <w:marLeft w:val="0"/>
                      <w:marRight w:val="0"/>
                      <w:marTop w:val="0"/>
                      <w:marBottom w:val="0"/>
                      <w:divBdr>
                        <w:top w:val="single" w:sz="2" w:space="0" w:color="D9D9E3"/>
                        <w:left w:val="single" w:sz="2" w:space="0" w:color="D9D9E3"/>
                        <w:bottom w:val="single" w:sz="2" w:space="0" w:color="D9D9E3"/>
                        <w:right w:val="single" w:sz="2" w:space="0" w:color="D9D9E3"/>
                      </w:divBdr>
                      <w:divsChild>
                        <w:div w:id="1944604096">
                          <w:marLeft w:val="0"/>
                          <w:marRight w:val="0"/>
                          <w:marTop w:val="0"/>
                          <w:marBottom w:val="0"/>
                          <w:divBdr>
                            <w:top w:val="single" w:sz="2" w:space="0" w:color="auto"/>
                            <w:left w:val="single" w:sz="2" w:space="0" w:color="auto"/>
                            <w:bottom w:val="single" w:sz="6" w:space="0" w:color="auto"/>
                            <w:right w:val="single" w:sz="2" w:space="0" w:color="auto"/>
                          </w:divBdr>
                          <w:divsChild>
                            <w:div w:id="1465927461">
                              <w:marLeft w:val="0"/>
                              <w:marRight w:val="0"/>
                              <w:marTop w:val="100"/>
                              <w:marBottom w:val="100"/>
                              <w:divBdr>
                                <w:top w:val="single" w:sz="2" w:space="0" w:color="D9D9E3"/>
                                <w:left w:val="single" w:sz="2" w:space="0" w:color="D9D9E3"/>
                                <w:bottom w:val="single" w:sz="2" w:space="0" w:color="D9D9E3"/>
                                <w:right w:val="single" w:sz="2" w:space="0" w:color="D9D9E3"/>
                              </w:divBdr>
                              <w:divsChild>
                                <w:div w:id="1738896918">
                                  <w:marLeft w:val="0"/>
                                  <w:marRight w:val="0"/>
                                  <w:marTop w:val="0"/>
                                  <w:marBottom w:val="0"/>
                                  <w:divBdr>
                                    <w:top w:val="single" w:sz="2" w:space="0" w:color="D9D9E3"/>
                                    <w:left w:val="single" w:sz="2" w:space="0" w:color="D9D9E3"/>
                                    <w:bottom w:val="single" w:sz="2" w:space="0" w:color="D9D9E3"/>
                                    <w:right w:val="single" w:sz="2" w:space="0" w:color="D9D9E3"/>
                                  </w:divBdr>
                                  <w:divsChild>
                                    <w:div w:id="1521973663">
                                      <w:marLeft w:val="0"/>
                                      <w:marRight w:val="0"/>
                                      <w:marTop w:val="0"/>
                                      <w:marBottom w:val="0"/>
                                      <w:divBdr>
                                        <w:top w:val="single" w:sz="2" w:space="0" w:color="D9D9E3"/>
                                        <w:left w:val="single" w:sz="2" w:space="0" w:color="D9D9E3"/>
                                        <w:bottom w:val="single" w:sz="2" w:space="0" w:color="D9D9E3"/>
                                        <w:right w:val="single" w:sz="2" w:space="0" w:color="D9D9E3"/>
                                      </w:divBdr>
                                      <w:divsChild>
                                        <w:div w:id="1640840208">
                                          <w:marLeft w:val="0"/>
                                          <w:marRight w:val="0"/>
                                          <w:marTop w:val="0"/>
                                          <w:marBottom w:val="0"/>
                                          <w:divBdr>
                                            <w:top w:val="single" w:sz="2" w:space="0" w:color="D9D9E3"/>
                                            <w:left w:val="single" w:sz="2" w:space="0" w:color="D9D9E3"/>
                                            <w:bottom w:val="single" w:sz="2" w:space="0" w:color="D9D9E3"/>
                                            <w:right w:val="single" w:sz="2" w:space="0" w:color="D9D9E3"/>
                                          </w:divBdr>
                                          <w:divsChild>
                                            <w:div w:id="5417898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39961875">
          <w:marLeft w:val="0"/>
          <w:marRight w:val="0"/>
          <w:marTop w:val="0"/>
          <w:marBottom w:val="0"/>
          <w:divBdr>
            <w:top w:val="none" w:sz="0" w:space="0" w:color="auto"/>
            <w:left w:val="none" w:sz="0" w:space="0" w:color="auto"/>
            <w:bottom w:val="none" w:sz="0" w:space="0" w:color="auto"/>
            <w:right w:val="none" w:sz="0" w:space="0" w:color="auto"/>
          </w:divBdr>
          <w:divsChild>
            <w:div w:id="1919943192">
              <w:marLeft w:val="0"/>
              <w:marRight w:val="0"/>
              <w:marTop w:val="0"/>
              <w:marBottom w:val="0"/>
              <w:divBdr>
                <w:top w:val="single" w:sz="2" w:space="0" w:color="D9D9E3"/>
                <w:left w:val="single" w:sz="2" w:space="0" w:color="D9D9E3"/>
                <w:bottom w:val="single" w:sz="2" w:space="0" w:color="D9D9E3"/>
                <w:right w:val="single" w:sz="2" w:space="0" w:color="D9D9E3"/>
              </w:divBdr>
            </w:div>
            <w:div w:id="1934437959">
              <w:marLeft w:val="0"/>
              <w:marRight w:val="0"/>
              <w:marTop w:val="0"/>
              <w:marBottom w:val="0"/>
              <w:divBdr>
                <w:top w:val="single" w:sz="2" w:space="0" w:color="D9D9E3"/>
                <w:left w:val="single" w:sz="2" w:space="0" w:color="D9D9E3"/>
                <w:bottom w:val="single" w:sz="2" w:space="0" w:color="D9D9E3"/>
                <w:right w:val="single" w:sz="2" w:space="0" w:color="D9D9E3"/>
              </w:divBdr>
              <w:divsChild>
                <w:div w:id="8720473">
                  <w:marLeft w:val="0"/>
                  <w:marRight w:val="0"/>
                  <w:marTop w:val="0"/>
                  <w:marBottom w:val="0"/>
                  <w:divBdr>
                    <w:top w:val="single" w:sz="2" w:space="0" w:color="D9D9E3"/>
                    <w:left w:val="single" w:sz="2" w:space="0" w:color="D9D9E3"/>
                    <w:bottom w:val="single" w:sz="2" w:space="0" w:color="D9D9E3"/>
                    <w:right w:val="single" w:sz="2" w:space="0" w:color="D9D9E3"/>
                  </w:divBdr>
                </w:div>
                <w:div w:id="95066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182757">
      <w:bodyDiv w:val="1"/>
      <w:marLeft w:val="0"/>
      <w:marRight w:val="0"/>
      <w:marTop w:val="0"/>
      <w:marBottom w:val="0"/>
      <w:divBdr>
        <w:top w:val="none" w:sz="0" w:space="0" w:color="auto"/>
        <w:left w:val="none" w:sz="0" w:space="0" w:color="auto"/>
        <w:bottom w:val="none" w:sz="0" w:space="0" w:color="auto"/>
        <w:right w:val="none" w:sz="0" w:space="0" w:color="auto"/>
      </w:divBdr>
    </w:div>
    <w:div w:id="635643532">
      <w:bodyDiv w:val="1"/>
      <w:marLeft w:val="0"/>
      <w:marRight w:val="0"/>
      <w:marTop w:val="0"/>
      <w:marBottom w:val="0"/>
      <w:divBdr>
        <w:top w:val="none" w:sz="0" w:space="0" w:color="auto"/>
        <w:left w:val="none" w:sz="0" w:space="0" w:color="auto"/>
        <w:bottom w:val="none" w:sz="0" w:space="0" w:color="auto"/>
        <w:right w:val="none" w:sz="0" w:space="0" w:color="auto"/>
      </w:divBdr>
    </w:div>
    <w:div w:id="637075663">
      <w:bodyDiv w:val="1"/>
      <w:marLeft w:val="0"/>
      <w:marRight w:val="0"/>
      <w:marTop w:val="0"/>
      <w:marBottom w:val="0"/>
      <w:divBdr>
        <w:top w:val="none" w:sz="0" w:space="0" w:color="auto"/>
        <w:left w:val="none" w:sz="0" w:space="0" w:color="auto"/>
        <w:bottom w:val="none" w:sz="0" w:space="0" w:color="auto"/>
        <w:right w:val="none" w:sz="0" w:space="0" w:color="auto"/>
      </w:divBdr>
    </w:div>
    <w:div w:id="640312573">
      <w:bodyDiv w:val="1"/>
      <w:marLeft w:val="0"/>
      <w:marRight w:val="0"/>
      <w:marTop w:val="0"/>
      <w:marBottom w:val="0"/>
      <w:divBdr>
        <w:top w:val="none" w:sz="0" w:space="0" w:color="auto"/>
        <w:left w:val="none" w:sz="0" w:space="0" w:color="auto"/>
        <w:bottom w:val="none" w:sz="0" w:space="0" w:color="auto"/>
        <w:right w:val="none" w:sz="0" w:space="0" w:color="auto"/>
      </w:divBdr>
    </w:div>
    <w:div w:id="664287280">
      <w:bodyDiv w:val="1"/>
      <w:marLeft w:val="0"/>
      <w:marRight w:val="0"/>
      <w:marTop w:val="0"/>
      <w:marBottom w:val="0"/>
      <w:divBdr>
        <w:top w:val="none" w:sz="0" w:space="0" w:color="auto"/>
        <w:left w:val="none" w:sz="0" w:space="0" w:color="auto"/>
        <w:bottom w:val="none" w:sz="0" w:space="0" w:color="auto"/>
        <w:right w:val="none" w:sz="0" w:space="0" w:color="auto"/>
      </w:divBdr>
    </w:div>
    <w:div w:id="665209810">
      <w:bodyDiv w:val="1"/>
      <w:marLeft w:val="0"/>
      <w:marRight w:val="0"/>
      <w:marTop w:val="0"/>
      <w:marBottom w:val="0"/>
      <w:divBdr>
        <w:top w:val="none" w:sz="0" w:space="0" w:color="auto"/>
        <w:left w:val="none" w:sz="0" w:space="0" w:color="auto"/>
        <w:bottom w:val="none" w:sz="0" w:space="0" w:color="auto"/>
        <w:right w:val="none" w:sz="0" w:space="0" w:color="auto"/>
      </w:divBdr>
    </w:div>
    <w:div w:id="670061824">
      <w:bodyDiv w:val="1"/>
      <w:marLeft w:val="0"/>
      <w:marRight w:val="0"/>
      <w:marTop w:val="0"/>
      <w:marBottom w:val="0"/>
      <w:divBdr>
        <w:top w:val="none" w:sz="0" w:space="0" w:color="auto"/>
        <w:left w:val="none" w:sz="0" w:space="0" w:color="auto"/>
        <w:bottom w:val="none" w:sz="0" w:space="0" w:color="auto"/>
        <w:right w:val="none" w:sz="0" w:space="0" w:color="auto"/>
      </w:divBdr>
    </w:div>
    <w:div w:id="680084711">
      <w:bodyDiv w:val="1"/>
      <w:marLeft w:val="0"/>
      <w:marRight w:val="0"/>
      <w:marTop w:val="0"/>
      <w:marBottom w:val="0"/>
      <w:divBdr>
        <w:top w:val="none" w:sz="0" w:space="0" w:color="auto"/>
        <w:left w:val="none" w:sz="0" w:space="0" w:color="auto"/>
        <w:bottom w:val="none" w:sz="0" w:space="0" w:color="auto"/>
        <w:right w:val="none" w:sz="0" w:space="0" w:color="auto"/>
      </w:divBdr>
    </w:div>
    <w:div w:id="682829591">
      <w:bodyDiv w:val="1"/>
      <w:marLeft w:val="0"/>
      <w:marRight w:val="0"/>
      <w:marTop w:val="0"/>
      <w:marBottom w:val="0"/>
      <w:divBdr>
        <w:top w:val="none" w:sz="0" w:space="0" w:color="auto"/>
        <w:left w:val="none" w:sz="0" w:space="0" w:color="auto"/>
        <w:bottom w:val="none" w:sz="0" w:space="0" w:color="auto"/>
        <w:right w:val="none" w:sz="0" w:space="0" w:color="auto"/>
      </w:divBdr>
    </w:div>
    <w:div w:id="689910661">
      <w:bodyDiv w:val="1"/>
      <w:marLeft w:val="0"/>
      <w:marRight w:val="0"/>
      <w:marTop w:val="0"/>
      <w:marBottom w:val="0"/>
      <w:divBdr>
        <w:top w:val="none" w:sz="0" w:space="0" w:color="auto"/>
        <w:left w:val="none" w:sz="0" w:space="0" w:color="auto"/>
        <w:bottom w:val="none" w:sz="0" w:space="0" w:color="auto"/>
        <w:right w:val="none" w:sz="0" w:space="0" w:color="auto"/>
      </w:divBdr>
      <w:divsChild>
        <w:div w:id="2119787261">
          <w:marLeft w:val="0"/>
          <w:marRight w:val="0"/>
          <w:marTop w:val="0"/>
          <w:marBottom w:val="0"/>
          <w:divBdr>
            <w:top w:val="none" w:sz="0" w:space="0" w:color="auto"/>
            <w:left w:val="none" w:sz="0" w:space="0" w:color="auto"/>
            <w:bottom w:val="none" w:sz="0" w:space="0" w:color="auto"/>
            <w:right w:val="none" w:sz="0" w:space="0" w:color="auto"/>
          </w:divBdr>
        </w:div>
      </w:divsChild>
    </w:div>
    <w:div w:id="701512225">
      <w:bodyDiv w:val="1"/>
      <w:marLeft w:val="0"/>
      <w:marRight w:val="0"/>
      <w:marTop w:val="0"/>
      <w:marBottom w:val="0"/>
      <w:divBdr>
        <w:top w:val="none" w:sz="0" w:space="0" w:color="auto"/>
        <w:left w:val="none" w:sz="0" w:space="0" w:color="auto"/>
        <w:bottom w:val="none" w:sz="0" w:space="0" w:color="auto"/>
        <w:right w:val="none" w:sz="0" w:space="0" w:color="auto"/>
      </w:divBdr>
    </w:div>
    <w:div w:id="716395107">
      <w:bodyDiv w:val="1"/>
      <w:marLeft w:val="0"/>
      <w:marRight w:val="0"/>
      <w:marTop w:val="0"/>
      <w:marBottom w:val="0"/>
      <w:divBdr>
        <w:top w:val="none" w:sz="0" w:space="0" w:color="auto"/>
        <w:left w:val="none" w:sz="0" w:space="0" w:color="auto"/>
        <w:bottom w:val="none" w:sz="0" w:space="0" w:color="auto"/>
        <w:right w:val="none" w:sz="0" w:space="0" w:color="auto"/>
      </w:divBdr>
    </w:div>
    <w:div w:id="724259825">
      <w:bodyDiv w:val="1"/>
      <w:marLeft w:val="0"/>
      <w:marRight w:val="0"/>
      <w:marTop w:val="0"/>
      <w:marBottom w:val="0"/>
      <w:divBdr>
        <w:top w:val="none" w:sz="0" w:space="0" w:color="auto"/>
        <w:left w:val="none" w:sz="0" w:space="0" w:color="auto"/>
        <w:bottom w:val="none" w:sz="0" w:space="0" w:color="auto"/>
        <w:right w:val="none" w:sz="0" w:space="0" w:color="auto"/>
      </w:divBdr>
    </w:div>
    <w:div w:id="726759427">
      <w:bodyDiv w:val="1"/>
      <w:marLeft w:val="0"/>
      <w:marRight w:val="0"/>
      <w:marTop w:val="0"/>
      <w:marBottom w:val="0"/>
      <w:divBdr>
        <w:top w:val="none" w:sz="0" w:space="0" w:color="auto"/>
        <w:left w:val="none" w:sz="0" w:space="0" w:color="auto"/>
        <w:bottom w:val="none" w:sz="0" w:space="0" w:color="auto"/>
        <w:right w:val="none" w:sz="0" w:space="0" w:color="auto"/>
      </w:divBdr>
    </w:div>
    <w:div w:id="735665135">
      <w:bodyDiv w:val="1"/>
      <w:marLeft w:val="0"/>
      <w:marRight w:val="0"/>
      <w:marTop w:val="0"/>
      <w:marBottom w:val="0"/>
      <w:divBdr>
        <w:top w:val="none" w:sz="0" w:space="0" w:color="auto"/>
        <w:left w:val="none" w:sz="0" w:space="0" w:color="auto"/>
        <w:bottom w:val="none" w:sz="0" w:space="0" w:color="auto"/>
        <w:right w:val="none" w:sz="0" w:space="0" w:color="auto"/>
      </w:divBdr>
    </w:div>
    <w:div w:id="746070513">
      <w:bodyDiv w:val="1"/>
      <w:marLeft w:val="0"/>
      <w:marRight w:val="0"/>
      <w:marTop w:val="0"/>
      <w:marBottom w:val="0"/>
      <w:divBdr>
        <w:top w:val="none" w:sz="0" w:space="0" w:color="auto"/>
        <w:left w:val="none" w:sz="0" w:space="0" w:color="auto"/>
        <w:bottom w:val="none" w:sz="0" w:space="0" w:color="auto"/>
        <w:right w:val="none" w:sz="0" w:space="0" w:color="auto"/>
      </w:divBdr>
    </w:div>
    <w:div w:id="749425458">
      <w:bodyDiv w:val="1"/>
      <w:marLeft w:val="0"/>
      <w:marRight w:val="0"/>
      <w:marTop w:val="0"/>
      <w:marBottom w:val="0"/>
      <w:divBdr>
        <w:top w:val="none" w:sz="0" w:space="0" w:color="auto"/>
        <w:left w:val="none" w:sz="0" w:space="0" w:color="auto"/>
        <w:bottom w:val="none" w:sz="0" w:space="0" w:color="auto"/>
        <w:right w:val="none" w:sz="0" w:space="0" w:color="auto"/>
      </w:divBdr>
    </w:div>
    <w:div w:id="762144318">
      <w:bodyDiv w:val="1"/>
      <w:marLeft w:val="0"/>
      <w:marRight w:val="0"/>
      <w:marTop w:val="0"/>
      <w:marBottom w:val="0"/>
      <w:divBdr>
        <w:top w:val="none" w:sz="0" w:space="0" w:color="auto"/>
        <w:left w:val="none" w:sz="0" w:space="0" w:color="auto"/>
        <w:bottom w:val="none" w:sz="0" w:space="0" w:color="auto"/>
        <w:right w:val="none" w:sz="0" w:space="0" w:color="auto"/>
      </w:divBdr>
    </w:div>
    <w:div w:id="763115175">
      <w:bodyDiv w:val="1"/>
      <w:marLeft w:val="0"/>
      <w:marRight w:val="0"/>
      <w:marTop w:val="0"/>
      <w:marBottom w:val="0"/>
      <w:divBdr>
        <w:top w:val="none" w:sz="0" w:space="0" w:color="auto"/>
        <w:left w:val="none" w:sz="0" w:space="0" w:color="auto"/>
        <w:bottom w:val="none" w:sz="0" w:space="0" w:color="auto"/>
        <w:right w:val="none" w:sz="0" w:space="0" w:color="auto"/>
      </w:divBdr>
    </w:div>
    <w:div w:id="769157238">
      <w:bodyDiv w:val="1"/>
      <w:marLeft w:val="0"/>
      <w:marRight w:val="0"/>
      <w:marTop w:val="0"/>
      <w:marBottom w:val="0"/>
      <w:divBdr>
        <w:top w:val="none" w:sz="0" w:space="0" w:color="auto"/>
        <w:left w:val="none" w:sz="0" w:space="0" w:color="auto"/>
        <w:bottom w:val="none" w:sz="0" w:space="0" w:color="auto"/>
        <w:right w:val="none" w:sz="0" w:space="0" w:color="auto"/>
      </w:divBdr>
    </w:div>
    <w:div w:id="770708979">
      <w:bodyDiv w:val="1"/>
      <w:marLeft w:val="0"/>
      <w:marRight w:val="0"/>
      <w:marTop w:val="0"/>
      <w:marBottom w:val="0"/>
      <w:divBdr>
        <w:top w:val="none" w:sz="0" w:space="0" w:color="auto"/>
        <w:left w:val="none" w:sz="0" w:space="0" w:color="auto"/>
        <w:bottom w:val="none" w:sz="0" w:space="0" w:color="auto"/>
        <w:right w:val="none" w:sz="0" w:space="0" w:color="auto"/>
      </w:divBdr>
    </w:div>
    <w:div w:id="771123979">
      <w:bodyDiv w:val="1"/>
      <w:marLeft w:val="0"/>
      <w:marRight w:val="0"/>
      <w:marTop w:val="0"/>
      <w:marBottom w:val="0"/>
      <w:divBdr>
        <w:top w:val="none" w:sz="0" w:space="0" w:color="auto"/>
        <w:left w:val="none" w:sz="0" w:space="0" w:color="auto"/>
        <w:bottom w:val="none" w:sz="0" w:space="0" w:color="auto"/>
        <w:right w:val="none" w:sz="0" w:space="0" w:color="auto"/>
      </w:divBdr>
    </w:div>
    <w:div w:id="778138032">
      <w:bodyDiv w:val="1"/>
      <w:marLeft w:val="0"/>
      <w:marRight w:val="0"/>
      <w:marTop w:val="0"/>
      <w:marBottom w:val="0"/>
      <w:divBdr>
        <w:top w:val="none" w:sz="0" w:space="0" w:color="auto"/>
        <w:left w:val="none" w:sz="0" w:space="0" w:color="auto"/>
        <w:bottom w:val="none" w:sz="0" w:space="0" w:color="auto"/>
        <w:right w:val="none" w:sz="0" w:space="0" w:color="auto"/>
      </w:divBdr>
    </w:div>
    <w:div w:id="780302575">
      <w:bodyDiv w:val="1"/>
      <w:marLeft w:val="0"/>
      <w:marRight w:val="0"/>
      <w:marTop w:val="0"/>
      <w:marBottom w:val="0"/>
      <w:divBdr>
        <w:top w:val="none" w:sz="0" w:space="0" w:color="auto"/>
        <w:left w:val="none" w:sz="0" w:space="0" w:color="auto"/>
        <w:bottom w:val="none" w:sz="0" w:space="0" w:color="auto"/>
        <w:right w:val="none" w:sz="0" w:space="0" w:color="auto"/>
      </w:divBdr>
      <w:divsChild>
        <w:div w:id="299269383">
          <w:marLeft w:val="0"/>
          <w:marRight w:val="0"/>
          <w:marTop w:val="0"/>
          <w:marBottom w:val="0"/>
          <w:divBdr>
            <w:top w:val="none" w:sz="0" w:space="0" w:color="auto"/>
            <w:left w:val="none" w:sz="0" w:space="0" w:color="auto"/>
            <w:bottom w:val="none" w:sz="0" w:space="0" w:color="auto"/>
            <w:right w:val="none" w:sz="0" w:space="0" w:color="auto"/>
          </w:divBdr>
        </w:div>
      </w:divsChild>
    </w:div>
    <w:div w:id="781726612">
      <w:bodyDiv w:val="1"/>
      <w:marLeft w:val="0"/>
      <w:marRight w:val="0"/>
      <w:marTop w:val="0"/>
      <w:marBottom w:val="0"/>
      <w:divBdr>
        <w:top w:val="none" w:sz="0" w:space="0" w:color="auto"/>
        <w:left w:val="none" w:sz="0" w:space="0" w:color="auto"/>
        <w:bottom w:val="none" w:sz="0" w:space="0" w:color="auto"/>
        <w:right w:val="none" w:sz="0" w:space="0" w:color="auto"/>
      </w:divBdr>
    </w:div>
    <w:div w:id="783615635">
      <w:bodyDiv w:val="1"/>
      <w:marLeft w:val="0"/>
      <w:marRight w:val="0"/>
      <w:marTop w:val="0"/>
      <w:marBottom w:val="0"/>
      <w:divBdr>
        <w:top w:val="none" w:sz="0" w:space="0" w:color="auto"/>
        <w:left w:val="none" w:sz="0" w:space="0" w:color="auto"/>
        <w:bottom w:val="none" w:sz="0" w:space="0" w:color="auto"/>
        <w:right w:val="none" w:sz="0" w:space="0" w:color="auto"/>
      </w:divBdr>
    </w:div>
    <w:div w:id="788547550">
      <w:bodyDiv w:val="1"/>
      <w:marLeft w:val="0"/>
      <w:marRight w:val="0"/>
      <w:marTop w:val="0"/>
      <w:marBottom w:val="0"/>
      <w:divBdr>
        <w:top w:val="none" w:sz="0" w:space="0" w:color="auto"/>
        <w:left w:val="none" w:sz="0" w:space="0" w:color="auto"/>
        <w:bottom w:val="none" w:sz="0" w:space="0" w:color="auto"/>
        <w:right w:val="none" w:sz="0" w:space="0" w:color="auto"/>
      </w:divBdr>
    </w:div>
    <w:div w:id="788738737">
      <w:bodyDiv w:val="1"/>
      <w:marLeft w:val="0"/>
      <w:marRight w:val="0"/>
      <w:marTop w:val="0"/>
      <w:marBottom w:val="0"/>
      <w:divBdr>
        <w:top w:val="none" w:sz="0" w:space="0" w:color="auto"/>
        <w:left w:val="none" w:sz="0" w:space="0" w:color="auto"/>
        <w:bottom w:val="none" w:sz="0" w:space="0" w:color="auto"/>
        <w:right w:val="none" w:sz="0" w:space="0" w:color="auto"/>
      </w:divBdr>
      <w:divsChild>
        <w:div w:id="1441610080">
          <w:marLeft w:val="0"/>
          <w:marRight w:val="0"/>
          <w:marTop w:val="0"/>
          <w:marBottom w:val="0"/>
          <w:divBdr>
            <w:top w:val="none" w:sz="0" w:space="0" w:color="auto"/>
            <w:left w:val="none" w:sz="0" w:space="0" w:color="auto"/>
            <w:bottom w:val="none" w:sz="0" w:space="0" w:color="auto"/>
            <w:right w:val="none" w:sz="0" w:space="0" w:color="auto"/>
          </w:divBdr>
        </w:div>
      </w:divsChild>
    </w:div>
    <w:div w:id="796023897">
      <w:bodyDiv w:val="1"/>
      <w:marLeft w:val="0"/>
      <w:marRight w:val="0"/>
      <w:marTop w:val="0"/>
      <w:marBottom w:val="0"/>
      <w:divBdr>
        <w:top w:val="none" w:sz="0" w:space="0" w:color="auto"/>
        <w:left w:val="none" w:sz="0" w:space="0" w:color="auto"/>
        <w:bottom w:val="none" w:sz="0" w:space="0" w:color="auto"/>
        <w:right w:val="none" w:sz="0" w:space="0" w:color="auto"/>
      </w:divBdr>
    </w:div>
    <w:div w:id="802387810">
      <w:bodyDiv w:val="1"/>
      <w:marLeft w:val="0"/>
      <w:marRight w:val="0"/>
      <w:marTop w:val="0"/>
      <w:marBottom w:val="0"/>
      <w:divBdr>
        <w:top w:val="none" w:sz="0" w:space="0" w:color="auto"/>
        <w:left w:val="none" w:sz="0" w:space="0" w:color="auto"/>
        <w:bottom w:val="none" w:sz="0" w:space="0" w:color="auto"/>
        <w:right w:val="none" w:sz="0" w:space="0" w:color="auto"/>
      </w:divBdr>
    </w:div>
    <w:div w:id="804591043">
      <w:bodyDiv w:val="1"/>
      <w:marLeft w:val="0"/>
      <w:marRight w:val="0"/>
      <w:marTop w:val="0"/>
      <w:marBottom w:val="0"/>
      <w:divBdr>
        <w:top w:val="none" w:sz="0" w:space="0" w:color="auto"/>
        <w:left w:val="none" w:sz="0" w:space="0" w:color="auto"/>
        <w:bottom w:val="none" w:sz="0" w:space="0" w:color="auto"/>
        <w:right w:val="none" w:sz="0" w:space="0" w:color="auto"/>
      </w:divBdr>
      <w:divsChild>
        <w:div w:id="549730125">
          <w:marLeft w:val="0"/>
          <w:marRight w:val="0"/>
          <w:marTop w:val="0"/>
          <w:marBottom w:val="0"/>
          <w:divBdr>
            <w:top w:val="none" w:sz="0" w:space="0" w:color="auto"/>
            <w:left w:val="none" w:sz="0" w:space="0" w:color="auto"/>
            <w:bottom w:val="none" w:sz="0" w:space="0" w:color="auto"/>
            <w:right w:val="none" w:sz="0" w:space="0" w:color="auto"/>
          </w:divBdr>
        </w:div>
      </w:divsChild>
    </w:div>
    <w:div w:id="833036847">
      <w:bodyDiv w:val="1"/>
      <w:marLeft w:val="0"/>
      <w:marRight w:val="0"/>
      <w:marTop w:val="0"/>
      <w:marBottom w:val="0"/>
      <w:divBdr>
        <w:top w:val="none" w:sz="0" w:space="0" w:color="auto"/>
        <w:left w:val="none" w:sz="0" w:space="0" w:color="auto"/>
        <w:bottom w:val="none" w:sz="0" w:space="0" w:color="auto"/>
        <w:right w:val="none" w:sz="0" w:space="0" w:color="auto"/>
      </w:divBdr>
    </w:div>
    <w:div w:id="834540901">
      <w:bodyDiv w:val="1"/>
      <w:marLeft w:val="0"/>
      <w:marRight w:val="0"/>
      <w:marTop w:val="0"/>
      <w:marBottom w:val="0"/>
      <w:divBdr>
        <w:top w:val="none" w:sz="0" w:space="0" w:color="auto"/>
        <w:left w:val="none" w:sz="0" w:space="0" w:color="auto"/>
        <w:bottom w:val="none" w:sz="0" w:space="0" w:color="auto"/>
        <w:right w:val="none" w:sz="0" w:space="0" w:color="auto"/>
      </w:divBdr>
    </w:div>
    <w:div w:id="840051012">
      <w:bodyDiv w:val="1"/>
      <w:marLeft w:val="0"/>
      <w:marRight w:val="0"/>
      <w:marTop w:val="0"/>
      <w:marBottom w:val="0"/>
      <w:divBdr>
        <w:top w:val="none" w:sz="0" w:space="0" w:color="auto"/>
        <w:left w:val="none" w:sz="0" w:space="0" w:color="auto"/>
        <w:bottom w:val="none" w:sz="0" w:space="0" w:color="auto"/>
        <w:right w:val="none" w:sz="0" w:space="0" w:color="auto"/>
      </w:divBdr>
    </w:div>
    <w:div w:id="842815223">
      <w:bodyDiv w:val="1"/>
      <w:marLeft w:val="0"/>
      <w:marRight w:val="0"/>
      <w:marTop w:val="0"/>
      <w:marBottom w:val="0"/>
      <w:divBdr>
        <w:top w:val="none" w:sz="0" w:space="0" w:color="auto"/>
        <w:left w:val="none" w:sz="0" w:space="0" w:color="auto"/>
        <w:bottom w:val="none" w:sz="0" w:space="0" w:color="auto"/>
        <w:right w:val="none" w:sz="0" w:space="0" w:color="auto"/>
      </w:divBdr>
    </w:div>
    <w:div w:id="844903844">
      <w:bodyDiv w:val="1"/>
      <w:marLeft w:val="0"/>
      <w:marRight w:val="0"/>
      <w:marTop w:val="0"/>
      <w:marBottom w:val="0"/>
      <w:divBdr>
        <w:top w:val="none" w:sz="0" w:space="0" w:color="auto"/>
        <w:left w:val="none" w:sz="0" w:space="0" w:color="auto"/>
        <w:bottom w:val="none" w:sz="0" w:space="0" w:color="auto"/>
        <w:right w:val="none" w:sz="0" w:space="0" w:color="auto"/>
      </w:divBdr>
    </w:div>
    <w:div w:id="851260179">
      <w:bodyDiv w:val="1"/>
      <w:marLeft w:val="0"/>
      <w:marRight w:val="0"/>
      <w:marTop w:val="0"/>
      <w:marBottom w:val="0"/>
      <w:divBdr>
        <w:top w:val="none" w:sz="0" w:space="0" w:color="auto"/>
        <w:left w:val="none" w:sz="0" w:space="0" w:color="auto"/>
        <w:bottom w:val="none" w:sz="0" w:space="0" w:color="auto"/>
        <w:right w:val="none" w:sz="0" w:space="0" w:color="auto"/>
      </w:divBdr>
    </w:div>
    <w:div w:id="866412493">
      <w:bodyDiv w:val="1"/>
      <w:marLeft w:val="0"/>
      <w:marRight w:val="0"/>
      <w:marTop w:val="0"/>
      <w:marBottom w:val="0"/>
      <w:divBdr>
        <w:top w:val="none" w:sz="0" w:space="0" w:color="auto"/>
        <w:left w:val="none" w:sz="0" w:space="0" w:color="auto"/>
        <w:bottom w:val="none" w:sz="0" w:space="0" w:color="auto"/>
        <w:right w:val="none" w:sz="0" w:space="0" w:color="auto"/>
      </w:divBdr>
      <w:divsChild>
        <w:div w:id="795832206">
          <w:marLeft w:val="0"/>
          <w:marRight w:val="0"/>
          <w:marTop w:val="0"/>
          <w:marBottom w:val="0"/>
          <w:divBdr>
            <w:top w:val="none" w:sz="0" w:space="0" w:color="auto"/>
            <w:left w:val="none" w:sz="0" w:space="0" w:color="auto"/>
            <w:bottom w:val="none" w:sz="0" w:space="0" w:color="auto"/>
            <w:right w:val="none" w:sz="0" w:space="0" w:color="auto"/>
          </w:divBdr>
        </w:div>
      </w:divsChild>
    </w:div>
    <w:div w:id="868179361">
      <w:bodyDiv w:val="1"/>
      <w:marLeft w:val="0"/>
      <w:marRight w:val="0"/>
      <w:marTop w:val="0"/>
      <w:marBottom w:val="0"/>
      <w:divBdr>
        <w:top w:val="none" w:sz="0" w:space="0" w:color="auto"/>
        <w:left w:val="none" w:sz="0" w:space="0" w:color="auto"/>
        <w:bottom w:val="none" w:sz="0" w:space="0" w:color="auto"/>
        <w:right w:val="none" w:sz="0" w:space="0" w:color="auto"/>
      </w:divBdr>
      <w:divsChild>
        <w:div w:id="1044521134">
          <w:marLeft w:val="0"/>
          <w:marRight w:val="0"/>
          <w:marTop w:val="0"/>
          <w:marBottom w:val="0"/>
          <w:divBdr>
            <w:top w:val="none" w:sz="0" w:space="0" w:color="auto"/>
            <w:left w:val="none" w:sz="0" w:space="0" w:color="auto"/>
            <w:bottom w:val="none" w:sz="0" w:space="0" w:color="auto"/>
            <w:right w:val="none" w:sz="0" w:space="0" w:color="auto"/>
          </w:divBdr>
        </w:div>
      </w:divsChild>
    </w:div>
    <w:div w:id="874272912">
      <w:bodyDiv w:val="1"/>
      <w:marLeft w:val="0"/>
      <w:marRight w:val="0"/>
      <w:marTop w:val="0"/>
      <w:marBottom w:val="0"/>
      <w:divBdr>
        <w:top w:val="none" w:sz="0" w:space="0" w:color="auto"/>
        <w:left w:val="none" w:sz="0" w:space="0" w:color="auto"/>
        <w:bottom w:val="none" w:sz="0" w:space="0" w:color="auto"/>
        <w:right w:val="none" w:sz="0" w:space="0" w:color="auto"/>
      </w:divBdr>
    </w:div>
    <w:div w:id="880239860">
      <w:bodyDiv w:val="1"/>
      <w:marLeft w:val="0"/>
      <w:marRight w:val="0"/>
      <w:marTop w:val="0"/>
      <w:marBottom w:val="0"/>
      <w:divBdr>
        <w:top w:val="none" w:sz="0" w:space="0" w:color="auto"/>
        <w:left w:val="none" w:sz="0" w:space="0" w:color="auto"/>
        <w:bottom w:val="none" w:sz="0" w:space="0" w:color="auto"/>
        <w:right w:val="none" w:sz="0" w:space="0" w:color="auto"/>
      </w:divBdr>
    </w:div>
    <w:div w:id="884830325">
      <w:bodyDiv w:val="1"/>
      <w:marLeft w:val="0"/>
      <w:marRight w:val="0"/>
      <w:marTop w:val="0"/>
      <w:marBottom w:val="0"/>
      <w:divBdr>
        <w:top w:val="none" w:sz="0" w:space="0" w:color="auto"/>
        <w:left w:val="none" w:sz="0" w:space="0" w:color="auto"/>
        <w:bottom w:val="none" w:sz="0" w:space="0" w:color="auto"/>
        <w:right w:val="none" w:sz="0" w:space="0" w:color="auto"/>
      </w:divBdr>
    </w:div>
    <w:div w:id="889196943">
      <w:bodyDiv w:val="1"/>
      <w:marLeft w:val="0"/>
      <w:marRight w:val="0"/>
      <w:marTop w:val="0"/>
      <w:marBottom w:val="0"/>
      <w:divBdr>
        <w:top w:val="none" w:sz="0" w:space="0" w:color="auto"/>
        <w:left w:val="none" w:sz="0" w:space="0" w:color="auto"/>
        <w:bottom w:val="none" w:sz="0" w:space="0" w:color="auto"/>
        <w:right w:val="none" w:sz="0" w:space="0" w:color="auto"/>
      </w:divBdr>
    </w:div>
    <w:div w:id="900676298">
      <w:bodyDiv w:val="1"/>
      <w:marLeft w:val="0"/>
      <w:marRight w:val="0"/>
      <w:marTop w:val="0"/>
      <w:marBottom w:val="0"/>
      <w:divBdr>
        <w:top w:val="none" w:sz="0" w:space="0" w:color="auto"/>
        <w:left w:val="none" w:sz="0" w:space="0" w:color="auto"/>
        <w:bottom w:val="none" w:sz="0" w:space="0" w:color="auto"/>
        <w:right w:val="none" w:sz="0" w:space="0" w:color="auto"/>
      </w:divBdr>
    </w:div>
    <w:div w:id="907806468">
      <w:bodyDiv w:val="1"/>
      <w:marLeft w:val="0"/>
      <w:marRight w:val="0"/>
      <w:marTop w:val="0"/>
      <w:marBottom w:val="0"/>
      <w:divBdr>
        <w:top w:val="none" w:sz="0" w:space="0" w:color="auto"/>
        <w:left w:val="none" w:sz="0" w:space="0" w:color="auto"/>
        <w:bottom w:val="none" w:sz="0" w:space="0" w:color="auto"/>
        <w:right w:val="none" w:sz="0" w:space="0" w:color="auto"/>
      </w:divBdr>
    </w:div>
    <w:div w:id="912004625">
      <w:bodyDiv w:val="1"/>
      <w:marLeft w:val="0"/>
      <w:marRight w:val="0"/>
      <w:marTop w:val="0"/>
      <w:marBottom w:val="0"/>
      <w:divBdr>
        <w:top w:val="none" w:sz="0" w:space="0" w:color="auto"/>
        <w:left w:val="none" w:sz="0" w:space="0" w:color="auto"/>
        <w:bottom w:val="none" w:sz="0" w:space="0" w:color="auto"/>
        <w:right w:val="none" w:sz="0" w:space="0" w:color="auto"/>
      </w:divBdr>
    </w:div>
    <w:div w:id="930284884">
      <w:bodyDiv w:val="1"/>
      <w:marLeft w:val="0"/>
      <w:marRight w:val="0"/>
      <w:marTop w:val="0"/>
      <w:marBottom w:val="0"/>
      <w:divBdr>
        <w:top w:val="none" w:sz="0" w:space="0" w:color="auto"/>
        <w:left w:val="none" w:sz="0" w:space="0" w:color="auto"/>
        <w:bottom w:val="none" w:sz="0" w:space="0" w:color="auto"/>
        <w:right w:val="none" w:sz="0" w:space="0" w:color="auto"/>
      </w:divBdr>
    </w:div>
    <w:div w:id="932593136">
      <w:bodyDiv w:val="1"/>
      <w:marLeft w:val="0"/>
      <w:marRight w:val="0"/>
      <w:marTop w:val="0"/>
      <w:marBottom w:val="0"/>
      <w:divBdr>
        <w:top w:val="none" w:sz="0" w:space="0" w:color="auto"/>
        <w:left w:val="none" w:sz="0" w:space="0" w:color="auto"/>
        <w:bottom w:val="none" w:sz="0" w:space="0" w:color="auto"/>
        <w:right w:val="none" w:sz="0" w:space="0" w:color="auto"/>
      </w:divBdr>
    </w:div>
    <w:div w:id="934632667">
      <w:bodyDiv w:val="1"/>
      <w:marLeft w:val="0"/>
      <w:marRight w:val="0"/>
      <w:marTop w:val="0"/>
      <w:marBottom w:val="0"/>
      <w:divBdr>
        <w:top w:val="none" w:sz="0" w:space="0" w:color="auto"/>
        <w:left w:val="none" w:sz="0" w:space="0" w:color="auto"/>
        <w:bottom w:val="none" w:sz="0" w:space="0" w:color="auto"/>
        <w:right w:val="none" w:sz="0" w:space="0" w:color="auto"/>
      </w:divBdr>
    </w:div>
    <w:div w:id="939291263">
      <w:bodyDiv w:val="1"/>
      <w:marLeft w:val="0"/>
      <w:marRight w:val="0"/>
      <w:marTop w:val="0"/>
      <w:marBottom w:val="0"/>
      <w:divBdr>
        <w:top w:val="none" w:sz="0" w:space="0" w:color="auto"/>
        <w:left w:val="none" w:sz="0" w:space="0" w:color="auto"/>
        <w:bottom w:val="none" w:sz="0" w:space="0" w:color="auto"/>
        <w:right w:val="none" w:sz="0" w:space="0" w:color="auto"/>
      </w:divBdr>
    </w:div>
    <w:div w:id="957685013">
      <w:bodyDiv w:val="1"/>
      <w:marLeft w:val="0"/>
      <w:marRight w:val="0"/>
      <w:marTop w:val="0"/>
      <w:marBottom w:val="0"/>
      <w:divBdr>
        <w:top w:val="none" w:sz="0" w:space="0" w:color="auto"/>
        <w:left w:val="none" w:sz="0" w:space="0" w:color="auto"/>
        <w:bottom w:val="none" w:sz="0" w:space="0" w:color="auto"/>
        <w:right w:val="none" w:sz="0" w:space="0" w:color="auto"/>
      </w:divBdr>
      <w:divsChild>
        <w:div w:id="1257785874">
          <w:marLeft w:val="0"/>
          <w:marRight w:val="0"/>
          <w:marTop w:val="0"/>
          <w:marBottom w:val="0"/>
          <w:divBdr>
            <w:top w:val="none" w:sz="0" w:space="0" w:color="auto"/>
            <w:left w:val="none" w:sz="0" w:space="0" w:color="auto"/>
            <w:bottom w:val="none" w:sz="0" w:space="0" w:color="auto"/>
            <w:right w:val="none" w:sz="0" w:space="0" w:color="auto"/>
          </w:divBdr>
        </w:div>
      </w:divsChild>
    </w:div>
    <w:div w:id="966081467">
      <w:bodyDiv w:val="1"/>
      <w:marLeft w:val="0"/>
      <w:marRight w:val="0"/>
      <w:marTop w:val="0"/>
      <w:marBottom w:val="0"/>
      <w:divBdr>
        <w:top w:val="none" w:sz="0" w:space="0" w:color="auto"/>
        <w:left w:val="none" w:sz="0" w:space="0" w:color="auto"/>
        <w:bottom w:val="none" w:sz="0" w:space="0" w:color="auto"/>
        <w:right w:val="none" w:sz="0" w:space="0" w:color="auto"/>
      </w:divBdr>
    </w:div>
    <w:div w:id="967588079">
      <w:bodyDiv w:val="1"/>
      <w:marLeft w:val="0"/>
      <w:marRight w:val="0"/>
      <w:marTop w:val="0"/>
      <w:marBottom w:val="0"/>
      <w:divBdr>
        <w:top w:val="none" w:sz="0" w:space="0" w:color="auto"/>
        <w:left w:val="none" w:sz="0" w:space="0" w:color="auto"/>
        <w:bottom w:val="none" w:sz="0" w:space="0" w:color="auto"/>
        <w:right w:val="none" w:sz="0" w:space="0" w:color="auto"/>
      </w:divBdr>
    </w:div>
    <w:div w:id="968127801">
      <w:bodyDiv w:val="1"/>
      <w:marLeft w:val="0"/>
      <w:marRight w:val="0"/>
      <w:marTop w:val="0"/>
      <w:marBottom w:val="0"/>
      <w:divBdr>
        <w:top w:val="none" w:sz="0" w:space="0" w:color="auto"/>
        <w:left w:val="none" w:sz="0" w:space="0" w:color="auto"/>
        <w:bottom w:val="none" w:sz="0" w:space="0" w:color="auto"/>
        <w:right w:val="none" w:sz="0" w:space="0" w:color="auto"/>
      </w:divBdr>
    </w:div>
    <w:div w:id="977608170">
      <w:bodyDiv w:val="1"/>
      <w:marLeft w:val="0"/>
      <w:marRight w:val="0"/>
      <w:marTop w:val="0"/>
      <w:marBottom w:val="0"/>
      <w:divBdr>
        <w:top w:val="none" w:sz="0" w:space="0" w:color="auto"/>
        <w:left w:val="none" w:sz="0" w:space="0" w:color="auto"/>
        <w:bottom w:val="none" w:sz="0" w:space="0" w:color="auto"/>
        <w:right w:val="none" w:sz="0" w:space="0" w:color="auto"/>
      </w:divBdr>
      <w:divsChild>
        <w:div w:id="928804993">
          <w:marLeft w:val="0"/>
          <w:marRight w:val="0"/>
          <w:marTop w:val="0"/>
          <w:marBottom w:val="0"/>
          <w:divBdr>
            <w:top w:val="single" w:sz="2" w:space="0" w:color="E4E6E8"/>
            <w:left w:val="single" w:sz="2" w:space="0" w:color="E4E6E8"/>
            <w:bottom w:val="single" w:sz="2" w:space="0" w:color="E4E6E8"/>
            <w:right w:val="single" w:sz="2" w:space="0" w:color="E4E6E8"/>
          </w:divBdr>
          <w:divsChild>
            <w:div w:id="842668025">
              <w:marLeft w:val="480"/>
              <w:marRight w:val="0"/>
              <w:marTop w:val="0"/>
              <w:marBottom w:val="0"/>
              <w:divBdr>
                <w:top w:val="single" w:sz="2" w:space="0" w:color="E4E6E8"/>
                <w:left w:val="single" w:sz="2" w:space="0" w:color="E4E6E8"/>
                <w:bottom w:val="single" w:sz="2" w:space="0" w:color="E4E6E8"/>
                <w:right w:val="single" w:sz="2" w:space="0" w:color="E4E6E8"/>
              </w:divBdr>
              <w:divsChild>
                <w:div w:id="1147087766">
                  <w:marLeft w:val="0"/>
                  <w:marRight w:val="0"/>
                  <w:marTop w:val="0"/>
                  <w:marBottom w:val="240"/>
                  <w:divBdr>
                    <w:top w:val="single" w:sz="2" w:space="0" w:color="E4E6E8"/>
                    <w:left w:val="single" w:sz="2" w:space="0" w:color="E4E6E8"/>
                    <w:bottom w:val="single" w:sz="2" w:space="0" w:color="E4E6E8"/>
                    <w:right w:val="single" w:sz="2" w:space="0" w:color="E4E6E8"/>
                  </w:divBdr>
                </w:div>
              </w:divsChild>
            </w:div>
          </w:divsChild>
        </w:div>
      </w:divsChild>
    </w:div>
    <w:div w:id="977883882">
      <w:bodyDiv w:val="1"/>
      <w:marLeft w:val="0"/>
      <w:marRight w:val="0"/>
      <w:marTop w:val="0"/>
      <w:marBottom w:val="0"/>
      <w:divBdr>
        <w:top w:val="none" w:sz="0" w:space="0" w:color="auto"/>
        <w:left w:val="none" w:sz="0" w:space="0" w:color="auto"/>
        <w:bottom w:val="none" w:sz="0" w:space="0" w:color="auto"/>
        <w:right w:val="none" w:sz="0" w:space="0" w:color="auto"/>
      </w:divBdr>
    </w:div>
    <w:div w:id="981038559">
      <w:bodyDiv w:val="1"/>
      <w:marLeft w:val="0"/>
      <w:marRight w:val="0"/>
      <w:marTop w:val="0"/>
      <w:marBottom w:val="0"/>
      <w:divBdr>
        <w:top w:val="none" w:sz="0" w:space="0" w:color="auto"/>
        <w:left w:val="none" w:sz="0" w:space="0" w:color="auto"/>
        <w:bottom w:val="none" w:sz="0" w:space="0" w:color="auto"/>
        <w:right w:val="none" w:sz="0" w:space="0" w:color="auto"/>
      </w:divBdr>
    </w:div>
    <w:div w:id="989941245">
      <w:bodyDiv w:val="1"/>
      <w:marLeft w:val="0"/>
      <w:marRight w:val="0"/>
      <w:marTop w:val="0"/>
      <w:marBottom w:val="0"/>
      <w:divBdr>
        <w:top w:val="none" w:sz="0" w:space="0" w:color="auto"/>
        <w:left w:val="none" w:sz="0" w:space="0" w:color="auto"/>
        <w:bottom w:val="none" w:sz="0" w:space="0" w:color="auto"/>
        <w:right w:val="none" w:sz="0" w:space="0" w:color="auto"/>
      </w:divBdr>
    </w:div>
    <w:div w:id="1004866296">
      <w:bodyDiv w:val="1"/>
      <w:marLeft w:val="0"/>
      <w:marRight w:val="0"/>
      <w:marTop w:val="0"/>
      <w:marBottom w:val="0"/>
      <w:divBdr>
        <w:top w:val="none" w:sz="0" w:space="0" w:color="auto"/>
        <w:left w:val="none" w:sz="0" w:space="0" w:color="auto"/>
        <w:bottom w:val="none" w:sz="0" w:space="0" w:color="auto"/>
        <w:right w:val="none" w:sz="0" w:space="0" w:color="auto"/>
      </w:divBdr>
    </w:div>
    <w:div w:id="1017003770">
      <w:bodyDiv w:val="1"/>
      <w:marLeft w:val="0"/>
      <w:marRight w:val="0"/>
      <w:marTop w:val="0"/>
      <w:marBottom w:val="0"/>
      <w:divBdr>
        <w:top w:val="none" w:sz="0" w:space="0" w:color="auto"/>
        <w:left w:val="none" w:sz="0" w:space="0" w:color="auto"/>
        <w:bottom w:val="none" w:sz="0" w:space="0" w:color="auto"/>
        <w:right w:val="none" w:sz="0" w:space="0" w:color="auto"/>
      </w:divBdr>
    </w:div>
    <w:div w:id="1020741934">
      <w:bodyDiv w:val="1"/>
      <w:marLeft w:val="0"/>
      <w:marRight w:val="0"/>
      <w:marTop w:val="0"/>
      <w:marBottom w:val="0"/>
      <w:divBdr>
        <w:top w:val="none" w:sz="0" w:space="0" w:color="auto"/>
        <w:left w:val="none" w:sz="0" w:space="0" w:color="auto"/>
        <w:bottom w:val="none" w:sz="0" w:space="0" w:color="auto"/>
        <w:right w:val="none" w:sz="0" w:space="0" w:color="auto"/>
      </w:divBdr>
    </w:div>
    <w:div w:id="1024015219">
      <w:bodyDiv w:val="1"/>
      <w:marLeft w:val="0"/>
      <w:marRight w:val="0"/>
      <w:marTop w:val="0"/>
      <w:marBottom w:val="0"/>
      <w:divBdr>
        <w:top w:val="none" w:sz="0" w:space="0" w:color="auto"/>
        <w:left w:val="none" w:sz="0" w:space="0" w:color="auto"/>
        <w:bottom w:val="none" w:sz="0" w:space="0" w:color="auto"/>
        <w:right w:val="none" w:sz="0" w:space="0" w:color="auto"/>
      </w:divBdr>
    </w:div>
    <w:div w:id="1030957658">
      <w:bodyDiv w:val="1"/>
      <w:marLeft w:val="0"/>
      <w:marRight w:val="0"/>
      <w:marTop w:val="0"/>
      <w:marBottom w:val="0"/>
      <w:divBdr>
        <w:top w:val="none" w:sz="0" w:space="0" w:color="auto"/>
        <w:left w:val="none" w:sz="0" w:space="0" w:color="auto"/>
        <w:bottom w:val="none" w:sz="0" w:space="0" w:color="auto"/>
        <w:right w:val="none" w:sz="0" w:space="0" w:color="auto"/>
      </w:divBdr>
    </w:div>
    <w:div w:id="1045643454">
      <w:bodyDiv w:val="1"/>
      <w:marLeft w:val="0"/>
      <w:marRight w:val="0"/>
      <w:marTop w:val="0"/>
      <w:marBottom w:val="0"/>
      <w:divBdr>
        <w:top w:val="none" w:sz="0" w:space="0" w:color="auto"/>
        <w:left w:val="none" w:sz="0" w:space="0" w:color="auto"/>
        <w:bottom w:val="none" w:sz="0" w:space="0" w:color="auto"/>
        <w:right w:val="none" w:sz="0" w:space="0" w:color="auto"/>
      </w:divBdr>
    </w:div>
    <w:div w:id="1047097360">
      <w:bodyDiv w:val="1"/>
      <w:marLeft w:val="0"/>
      <w:marRight w:val="0"/>
      <w:marTop w:val="0"/>
      <w:marBottom w:val="0"/>
      <w:divBdr>
        <w:top w:val="none" w:sz="0" w:space="0" w:color="auto"/>
        <w:left w:val="none" w:sz="0" w:space="0" w:color="auto"/>
        <w:bottom w:val="none" w:sz="0" w:space="0" w:color="auto"/>
        <w:right w:val="none" w:sz="0" w:space="0" w:color="auto"/>
      </w:divBdr>
    </w:div>
    <w:div w:id="1048262680">
      <w:bodyDiv w:val="1"/>
      <w:marLeft w:val="0"/>
      <w:marRight w:val="0"/>
      <w:marTop w:val="0"/>
      <w:marBottom w:val="0"/>
      <w:divBdr>
        <w:top w:val="none" w:sz="0" w:space="0" w:color="auto"/>
        <w:left w:val="none" w:sz="0" w:space="0" w:color="auto"/>
        <w:bottom w:val="none" w:sz="0" w:space="0" w:color="auto"/>
        <w:right w:val="none" w:sz="0" w:space="0" w:color="auto"/>
      </w:divBdr>
    </w:div>
    <w:div w:id="1050609733">
      <w:bodyDiv w:val="1"/>
      <w:marLeft w:val="0"/>
      <w:marRight w:val="0"/>
      <w:marTop w:val="0"/>
      <w:marBottom w:val="0"/>
      <w:divBdr>
        <w:top w:val="none" w:sz="0" w:space="0" w:color="auto"/>
        <w:left w:val="none" w:sz="0" w:space="0" w:color="auto"/>
        <w:bottom w:val="none" w:sz="0" w:space="0" w:color="auto"/>
        <w:right w:val="none" w:sz="0" w:space="0" w:color="auto"/>
      </w:divBdr>
    </w:div>
    <w:div w:id="1052921819">
      <w:bodyDiv w:val="1"/>
      <w:marLeft w:val="0"/>
      <w:marRight w:val="0"/>
      <w:marTop w:val="0"/>
      <w:marBottom w:val="0"/>
      <w:divBdr>
        <w:top w:val="none" w:sz="0" w:space="0" w:color="auto"/>
        <w:left w:val="none" w:sz="0" w:space="0" w:color="auto"/>
        <w:bottom w:val="none" w:sz="0" w:space="0" w:color="auto"/>
        <w:right w:val="none" w:sz="0" w:space="0" w:color="auto"/>
      </w:divBdr>
    </w:div>
    <w:div w:id="1056784954">
      <w:bodyDiv w:val="1"/>
      <w:marLeft w:val="0"/>
      <w:marRight w:val="0"/>
      <w:marTop w:val="0"/>
      <w:marBottom w:val="0"/>
      <w:divBdr>
        <w:top w:val="none" w:sz="0" w:space="0" w:color="auto"/>
        <w:left w:val="none" w:sz="0" w:space="0" w:color="auto"/>
        <w:bottom w:val="none" w:sz="0" w:space="0" w:color="auto"/>
        <w:right w:val="none" w:sz="0" w:space="0" w:color="auto"/>
      </w:divBdr>
    </w:div>
    <w:div w:id="1082020139">
      <w:bodyDiv w:val="1"/>
      <w:marLeft w:val="0"/>
      <w:marRight w:val="0"/>
      <w:marTop w:val="0"/>
      <w:marBottom w:val="0"/>
      <w:divBdr>
        <w:top w:val="none" w:sz="0" w:space="0" w:color="auto"/>
        <w:left w:val="none" w:sz="0" w:space="0" w:color="auto"/>
        <w:bottom w:val="none" w:sz="0" w:space="0" w:color="auto"/>
        <w:right w:val="none" w:sz="0" w:space="0" w:color="auto"/>
      </w:divBdr>
    </w:div>
    <w:div w:id="1085881768">
      <w:bodyDiv w:val="1"/>
      <w:marLeft w:val="0"/>
      <w:marRight w:val="0"/>
      <w:marTop w:val="0"/>
      <w:marBottom w:val="0"/>
      <w:divBdr>
        <w:top w:val="none" w:sz="0" w:space="0" w:color="auto"/>
        <w:left w:val="none" w:sz="0" w:space="0" w:color="auto"/>
        <w:bottom w:val="none" w:sz="0" w:space="0" w:color="auto"/>
        <w:right w:val="none" w:sz="0" w:space="0" w:color="auto"/>
      </w:divBdr>
    </w:div>
    <w:div w:id="1087725202">
      <w:bodyDiv w:val="1"/>
      <w:marLeft w:val="0"/>
      <w:marRight w:val="0"/>
      <w:marTop w:val="0"/>
      <w:marBottom w:val="0"/>
      <w:divBdr>
        <w:top w:val="none" w:sz="0" w:space="0" w:color="auto"/>
        <w:left w:val="none" w:sz="0" w:space="0" w:color="auto"/>
        <w:bottom w:val="none" w:sz="0" w:space="0" w:color="auto"/>
        <w:right w:val="none" w:sz="0" w:space="0" w:color="auto"/>
      </w:divBdr>
    </w:div>
    <w:div w:id="1100101563">
      <w:bodyDiv w:val="1"/>
      <w:marLeft w:val="0"/>
      <w:marRight w:val="0"/>
      <w:marTop w:val="0"/>
      <w:marBottom w:val="0"/>
      <w:divBdr>
        <w:top w:val="none" w:sz="0" w:space="0" w:color="auto"/>
        <w:left w:val="none" w:sz="0" w:space="0" w:color="auto"/>
        <w:bottom w:val="none" w:sz="0" w:space="0" w:color="auto"/>
        <w:right w:val="none" w:sz="0" w:space="0" w:color="auto"/>
      </w:divBdr>
      <w:divsChild>
        <w:div w:id="966936005">
          <w:marLeft w:val="0"/>
          <w:marRight w:val="0"/>
          <w:marTop w:val="0"/>
          <w:marBottom w:val="0"/>
          <w:divBdr>
            <w:top w:val="single" w:sz="2" w:space="0" w:color="D9D9E3"/>
            <w:left w:val="single" w:sz="2" w:space="0" w:color="D9D9E3"/>
            <w:bottom w:val="single" w:sz="2" w:space="0" w:color="D9D9E3"/>
            <w:right w:val="single" w:sz="2" w:space="0" w:color="D9D9E3"/>
          </w:divBdr>
          <w:divsChild>
            <w:div w:id="489829821">
              <w:marLeft w:val="0"/>
              <w:marRight w:val="0"/>
              <w:marTop w:val="0"/>
              <w:marBottom w:val="0"/>
              <w:divBdr>
                <w:top w:val="single" w:sz="2" w:space="0" w:color="D9D9E3"/>
                <w:left w:val="single" w:sz="2" w:space="0" w:color="D9D9E3"/>
                <w:bottom w:val="single" w:sz="2" w:space="0" w:color="D9D9E3"/>
                <w:right w:val="single" w:sz="2" w:space="0" w:color="D9D9E3"/>
              </w:divBdr>
              <w:divsChild>
                <w:div w:id="1432894058">
                  <w:marLeft w:val="0"/>
                  <w:marRight w:val="0"/>
                  <w:marTop w:val="0"/>
                  <w:marBottom w:val="0"/>
                  <w:divBdr>
                    <w:top w:val="single" w:sz="2" w:space="0" w:color="D9D9E3"/>
                    <w:left w:val="single" w:sz="2" w:space="0" w:color="D9D9E3"/>
                    <w:bottom w:val="single" w:sz="2" w:space="0" w:color="D9D9E3"/>
                    <w:right w:val="single" w:sz="2" w:space="0" w:color="D9D9E3"/>
                  </w:divBdr>
                  <w:divsChild>
                    <w:div w:id="2057196742">
                      <w:marLeft w:val="0"/>
                      <w:marRight w:val="0"/>
                      <w:marTop w:val="0"/>
                      <w:marBottom w:val="0"/>
                      <w:divBdr>
                        <w:top w:val="single" w:sz="2" w:space="0" w:color="D9D9E3"/>
                        <w:left w:val="single" w:sz="2" w:space="0" w:color="D9D9E3"/>
                        <w:bottom w:val="single" w:sz="2" w:space="0" w:color="D9D9E3"/>
                        <w:right w:val="single" w:sz="2" w:space="0" w:color="D9D9E3"/>
                      </w:divBdr>
                      <w:divsChild>
                        <w:div w:id="1411661451">
                          <w:marLeft w:val="0"/>
                          <w:marRight w:val="0"/>
                          <w:marTop w:val="0"/>
                          <w:marBottom w:val="0"/>
                          <w:divBdr>
                            <w:top w:val="single" w:sz="2" w:space="0" w:color="auto"/>
                            <w:left w:val="single" w:sz="2" w:space="0" w:color="auto"/>
                            <w:bottom w:val="single" w:sz="6" w:space="0" w:color="auto"/>
                            <w:right w:val="single" w:sz="2" w:space="0" w:color="auto"/>
                          </w:divBdr>
                          <w:divsChild>
                            <w:div w:id="768475375">
                              <w:marLeft w:val="0"/>
                              <w:marRight w:val="0"/>
                              <w:marTop w:val="100"/>
                              <w:marBottom w:val="100"/>
                              <w:divBdr>
                                <w:top w:val="single" w:sz="2" w:space="0" w:color="D9D9E3"/>
                                <w:left w:val="single" w:sz="2" w:space="0" w:color="D9D9E3"/>
                                <w:bottom w:val="single" w:sz="2" w:space="0" w:color="D9D9E3"/>
                                <w:right w:val="single" w:sz="2" w:space="0" w:color="D9D9E3"/>
                              </w:divBdr>
                              <w:divsChild>
                                <w:div w:id="751656491">
                                  <w:marLeft w:val="0"/>
                                  <w:marRight w:val="0"/>
                                  <w:marTop w:val="0"/>
                                  <w:marBottom w:val="0"/>
                                  <w:divBdr>
                                    <w:top w:val="single" w:sz="2" w:space="0" w:color="D9D9E3"/>
                                    <w:left w:val="single" w:sz="2" w:space="0" w:color="D9D9E3"/>
                                    <w:bottom w:val="single" w:sz="2" w:space="0" w:color="D9D9E3"/>
                                    <w:right w:val="single" w:sz="2" w:space="0" w:color="D9D9E3"/>
                                  </w:divBdr>
                                  <w:divsChild>
                                    <w:div w:id="1235504631">
                                      <w:marLeft w:val="0"/>
                                      <w:marRight w:val="0"/>
                                      <w:marTop w:val="0"/>
                                      <w:marBottom w:val="0"/>
                                      <w:divBdr>
                                        <w:top w:val="single" w:sz="2" w:space="0" w:color="D9D9E3"/>
                                        <w:left w:val="single" w:sz="2" w:space="0" w:color="D9D9E3"/>
                                        <w:bottom w:val="single" w:sz="2" w:space="0" w:color="D9D9E3"/>
                                        <w:right w:val="single" w:sz="2" w:space="0" w:color="D9D9E3"/>
                                      </w:divBdr>
                                      <w:divsChild>
                                        <w:div w:id="369695674">
                                          <w:marLeft w:val="0"/>
                                          <w:marRight w:val="0"/>
                                          <w:marTop w:val="0"/>
                                          <w:marBottom w:val="0"/>
                                          <w:divBdr>
                                            <w:top w:val="single" w:sz="2" w:space="0" w:color="D9D9E3"/>
                                            <w:left w:val="single" w:sz="2" w:space="0" w:color="D9D9E3"/>
                                            <w:bottom w:val="single" w:sz="2" w:space="0" w:color="D9D9E3"/>
                                            <w:right w:val="single" w:sz="2" w:space="0" w:color="D9D9E3"/>
                                          </w:divBdr>
                                          <w:divsChild>
                                            <w:div w:id="21247668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238397341">
          <w:marLeft w:val="0"/>
          <w:marRight w:val="0"/>
          <w:marTop w:val="0"/>
          <w:marBottom w:val="0"/>
          <w:divBdr>
            <w:top w:val="none" w:sz="0" w:space="0" w:color="auto"/>
            <w:left w:val="none" w:sz="0" w:space="0" w:color="auto"/>
            <w:bottom w:val="none" w:sz="0" w:space="0" w:color="auto"/>
            <w:right w:val="none" w:sz="0" w:space="0" w:color="auto"/>
          </w:divBdr>
          <w:divsChild>
            <w:div w:id="76905930">
              <w:marLeft w:val="0"/>
              <w:marRight w:val="0"/>
              <w:marTop w:val="0"/>
              <w:marBottom w:val="0"/>
              <w:divBdr>
                <w:top w:val="single" w:sz="2" w:space="0" w:color="D9D9E3"/>
                <w:left w:val="single" w:sz="2" w:space="0" w:color="D9D9E3"/>
                <w:bottom w:val="single" w:sz="2" w:space="0" w:color="D9D9E3"/>
                <w:right w:val="single" w:sz="2" w:space="0" w:color="D9D9E3"/>
              </w:divBdr>
              <w:divsChild>
                <w:div w:id="10713883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104812379">
      <w:bodyDiv w:val="1"/>
      <w:marLeft w:val="0"/>
      <w:marRight w:val="0"/>
      <w:marTop w:val="0"/>
      <w:marBottom w:val="0"/>
      <w:divBdr>
        <w:top w:val="none" w:sz="0" w:space="0" w:color="auto"/>
        <w:left w:val="none" w:sz="0" w:space="0" w:color="auto"/>
        <w:bottom w:val="none" w:sz="0" w:space="0" w:color="auto"/>
        <w:right w:val="none" w:sz="0" w:space="0" w:color="auto"/>
      </w:divBdr>
    </w:div>
    <w:div w:id="1106849816">
      <w:bodyDiv w:val="1"/>
      <w:marLeft w:val="0"/>
      <w:marRight w:val="0"/>
      <w:marTop w:val="0"/>
      <w:marBottom w:val="0"/>
      <w:divBdr>
        <w:top w:val="none" w:sz="0" w:space="0" w:color="auto"/>
        <w:left w:val="none" w:sz="0" w:space="0" w:color="auto"/>
        <w:bottom w:val="none" w:sz="0" w:space="0" w:color="auto"/>
        <w:right w:val="none" w:sz="0" w:space="0" w:color="auto"/>
      </w:divBdr>
    </w:div>
    <w:div w:id="1112089640">
      <w:bodyDiv w:val="1"/>
      <w:marLeft w:val="0"/>
      <w:marRight w:val="0"/>
      <w:marTop w:val="0"/>
      <w:marBottom w:val="0"/>
      <w:divBdr>
        <w:top w:val="none" w:sz="0" w:space="0" w:color="auto"/>
        <w:left w:val="none" w:sz="0" w:space="0" w:color="auto"/>
        <w:bottom w:val="none" w:sz="0" w:space="0" w:color="auto"/>
        <w:right w:val="none" w:sz="0" w:space="0" w:color="auto"/>
      </w:divBdr>
    </w:div>
    <w:div w:id="1115756901">
      <w:bodyDiv w:val="1"/>
      <w:marLeft w:val="0"/>
      <w:marRight w:val="0"/>
      <w:marTop w:val="0"/>
      <w:marBottom w:val="0"/>
      <w:divBdr>
        <w:top w:val="none" w:sz="0" w:space="0" w:color="auto"/>
        <w:left w:val="none" w:sz="0" w:space="0" w:color="auto"/>
        <w:bottom w:val="none" w:sz="0" w:space="0" w:color="auto"/>
        <w:right w:val="none" w:sz="0" w:space="0" w:color="auto"/>
      </w:divBdr>
    </w:div>
    <w:div w:id="1122921366">
      <w:bodyDiv w:val="1"/>
      <w:marLeft w:val="0"/>
      <w:marRight w:val="0"/>
      <w:marTop w:val="0"/>
      <w:marBottom w:val="0"/>
      <w:divBdr>
        <w:top w:val="none" w:sz="0" w:space="0" w:color="auto"/>
        <w:left w:val="none" w:sz="0" w:space="0" w:color="auto"/>
        <w:bottom w:val="none" w:sz="0" w:space="0" w:color="auto"/>
        <w:right w:val="none" w:sz="0" w:space="0" w:color="auto"/>
      </w:divBdr>
    </w:div>
    <w:div w:id="1134710228">
      <w:bodyDiv w:val="1"/>
      <w:marLeft w:val="0"/>
      <w:marRight w:val="0"/>
      <w:marTop w:val="0"/>
      <w:marBottom w:val="0"/>
      <w:divBdr>
        <w:top w:val="none" w:sz="0" w:space="0" w:color="auto"/>
        <w:left w:val="none" w:sz="0" w:space="0" w:color="auto"/>
        <w:bottom w:val="none" w:sz="0" w:space="0" w:color="auto"/>
        <w:right w:val="none" w:sz="0" w:space="0" w:color="auto"/>
      </w:divBdr>
    </w:div>
    <w:div w:id="1135023283">
      <w:bodyDiv w:val="1"/>
      <w:marLeft w:val="0"/>
      <w:marRight w:val="0"/>
      <w:marTop w:val="0"/>
      <w:marBottom w:val="0"/>
      <w:divBdr>
        <w:top w:val="none" w:sz="0" w:space="0" w:color="auto"/>
        <w:left w:val="none" w:sz="0" w:space="0" w:color="auto"/>
        <w:bottom w:val="none" w:sz="0" w:space="0" w:color="auto"/>
        <w:right w:val="none" w:sz="0" w:space="0" w:color="auto"/>
      </w:divBdr>
    </w:div>
    <w:div w:id="1136607364">
      <w:bodyDiv w:val="1"/>
      <w:marLeft w:val="0"/>
      <w:marRight w:val="0"/>
      <w:marTop w:val="0"/>
      <w:marBottom w:val="0"/>
      <w:divBdr>
        <w:top w:val="none" w:sz="0" w:space="0" w:color="auto"/>
        <w:left w:val="none" w:sz="0" w:space="0" w:color="auto"/>
        <w:bottom w:val="none" w:sz="0" w:space="0" w:color="auto"/>
        <w:right w:val="none" w:sz="0" w:space="0" w:color="auto"/>
      </w:divBdr>
    </w:div>
    <w:div w:id="1161697964">
      <w:bodyDiv w:val="1"/>
      <w:marLeft w:val="0"/>
      <w:marRight w:val="0"/>
      <w:marTop w:val="0"/>
      <w:marBottom w:val="0"/>
      <w:divBdr>
        <w:top w:val="none" w:sz="0" w:space="0" w:color="auto"/>
        <w:left w:val="none" w:sz="0" w:space="0" w:color="auto"/>
        <w:bottom w:val="none" w:sz="0" w:space="0" w:color="auto"/>
        <w:right w:val="none" w:sz="0" w:space="0" w:color="auto"/>
      </w:divBdr>
      <w:divsChild>
        <w:div w:id="1095445619">
          <w:marLeft w:val="0"/>
          <w:marRight w:val="0"/>
          <w:marTop w:val="0"/>
          <w:marBottom w:val="0"/>
          <w:divBdr>
            <w:top w:val="none" w:sz="0" w:space="0" w:color="auto"/>
            <w:left w:val="none" w:sz="0" w:space="0" w:color="auto"/>
            <w:bottom w:val="none" w:sz="0" w:space="0" w:color="auto"/>
            <w:right w:val="none" w:sz="0" w:space="0" w:color="auto"/>
          </w:divBdr>
        </w:div>
      </w:divsChild>
    </w:div>
    <w:div w:id="1162312980">
      <w:bodyDiv w:val="1"/>
      <w:marLeft w:val="0"/>
      <w:marRight w:val="0"/>
      <w:marTop w:val="0"/>
      <w:marBottom w:val="0"/>
      <w:divBdr>
        <w:top w:val="none" w:sz="0" w:space="0" w:color="auto"/>
        <w:left w:val="none" w:sz="0" w:space="0" w:color="auto"/>
        <w:bottom w:val="none" w:sz="0" w:space="0" w:color="auto"/>
        <w:right w:val="none" w:sz="0" w:space="0" w:color="auto"/>
      </w:divBdr>
      <w:divsChild>
        <w:div w:id="837816402">
          <w:marLeft w:val="0"/>
          <w:marRight w:val="0"/>
          <w:marTop w:val="0"/>
          <w:marBottom w:val="0"/>
          <w:divBdr>
            <w:top w:val="single" w:sz="2" w:space="0" w:color="D9D9E3"/>
            <w:left w:val="single" w:sz="2" w:space="0" w:color="D9D9E3"/>
            <w:bottom w:val="single" w:sz="2" w:space="0" w:color="D9D9E3"/>
            <w:right w:val="single" w:sz="2" w:space="0" w:color="D9D9E3"/>
          </w:divBdr>
          <w:divsChild>
            <w:div w:id="1472748068">
              <w:marLeft w:val="0"/>
              <w:marRight w:val="0"/>
              <w:marTop w:val="0"/>
              <w:marBottom w:val="0"/>
              <w:divBdr>
                <w:top w:val="single" w:sz="2" w:space="0" w:color="D9D9E3"/>
                <w:left w:val="single" w:sz="2" w:space="0" w:color="D9D9E3"/>
                <w:bottom w:val="single" w:sz="2" w:space="0" w:color="D9D9E3"/>
                <w:right w:val="single" w:sz="2" w:space="0" w:color="D9D9E3"/>
              </w:divBdr>
              <w:divsChild>
                <w:div w:id="126122365">
                  <w:marLeft w:val="0"/>
                  <w:marRight w:val="0"/>
                  <w:marTop w:val="0"/>
                  <w:marBottom w:val="0"/>
                  <w:divBdr>
                    <w:top w:val="single" w:sz="2" w:space="0" w:color="D9D9E3"/>
                    <w:left w:val="single" w:sz="2" w:space="0" w:color="D9D9E3"/>
                    <w:bottom w:val="single" w:sz="2" w:space="0" w:color="D9D9E3"/>
                    <w:right w:val="single" w:sz="2" w:space="0" w:color="D9D9E3"/>
                  </w:divBdr>
                  <w:divsChild>
                    <w:div w:id="71204703">
                      <w:marLeft w:val="0"/>
                      <w:marRight w:val="0"/>
                      <w:marTop w:val="0"/>
                      <w:marBottom w:val="0"/>
                      <w:divBdr>
                        <w:top w:val="single" w:sz="2" w:space="0" w:color="D9D9E3"/>
                        <w:left w:val="single" w:sz="2" w:space="0" w:color="D9D9E3"/>
                        <w:bottom w:val="single" w:sz="2" w:space="0" w:color="D9D9E3"/>
                        <w:right w:val="single" w:sz="2" w:space="0" w:color="D9D9E3"/>
                      </w:divBdr>
                      <w:divsChild>
                        <w:div w:id="828208163">
                          <w:marLeft w:val="0"/>
                          <w:marRight w:val="0"/>
                          <w:marTop w:val="0"/>
                          <w:marBottom w:val="0"/>
                          <w:divBdr>
                            <w:top w:val="single" w:sz="2" w:space="0" w:color="auto"/>
                            <w:left w:val="single" w:sz="2" w:space="0" w:color="auto"/>
                            <w:bottom w:val="single" w:sz="6" w:space="0" w:color="auto"/>
                            <w:right w:val="single" w:sz="2" w:space="0" w:color="auto"/>
                          </w:divBdr>
                          <w:divsChild>
                            <w:div w:id="1777403939">
                              <w:marLeft w:val="0"/>
                              <w:marRight w:val="0"/>
                              <w:marTop w:val="100"/>
                              <w:marBottom w:val="100"/>
                              <w:divBdr>
                                <w:top w:val="single" w:sz="2" w:space="0" w:color="D9D9E3"/>
                                <w:left w:val="single" w:sz="2" w:space="0" w:color="D9D9E3"/>
                                <w:bottom w:val="single" w:sz="2" w:space="0" w:color="D9D9E3"/>
                                <w:right w:val="single" w:sz="2" w:space="0" w:color="D9D9E3"/>
                              </w:divBdr>
                              <w:divsChild>
                                <w:div w:id="1700542687">
                                  <w:marLeft w:val="0"/>
                                  <w:marRight w:val="0"/>
                                  <w:marTop w:val="0"/>
                                  <w:marBottom w:val="0"/>
                                  <w:divBdr>
                                    <w:top w:val="single" w:sz="2" w:space="0" w:color="D9D9E3"/>
                                    <w:left w:val="single" w:sz="2" w:space="0" w:color="D9D9E3"/>
                                    <w:bottom w:val="single" w:sz="2" w:space="0" w:color="D9D9E3"/>
                                    <w:right w:val="single" w:sz="2" w:space="0" w:color="D9D9E3"/>
                                  </w:divBdr>
                                  <w:divsChild>
                                    <w:div w:id="609508281">
                                      <w:marLeft w:val="0"/>
                                      <w:marRight w:val="0"/>
                                      <w:marTop w:val="0"/>
                                      <w:marBottom w:val="0"/>
                                      <w:divBdr>
                                        <w:top w:val="single" w:sz="2" w:space="0" w:color="D9D9E3"/>
                                        <w:left w:val="single" w:sz="2" w:space="0" w:color="D9D9E3"/>
                                        <w:bottom w:val="single" w:sz="2" w:space="0" w:color="D9D9E3"/>
                                        <w:right w:val="single" w:sz="2" w:space="0" w:color="D9D9E3"/>
                                      </w:divBdr>
                                      <w:divsChild>
                                        <w:div w:id="1973056751">
                                          <w:marLeft w:val="0"/>
                                          <w:marRight w:val="0"/>
                                          <w:marTop w:val="0"/>
                                          <w:marBottom w:val="0"/>
                                          <w:divBdr>
                                            <w:top w:val="single" w:sz="2" w:space="0" w:color="D9D9E3"/>
                                            <w:left w:val="single" w:sz="2" w:space="0" w:color="D9D9E3"/>
                                            <w:bottom w:val="single" w:sz="2" w:space="0" w:color="D9D9E3"/>
                                            <w:right w:val="single" w:sz="2" w:space="0" w:color="D9D9E3"/>
                                          </w:divBdr>
                                          <w:divsChild>
                                            <w:div w:id="9851592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97858630">
                          <w:marLeft w:val="0"/>
                          <w:marRight w:val="0"/>
                          <w:marTop w:val="0"/>
                          <w:marBottom w:val="0"/>
                          <w:divBdr>
                            <w:top w:val="single" w:sz="2" w:space="0" w:color="auto"/>
                            <w:left w:val="single" w:sz="2" w:space="0" w:color="auto"/>
                            <w:bottom w:val="single" w:sz="6" w:space="0" w:color="auto"/>
                            <w:right w:val="single" w:sz="2" w:space="0" w:color="auto"/>
                          </w:divBdr>
                          <w:divsChild>
                            <w:div w:id="696196860">
                              <w:marLeft w:val="0"/>
                              <w:marRight w:val="0"/>
                              <w:marTop w:val="100"/>
                              <w:marBottom w:val="100"/>
                              <w:divBdr>
                                <w:top w:val="single" w:sz="2" w:space="0" w:color="D9D9E3"/>
                                <w:left w:val="single" w:sz="2" w:space="0" w:color="D9D9E3"/>
                                <w:bottom w:val="single" w:sz="2" w:space="0" w:color="D9D9E3"/>
                                <w:right w:val="single" w:sz="2" w:space="0" w:color="D9D9E3"/>
                              </w:divBdr>
                              <w:divsChild>
                                <w:div w:id="1134328431">
                                  <w:marLeft w:val="0"/>
                                  <w:marRight w:val="0"/>
                                  <w:marTop w:val="0"/>
                                  <w:marBottom w:val="0"/>
                                  <w:divBdr>
                                    <w:top w:val="single" w:sz="2" w:space="0" w:color="D9D9E3"/>
                                    <w:left w:val="single" w:sz="2" w:space="0" w:color="D9D9E3"/>
                                    <w:bottom w:val="single" w:sz="2" w:space="0" w:color="D9D9E3"/>
                                    <w:right w:val="single" w:sz="2" w:space="0" w:color="D9D9E3"/>
                                  </w:divBdr>
                                  <w:divsChild>
                                    <w:div w:id="1718160470">
                                      <w:marLeft w:val="0"/>
                                      <w:marRight w:val="0"/>
                                      <w:marTop w:val="0"/>
                                      <w:marBottom w:val="0"/>
                                      <w:divBdr>
                                        <w:top w:val="single" w:sz="2" w:space="0" w:color="D9D9E3"/>
                                        <w:left w:val="single" w:sz="2" w:space="0" w:color="D9D9E3"/>
                                        <w:bottom w:val="single" w:sz="2" w:space="0" w:color="D9D9E3"/>
                                        <w:right w:val="single" w:sz="2" w:space="0" w:color="D9D9E3"/>
                                      </w:divBdr>
                                      <w:divsChild>
                                        <w:div w:id="13073146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70830259">
                                  <w:marLeft w:val="0"/>
                                  <w:marRight w:val="0"/>
                                  <w:marTop w:val="0"/>
                                  <w:marBottom w:val="0"/>
                                  <w:divBdr>
                                    <w:top w:val="single" w:sz="2" w:space="0" w:color="D9D9E3"/>
                                    <w:left w:val="single" w:sz="2" w:space="0" w:color="D9D9E3"/>
                                    <w:bottom w:val="single" w:sz="2" w:space="0" w:color="D9D9E3"/>
                                    <w:right w:val="single" w:sz="2" w:space="0" w:color="D9D9E3"/>
                                  </w:divBdr>
                                  <w:divsChild>
                                    <w:div w:id="2582921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712457675">
                          <w:marLeft w:val="0"/>
                          <w:marRight w:val="0"/>
                          <w:marTop w:val="0"/>
                          <w:marBottom w:val="0"/>
                          <w:divBdr>
                            <w:top w:val="single" w:sz="2" w:space="0" w:color="auto"/>
                            <w:left w:val="single" w:sz="2" w:space="0" w:color="auto"/>
                            <w:bottom w:val="single" w:sz="6" w:space="0" w:color="auto"/>
                            <w:right w:val="single" w:sz="2" w:space="0" w:color="auto"/>
                          </w:divBdr>
                          <w:divsChild>
                            <w:div w:id="709576748">
                              <w:marLeft w:val="0"/>
                              <w:marRight w:val="0"/>
                              <w:marTop w:val="100"/>
                              <w:marBottom w:val="100"/>
                              <w:divBdr>
                                <w:top w:val="single" w:sz="2" w:space="0" w:color="D9D9E3"/>
                                <w:left w:val="single" w:sz="2" w:space="0" w:color="D9D9E3"/>
                                <w:bottom w:val="single" w:sz="2" w:space="0" w:color="D9D9E3"/>
                                <w:right w:val="single" w:sz="2" w:space="0" w:color="D9D9E3"/>
                              </w:divBdr>
                              <w:divsChild>
                                <w:div w:id="1743522578">
                                  <w:marLeft w:val="0"/>
                                  <w:marRight w:val="0"/>
                                  <w:marTop w:val="0"/>
                                  <w:marBottom w:val="0"/>
                                  <w:divBdr>
                                    <w:top w:val="single" w:sz="2" w:space="0" w:color="D9D9E3"/>
                                    <w:left w:val="single" w:sz="2" w:space="0" w:color="D9D9E3"/>
                                    <w:bottom w:val="single" w:sz="2" w:space="0" w:color="D9D9E3"/>
                                    <w:right w:val="single" w:sz="2" w:space="0" w:color="D9D9E3"/>
                                  </w:divBdr>
                                  <w:divsChild>
                                    <w:div w:id="507911316">
                                      <w:marLeft w:val="0"/>
                                      <w:marRight w:val="0"/>
                                      <w:marTop w:val="0"/>
                                      <w:marBottom w:val="0"/>
                                      <w:divBdr>
                                        <w:top w:val="single" w:sz="2" w:space="0" w:color="D9D9E3"/>
                                        <w:left w:val="single" w:sz="2" w:space="0" w:color="D9D9E3"/>
                                        <w:bottom w:val="single" w:sz="2" w:space="0" w:color="D9D9E3"/>
                                        <w:right w:val="single" w:sz="2" w:space="0" w:color="D9D9E3"/>
                                      </w:divBdr>
                                      <w:divsChild>
                                        <w:div w:id="2074304443">
                                          <w:marLeft w:val="0"/>
                                          <w:marRight w:val="0"/>
                                          <w:marTop w:val="0"/>
                                          <w:marBottom w:val="0"/>
                                          <w:divBdr>
                                            <w:top w:val="single" w:sz="2" w:space="0" w:color="D9D9E3"/>
                                            <w:left w:val="single" w:sz="2" w:space="0" w:color="D9D9E3"/>
                                            <w:bottom w:val="single" w:sz="2" w:space="0" w:color="D9D9E3"/>
                                            <w:right w:val="single" w:sz="2" w:space="0" w:color="D9D9E3"/>
                                          </w:divBdr>
                                          <w:divsChild>
                                            <w:div w:id="176042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40737461">
          <w:marLeft w:val="0"/>
          <w:marRight w:val="0"/>
          <w:marTop w:val="0"/>
          <w:marBottom w:val="0"/>
          <w:divBdr>
            <w:top w:val="none" w:sz="0" w:space="0" w:color="auto"/>
            <w:left w:val="none" w:sz="0" w:space="0" w:color="auto"/>
            <w:bottom w:val="none" w:sz="0" w:space="0" w:color="auto"/>
            <w:right w:val="none" w:sz="0" w:space="0" w:color="auto"/>
          </w:divBdr>
        </w:div>
      </w:divsChild>
    </w:div>
    <w:div w:id="1164511424">
      <w:bodyDiv w:val="1"/>
      <w:marLeft w:val="0"/>
      <w:marRight w:val="0"/>
      <w:marTop w:val="0"/>
      <w:marBottom w:val="0"/>
      <w:divBdr>
        <w:top w:val="none" w:sz="0" w:space="0" w:color="auto"/>
        <w:left w:val="none" w:sz="0" w:space="0" w:color="auto"/>
        <w:bottom w:val="none" w:sz="0" w:space="0" w:color="auto"/>
        <w:right w:val="none" w:sz="0" w:space="0" w:color="auto"/>
      </w:divBdr>
      <w:divsChild>
        <w:div w:id="779838840">
          <w:marLeft w:val="0"/>
          <w:marRight w:val="0"/>
          <w:marTop w:val="0"/>
          <w:marBottom w:val="0"/>
          <w:divBdr>
            <w:top w:val="none" w:sz="0" w:space="0" w:color="auto"/>
            <w:left w:val="none" w:sz="0" w:space="0" w:color="auto"/>
            <w:bottom w:val="none" w:sz="0" w:space="0" w:color="auto"/>
            <w:right w:val="none" w:sz="0" w:space="0" w:color="auto"/>
          </w:divBdr>
        </w:div>
      </w:divsChild>
    </w:div>
    <w:div w:id="1165709195">
      <w:bodyDiv w:val="1"/>
      <w:marLeft w:val="0"/>
      <w:marRight w:val="0"/>
      <w:marTop w:val="0"/>
      <w:marBottom w:val="0"/>
      <w:divBdr>
        <w:top w:val="none" w:sz="0" w:space="0" w:color="auto"/>
        <w:left w:val="none" w:sz="0" w:space="0" w:color="auto"/>
        <w:bottom w:val="none" w:sz="0" w:space="0" w:color="auto"/>
        <w:right w:val="none" w:sz="0" w:space="0" w:color="auto"/>
      </w:divBdr>
    </w:div>
    <w:div w:id="1193108287">
      <w:bodyDiv w:val="1"/>
      <w:marLeft w:val="0"/>
      <w:marRight w:val="0"/>
      <w:marTop w:val="0"/>
      <w:marBottom w:val="0"/>
      <w:divBdr>
        <w:top w:val="none" w:sz="0" w:space="0" w:color="auto"/>
        <w:left w:val="none" w:sz="0" w:space="0" w:color="auto"/>
        <w:bottom w:val="none" w:sz="0" w:space="0" w:color="auto"/>
        <w:right w:val="none" w:sz="0" w:space="0" w:color="auto"/>
      </w:divBdr>
    </w:div>
    <w:div w:id="1200363272">
      <w:bodyDiv w:val="1"/>
      <w:marLeft w:val="0"/>
      <w:marRight w:val="0"/>
      <w:marTop w:val="0"/>
      <w:marBottom w:val="0"/>
      <w:divBdr>
        <w:top w:val="none" w:sz="0" w:space="0" w:color="auto"/>
        <w:left w:val="none" w:sz="0" w:space="0" w:color="auto"/>
        <w:bottom w:val="none" w:sz="0" w:space="0" w:color="auto"/>
        <w:right w:val="none" w:sz="0" w:space="0" w:color="auto"/>
      </w:divBdr>
    </w:div>
    <w:div w:id="1203131766">
      <w:bodyDiv w:val="1"/>
      <w:marLeft w:val="0"/>
      <w:marRight w:val="0"/>
      <w:marTop w:val="0"/>
      <w:marBottom w:val="0"/>
      <w:divBdr>
        <w:top w:val="none" w:sz="0" w:space="0" w:color="auto"/>
        <w:left w:val="none" w:sz="0" w:space="0" w:color="auto"/>
        <w:bottom w:val="none" w:sz="0" w:space="0" w:color="auto"/>
        <w:right w:val="none" w:sz="0" w:space="0" w:color="auto"/>
      </w:divBdr>
    </w:div>
    <w:div w:id="1208835135">
      <w:bodyDiv w:val="1"/>
      <w:marLeft w:val="0"/>
      <w:marRight w:val="0"/>
      <w:marTop w:val="0"/>
      <w:marBottom w:val="0"/>
      <w:divBdr>
        <w:top w:val="none" w:sz="0" w:space="0" w:color="auto"/>
        <w:left w:val="none" w:sz="0" w:space="0" w:color="auto"/>
        <w:bottom w:val="none" w:sz="0" w:space="0" w:color="auto"/>
        <w:right w:val="none" w:sz="0" w:space="0" w:color="auto"/>
      </w:divBdr>
    </w:div>
    <w:div w:id="1213037395">
      <w:bodyDiv w:val="1"/>
      <w:marLeft w:val="0"/>
      <w:marRight w:val="0"/>
      <w:marTop w:val="0"/>
      <w:marBottom w:val="0"/>
      <w:divBdr>
        <w:top w:val="none" w:sz="0" w:space="0" w:color="auto"/>
        <w:left w:val="none" w:sz="0" w:space="0" w:color="auto"/>
        <w:bottom w:val="none" w:sz="0" w:space="0" w:color="auto"/>
        <w:right w:val="none" w:sz="0" w:space="0" w:color="auto"/>
      </w:divBdr>
    </w:div>
    <w:div w:id="1217467615">
      <w:bodyDiv w:val="1"/>
      <w:marLeft w:val="0"/>
      <w:marRight w:val="0"/>
      <w:marTop w:val="0"/>
      <w:marBottom w:val="0"/>
      <w:divBdr>
        <w:top w:val="none" w:sz="0" w:space="0" w:color="auto"/>
        <w:left w:val="none" w:sz="0" w:space="0" w:color="auto"/>
        <w:bottom w:val="none" w:sz="0" w:space="0" w:color="auto"/>
        <w:right w:val="none" w:sz="0" w:space="0" w:color="auto"/>
      </w:divBdr>
    </w:div>
    <w:div w:id="1223715183">
      <w:bodyDiv w:val="1"/>
      <w:marLeft w:val="0"/>
      <w:marRight w:val="0"/>
      <w:marTop w:val="0"/>
      <w:marBottom w:val="0"/>
      <w:divBdr>
        <w:top w:val="none" w:sz="0" w:space="0" w:color="auto"/>
        <w:left w:val="none" w:sz="0" w:space="0" w:color="auto"/>
        <w:bottom w:val="none" w:sz="0" w:space="0" w:color="auto"/>
        <w:right w:val="none" w:sz="0" w:space="0" w:color="auto"/>
      </w:divBdr>
    </w:div>
    <w:div w:id="1227565740">
      <w:bodyDiv w:val="1"/>
      <w:marLeft w:val="0"/>
      <w:marRight w:val="0"/>
      <w:marTop w:val="0"/>
      <w:marBottom w:val="0"/>
      <w:divBdr>
        <w:top w:val="none" w:sz="0" w:space="0" w:color="auto"/>
        <w:left w:val="none" w:sz="0" w:space="0" w:color="auto"/>
        <w:bottom w:val="none" w:sz="0" w:space="0" w:color="auto"/>
        <w:right w:val="none" w:sz="0" w:space="0" w:color="auto"/>
      </w:divBdr>
    </w:div>
    <w:div w:id="1230381033">
      <w:bodyDiv w:val="1"/>
      <w:marLeft w:val="0"/>
      <w:marRight w:val="0"/>
      <w:marTop w:val="0"/>
      <w:marBottom w:val="0"/>
      <w:divBdr>
        <w:top w:val="none" w:sz="0" w:space="0" w:color="auto"/>
        <w:left w:val="none" w:sz="0" w:space="0" w:color="auto"/>
        <w:bottom w:val="none" w:sz="0" w:space="0" w:color="auto"/>
        <w:right w:val="none" w:sz="0" w:space="0" w:color="auto"/>
      </w:divBdr>
    </w:div>
    <w:div w:id="1234045912">
      <w:bodyDiv w:val="1"/>
      <w:marLeft w:val="0"/>
      <w:marRight w:val="0"/>
      <w:marTop w:val="0"/>
      <w:marBottom w:val="0"/>
      <w:divBdr>
        <w:top w:val="none" w:sz="0" w:space="0" w:color="auto"/>
        <w:left w:val="none" w:sz="0" w:space="0" w:color="auto"/>
        <w:bottom w:val="none" w:sz="0" w:space="0" w:color="auto"/>
        <w:right w:val="none" w:sz="0" w:space="0" w:color="auto"/>
      </w:divBdr>
    </w:div>
    <w:div w:id="1236160209">
      <w:bodyDiv w:val="1"/>
      <w:marLeft w:val="0"/>
      <w:marRight w:val="0"/>
      <w:marTop w:val="0"/>
      <w:marBottom w:val="0"/>
      <w:divBdr>
        <w:top w:val="none" w:sz="0" w:space="0" w:color="auto"/>
        <w:left w:val="none" w:sz="0" w:space="0" w:color="auto"/>
        <w:bottom w:val="none" w:sz="0" w:space="0" w:color="auto"/>
        <w:right w:val="none" w:sz="0" w:space="0" w:color="auto"/>
      </w:divBdr>
    </w:div>
    <w:div w:id="1236160467">
      <w:bodyDiv w:val="1"/>
      <w:marLeft w:val="0"/>
      <w:marRight w:val="0"/>
      <w:marTop w:val="0"/>
      <w:marBottom w:val="0"/>
      <w:divBdr>
        <w:top w:val="none" w:sz="0" w:space="0" w:color="auto"/>
        <w:left w:val="none" w:sz="0" w:space="0" w:color="auto"/>
        <w:bottom w:val="none" w:sz="0" w:space="0" w:color="auto"/>
        <w:right w:val="none" w:sz="0" w:space="0" w:color="auto"/>
      </w:divBdr>
    </w:div>
    <w:div w:id="1240946134">
      <w:bodyDiv w:val="1"/>
      <w:marLeft w:val="0"/>
      <w:marRight w:val="0"/>
      <w:marTop w:val="0"/>
      <w:marBottom w:val="0"/>
      <w:divBdr>
        <w:top w:val="none" w:sz="0" w:space="0" w:color="auto"/>
        <w:left w:val="none" w:sz="0" w:space="0" w:color="auto"/>
        <w:bottom w:val="none" w:sz="0" w:space="0" w:color="auto"/>
        <w:right w:val="none" w:sz="0" w:space="0" w:color="auto"/>
      </w:divBdr>
    </w:div>
    <w:div w:id="1250963831">
      <w:bodyDiv w:val="1"/>
      <w:marLeft w:val="0"/>
      <w:marRight w:val="0"/>
      <w:marTop w:val="0"/>
      <w:marBottom w:val="0"/>
      <w:divBdr>
        <w:top w:val="none" w:sz="0" w:space="0" w:color="auto"/>
        <w:left w:val="none" w:sz="0" w:space="0" w:color="auto"/>
        <w:bottom w:val="none" w:sz="0" w:space="0" w:color="auto"/>
        <w:right w:val="none" w:sz="0" w:space="0" w:color="auto"/>
      </w:divBdr>
    </w:div>
    <w:div w:id="1251738389">
      <w:bodyDiv w:val="1"/>
      <w:marLeft w:val="0"/>
      <w:marRight w:val="0"/>
      <w:marTop w:val="0"/>
      <w:marBottom w:val="0"/>
      <w:divBdr>
        <w:top w:val="none" w:sz="0" w:space="0" w:color="auto"/>
        <w:left w:val="none" w:sz="0" w:space="0" w:color="auto"/>
        <w:bottom w:val="none" w:sz="0" w:space="0" w:color="auto"/>
        <w:right w:val="none" w:sz="0" w:space="0" w:color="auto"/>
      </w:divBdr>
    </w:div>
    <w:div w:id="1252352128">
      <w:bodyDiv w:val="1"/>
      <w:marLeft w:val="0"/>
      <w:marRight w:val="0"/>
      <w:marTop w:val="0"/>
      <w:marBottom w:val="0"/>
      <w:divBdr>
        <w:top w:val="none" w:sz="0" w:space="0" w:color="auto"/>
        <w:left w:val="none" w:sz="0" w:space="0" w:color="auto"/>
        <w:bottom w:val="none" w:sz="0" w:space="0" w:color="auto"/>
        <w:right w:val="none" w:sz="0" w:space="0" w:color="auto"/>
      </w:divBdr>
    </w:div>
    <w:div w:id="1260991006">
      <w:bodyDiv w:val="1"/>
      <w:marLeft w:val="0"/>
      <w:marRight w:val="0"/>
      <w:marTop w:val="0"/>
      <w:marBottom w:val="0"/>
      <w:divBdr>
        <w:top w:val="none" w:sz="0" w:space="0" w:color="auto"/>
        <w:left w:val="none" w:sz="0" w:space="0" w:color="auto"/>
        <w:bottom w:val="none" w:sz="0" w:space="0" w:color="auto"/>
        <w:right w:val="none" w:sz="0" w:space="0" w:color="auto"/>
      </w:divBdr>
    </w:div>
    <w:div w:id="1265765647">
      <w:bodyDiv w:val="1"/>
      <w:marLeft w:val="0"/>
      <w:marRight w:val="0"/>
      <w:marTop w:val="0"/>
      <w:marBottom w:val="0"/>
      <w:divBdr>
        <w:top w:val="none" w:sz="0" w:space="0" w:color="auto"/>
        <w:left w:val="none" w:sz="0" w:space="0" w:color="auto"/>
        <w:bottom w:val="none" w:sz="0" w:space="0" w:color="auto"/>
        <w:right w:val="none" w:sz="0" w:space="0" w:color="auto"/>
      </w:divBdr>
    </w:div>
    <w:div w:id="1266965189">
      <w:bodyDiv w:val="1"/>
      <w:marLeft w:val="0"/>
      <w:marRight w:val="0"/>
      <w:marTop w:val="0"/>
      <w:marBottom w:val="0"/>
      <w:divBdr>
        <w:top w:val="none" w:sz="0" w:space="0" w:color="auto"/>
        <w:left w:val="none" w:sz="0" w:space="0" w:color="auto"/>
        <w:bottom w:val="none" w:sz="0" w:space="0" w:color="auto"/>
        <w:right w:val="none" w:sz="0" w:space="0" w:color="auto"/>
      </w:divBdr>
    </w:div>
    <w:div w:id="1269771721">
      <w:bodyDiv w:val="1"/>
      <w:marLeft w:val="0"/>
      <w:marRight w:val="0"/>
      <w:marTop w:val="0"/>
      <w:marBottom w:val="0"/>
      <w:divBdr>
        <w:top w:val="none" w:sz="0" w:space="0" w:color="auto"/>
        <w:left w:val="none" w:sz="0" w:space="0" w:color="auto"/>
        <w:bottom w:val="none" w:sz="0" w:space="0" w:color="auto"/>
        <w:right w:val="none" w:sz="0" w:space="0" w:color="auto"/>
      </w:divBdr>
    </w:div>
    <w:div w:id="1276985774">
      <w:bodyDiv w:val="1"/>
      <w:marLeft w:val="0"/>
      <w:marRight w:val="0"/>
      <w:marTop w:val="0"/>
      <w:marBottom w:val="0"/>
      <w:divBdr>
        <w:top w:val="none" w:sz="0" w:space="0" w:color="auto"/>
        <w:left w:val="none" w:sz="0" w:space="0" w:color="auto"/>
        <w:bottom w:val="none" w:sz="0" w:space="0" w:color="auto"/>
        <w:right w:val="none" w:sz="0" w:space="0" w:color="auto"/>
      </w:divBdr>
    </w:div>
    <w:div w:id="1282298552">
      <w:bodyDiv w:val="1"/>
      <w:marLeft w:val="0"/>
      <w:marRight w:val="0"/>
      <w:marTop w:val="0"/>
      <w:marBottom w:val="0"/>
      <w:divBdr>
        <w:top w:val="none" w:sz="0" w:space="0" w:color="auto"/>
        <w:left w:val="none" w:sz="0" w:space="0" w:color="auto"/>
        <w:bottom w:val="none" w:sz="0" w:space="0" w:color="auto"/>
        <w:right w:val="none" w:sz="0" w:space="0" w:color="auto"/>
      </w:divBdr>
    </w:div>
    <w:div w:id="1284919480">
      <w:bodyDiv w:val="1"/>
      <w:marLeft w:val="0"/>
      <w:marRight w:val="0"/>
      <w:marTop w:val="0"/>
      <w:marBottom w:val="0"/>
      <w:divBdr>
        <w:top w:val="none" w:sz="0" w:space="0" w:color="auto"/>
        <w:left w:val="none" w:sz="0" w:space="0" w:color="auto"/>
        <w:bottom w:val="none" w:sz="0" w:space="0" w:color="auto"/>
        <w:right w:val="none" w:sz="0" w:space="0" w:color="auto"/>
      </w:divBdr>
      <w:divsChild>
        <w:div w:id="712730059">
          <w:marLeft w:val="0"/>
          <w:marRight w:val="0"/>
          <w:marTop w:val="0"/>
          <w:marBottom w:val="0"/>
          <w:divBdr>
            <w:top w:val="none" w:sz="0" w:space="0" w:color="auto"/>
            <w:left w:val="none" w:sz="0" w:space="0" w:color="auto"/>
            <w:bottom w:val="none" w:sz="0" w:space="0" w:color="auto"/>
            <w:right w:val="none" w:sz="0" w:space="0" w:color="auto"/>
          </w:divBdr>
        </w:div>
      </w:divsChild>
    </w:div>
    <w:div w:id="1296183709">
      <w:bodyDiv w:val="1"/>
      <w:marLeft w:val="0"/>
      <w:marRight w:val="0"/>
      <w:marTop w:val="0"/>
      <w:marBottom w:val="0"/>
      <w:divBdr>
        <w:top w:val="none" w:sz="0" w:space="0" w:color="auto"/>
        <w:left w:val="none" w:sz="0" w:space="0" w:color="auto"/>
        <w:bottom w:val="none" w:sz="0" w:space="0" w:color="auto"/>
        <w:right w:val="none" w:sz="0" w:space="0" w:color="auto"/>
      </w:divBdr>
    </w:div>
    <w:div w:id="1304043155">
      <w:bodyDiv w:val="1"/>
      <w:marLeft w:val="0"/>
      <w:marRight w:val="0"/>
      <w:marTop w:val="0"/>
      <w:marBottom w:val="0"/>
      <w:divBdr>
        <w:top w:val="none" w:sz="0" w:space="0" w:color="auto"/>
        <w:left w:val="none" w:sz="0" w:space="0" w:color="auto"/>
        <w:bottom w:val="none" w:sz="0" w:space="0" w:color="auto"/>
        <w:right w:val="none" w:sz="0" w:space="0" w:color="auto"/>
      </w:divBdr>
    </w:div>
    <w:div w:id="1309701369">
      <w:bodyDiv w:val="1"/>
      <w:marLeft w:val="0"/>
      <w:marRight w:val="0"/>
      <w:marTop w:val="0"/>
      <w:marBottom w:val="0"/>
      <w:divBdr>
        <w:top w:val="none" w:sz="0" w:space="0" w:color="auto"/>
        <w:left w:val="none" w:sz="0" w:space="0" w:color="auto"/>
        <w:bottom w:val="none" w:sz="0" w:space="0" w:color="auto"/>
        <w:right w:val="none" w:sz="0" w:space="0" w:color="auto"/>
      </w:divBdr>
    </w:div>
    <w:div w:id="1320425693">
      <w:bodyDiv w:val="1"/>
      <w:marLeft w:val="0"/>
      <w:marRight w:val="0"/>
      <w:marTop w:val="0"/>
      <w:marBottom w:val="0"/>
      <w:divBdr>
        <w:top w:val="none" w:sz="0" w:space="0" w:color="auto"/>
        <w:left w:val="none" w:sz="0" w:space="0" w:color="auto"/>
        <w:bottom w:val="none" w:sz="0" w:space="0" w:color="auto"/>
        <w:right w:val="none" w:sz="0" w:space="0" w:color="auto"/>
      </w:divBdr>
    </w:div>
    <w:div w:id="1322930717">
      <w:bodyDiv w:val="1"/>
      <w:marLeft w:val="0"/>
      <w:marRight w:val="0"/>
      <w:marTop w:val="0"/>
      <w:marBottom w:val="0"/>
      <w:divBdr>
        <w:top w:val="none" w:sz="0" w:space="0" w:color="auto"/>
        <w:left w:val="none" w:sz="0" w:space="0" w:color="auto"/>
        <w:bottom w:val="none" w:sz="0" w:space="0" w:color="auto"/>
        <w:right w:val="none" w:sz="0" w:space="0" w:color="auto"/>
      </w:divBdr>
    </w:div>
    <w:div w:id="1331789356">
      <w:bodyDiv w:val="1"/>
      <w:marLeft w:val="0"/>
      <w:marRight w:val="0"/>
      <w:marTop w:val="0"/>
      <w:marBottom w:val="0"/>
      <w:divBdr>
        <w:top w:val="none" w:sz="0" w:space="0" w:color="auto"/>
        <w:left w:val="none" w:sz="0" w:space="0" w:color="auto"/>
        <w:bottom w:val="none" w:sz="0" w:space="0" w:color="auto"/>
        <w:right w:val="none" w:sz="0" w:space="0" w:color="auto"/>
      </w:divBdr>
    </w:div>
    <w:div w:id="1333097791">
      <w:bodyDiv w:val="1"/>
      <w:marLeft w:val="0"/>
      <w:marRight w:val="0"/>
      <w:marTop w:val="0"/>
      <w:marBottom w:val="0"/>
      <w:divBdr>
        <w:top w:val="none" w:sz="0" w:space="0" w:color="auto"/>
        <w:left w:val="none" w:sz="0" w:space="0" w:color="auto"/>
        <w:bottom w:val="none" w:sz="0" w:space="0" w:color="auto"/>
        <w:right w:val="none" w:sz="0" w:space="0" w:color="auto"/>
      </w:divBdr>
    </w:div>
    <w:div w:id="1338339570">
      <w:bodyDiv w:val="1"/>
      <w:marLeft w:val="0"/>
      <w:marRight w:val="0"/>
      <w:marTop w:val="0"/>
      <w:marBottom w:val="0"/>
      <w:divBdr>
        <w:top w:val="none" w:sz="0" w:space="0" w:color="auto"/>
        <w:left w:val="none" w:sz="0" w:space="0" w:color="auto"/>
        <w:bottom w:val="none" w:sz="0" w:space="0" w:color="auto"/>
        <w:right w:val="none" w:sz="0" w:space="0" w:color="auto"/>
      </w:divBdr>
    </w:div>
    <w:div w:id="1342858265">
      <w:bodyDiv w:val="1"/>
      <w:marLeft w:val="0"/>
      <w:marRight w:val="0"/>
      <w:marTop w:val="0"/>
      <w:marBottom w:val="0"/>
      <w:divBdr>
        <w:top w:val="none" w:sz="0" w:space="0" w:color="auto"/>
        <w:left w:val="none" w:sz="0" w:space="0" w:color="auto"/>
        <w:bottom w:val="none" w:sz="0" w:space="0" w:color="auto"/>
        <w:right w:val="none" w:sz="0" w:space="0" w:color="auto"/>
      </w:divBdr>
    </w:div>
    <w:div w:id="1346135301">
      <w:bodyDiv w:val="1"/>
      <w:marLeft w:val="0"/>
      <w:marRight w:val="0"/>
      <w:marTop w:val="0"/>
      <w:marBottom w:val="0"/>
      <w:divBdr>
        <w:top w:val="none" w:sz="0" w:space="0" w:color="auto"/>
        <w:left w:val="none" w:sz="0" w:space="0" w:color="auto"/>
        <w:bottom w:val="none" w:sz="0" w:space="0" w:color="auto"/>
        <w:right w:val="none" w:sz="0" w:space="0" w:color="auto"/>
      </w:divBdr>
    </w:div>
    <w:div w:id="1350254870">
      <w:bodyDiv w:val="1"/>
      <w:marLeft w:val="0"/>
      <w:marRight w:val="0"/>
      <w:marTop w:val="0"/>
      <w:marBottom w:val="0"/>
      <w:divBdr>
        <w:top w:val="none" w:sz="0" w:space="0" w:color="auto"/>
        <w:left w:val="none" w:sz="0" w:space="0" w:color="auto"/>
        <w:bottom w:val="none" w:sz="0" w:space="0" w:color="auto"/>
        <w:right w:val="none" w:sz="0" w:space="0" w:color="auto"/>
      </w:divBdr>
    </w:div>
    <w:div w:id="1361589144">
      <w:bodyDiv w:val="1"/>
      <w:marLeft w:val="0"/>
      <w:marRight w:val="0"/>
      <w:marTop w:val="0"/>
      <w:marBottom w:val="0"/>
      <w:divBdr>
        <w:top w:val="none" w:sz="0" w:space="0" w:color="auto"/>
        <w:left w:val="none" w:sz="0" w:space="0" w:color="auto"/>
        <w:bottom w:val="none" w:sz="0" w:space="0" w:color="auto"/>
        <w:right w:val="none" w:sz="0" w:space="0" w:color="auto"/>
      </w:divBdr>
    </w:div>
    <w:div w:id="1371685512">
      <w:bodyDiv w:val="1"/>
      <w:marLeft w:val="0"/>
      <w:marRight w:val="0"/>
      <w:marTop w:val="0"/>
      <w:marBottom w:val="0"/>
      <w:divBdr>
        <w:top w:val="none" w:sz="0" w:space="0" w:color="auto"/>
        <w:left w:val="none" w:sz="0" w:space="0" w:color="auto"/>
        <w:bottom w:val="none" w:sz="0" w:space="0" w:color="auto"/>
        <w:right w:val="none" w:sz="0" w:space="0" w:color="auto"/>
      </w:divBdr>
    </w:div>
    <w:div w:id="1378357042">
      <w:bodyDiv w:val="1"/>
      <w:marLeft w:val="0"/>
      <w:marRight w:val="0"/>
      <w:marTop w:val="0"/>
      <w:marBottom w:val="0"/>
      <w:divBdr>
        <w:top w:val="none" w:sz="0" w:space="0" w:color="auto"/>
        <w:left w:val="none" w:sz="0" w:space="0" w:color="auto"/>
        <w:bottom w:val="none" w:sz="0" w:space="0" w:color="auto"/>
        <w:right w:val="none" w:sz="0" w:space="0" w:color="auto"/>
      </w:divBdr>
      <w:divsChild>
        <w:div w:id="1149129664">
          <w:marLeft w:val="0"/>
          <w:marRight w:val="0"/>
          <w:marTop w:val="0"/>
          <w:marBottom w:val="0"/>
          <w:divBdr>
            <w:top w:val="none" w:sz="0" w:space="0" w:color="auto"/>
            <w:left w:val="none" w:sz="0" w:space="0" w:color="auto"/>
            <w:bottom w:val="none" w:sz="0" w:space="0" w:color="auto"/>
            <w:right w:val="none" w:sz="0" w:space="0" w:color="auto"/>
          </w:divBdr>
        </w:div>
      </w:divsChild>
    </w:div>
    <w:div w:id="1379940560">
      <w:bodyDiv w:val="1"/>
      <w:marLeft w:val="0"/>
      <w:marRight w:val="0"/>
      <w:marTop w:val="0"/>
      <w:marBottom w:val="0"/>
      <w:divBdr>
        <w:top w:val="none" w:sz="0" w:space="0" w:color="auto"/>
        <w:left w:val="none" w:sz="0" w:space="0" w:color="auto"/>
        <w:bottom w:val="none" w:sz="0" w:space="0" w:color="auto"/>
        <w:right w:val="none" w:sz="0" w:space="0" w:color="auto"/>
      </w:divBdr>
    </w:div>
    <w:div w:id="1386488830">
      <w:bodyDiv w:val="1"/>
      <w:marLeft w:val="0"/>
      <w:marRight w:val="0"/>
      <w:marTop w:val="0"/>
      <w:marBottom w:val="0"/>
      <w:divBdr>
        <w:top w:val="none" w:sz="0" w:space="0" w:color="auto"/>
        <w:left w:val="none" w:sz="0" w:space="0" w:color="auto"/>
        <w:bottom w:val="none" w:sz="0" w:space="0" w:color="auto"/>
        <w:right w:val="none" w:sz="0" w:space="0" w:color="auto"/>
      </w:divBdr>
    </w:div>
    <w:div w:id="1390229850">
      <w:bodyDiv w:val="1"/>
      <w:marLeft w:val="0"/>
      <w:marRight w:val="0"/>
      <w:marTop w:val="0"/>
      <w:marBottom w:val="0"/>
      <w:divBdr>
        <w:top w:val="none" w:sz="0" w:space="0" w:color="auto"/>
        <w:left w:val="none" w:sz="0" w:space="0" w:color="auto"/>
        <w:bottom w:val="none" w:sz="0" w:space="0" w:color="auto"/>
        <w:right w:val="none" w:sz="0" w:space="0" w:color="auto"/>
      </w:divBdr>
    </w:div>
    <w:div w:id="1398477073">
      <w:bodyDiv w:val="1"/>
      <w:marLeft w:val="0"/>
      <w:marRight w:val="0"/>
      <w:marTop w:val="0"/>
      <w:marBottom w:val="0"/>
      <w:divBdr>
        <w:top w:val="none" w:sz="0" w:space="0" w:color="auto"/>
        <w:left w:val="none" w:sz="0" w:space="0" w:color="auto"/>
        <w:bottom w:val="none" w:sz="0" w:space="0" w:color="auto"/>
        <w:right w:val="none" w:sz="0" w:space="0" w:color="auto"/>
      </w:divBdr>
    </w:div>
    <w:div w:id="1409226862">
      <w:bodyDiv w:val="1"/>
      <w:marLeft w:val="0"/>
      <w:marRight w:val="0"/>
      <w:marTop w:val="0"/>
      <w:marBottom w:val="0"/>
      <w:divBdr>
        <w:top w:val="none" w:sz="0" w:space="0" w:color="auto"/>
        <w:left w:val="none" w:sz="0" w:space="0" w:color="auto"/>
        <w:bottom w:val="none" w:sz="0" w:space="0" w:color="auto"/>
        <w:right w:val="none" w:sz="0" w:space="0" w:color="auto"/>
      </w:divBdr>
    </w:div>
    <w:div w:id="1412002552">
      <w:bodyDiv w:val="1"/>
      <w:marLeft w:val="0"/>
      <w:marRight w:val="0"/>
      <w:marTop w:val="0"/>
      <w:marBottom w:val="0"/>
      <w:divBdr>
        <w:top w:val="none" w:sz="0" w:space="0" w:color="auto"/>
        <w:left w:val="none" w:sz="0" w:space="0" w:color="auto"/>
        <w:bottom w:val="none" w:sz="0" w:space="0" w:color="auto"/>
        <w:right w:val="none" w:sz="0" w:space="0" w:color="auto"/>
      </w:divBdr>
    </w:div>
    <w:div w:id="1415054526">
      <w:bodyDiv w:val="1"/>
      <w:marLeft w:val="0"/>
      <w:marRight w:val="0"/>
      <w:marTop w:val="0"/>
      <w:marBottom w:val="0"/>
      <w:divBdr>
        <w:top w:val="none" w:sz="0" w:space="0" w:color="auto"/>
        <w:left w:val="none" w:sz="0" w:space="0" w:color="auto"/>
        <w:bottom w:val="none" w:sz="0" w:space="0" w:color="auto"/>
        <w:right w:val="none" w:sz="0" w:space="0" w:color="auto"/>
      </w:divBdr>
    </w:div>
    <w:div w:id="1418750204">
      <w:bodyDiv w:val="1"/>
      <w:marLeft w:val="0"/>
      <w:marRight w:val="0"/>
      <w:marTop w:val="0"/>
      <w:marBottom w:val="0"/>
      <w:divBdr>
        <w:top w:val="none" w:sz="0" w:space="0" w:color="auto"/>
        <w:left w:val="none" w:sz="0" w:space="0" w:color="auto"/>
        <w:bottom w:val="none" w:sz="0" w:space="0" w:color="auto"/>
        <w:right w:val="none" w:sz="0" w:space="0" w:color="auto"/>
      </w:divBdr>
      <w:divsChild>
        <w:div w:id="1750077723">
          <w:marLeft w:val="0"/>
          <w:marRight w:val="0"/>
          <w:marTop w:val="0"/>
          <w:marBottom w:val="0"/>
          <w:divBdr>
            <w:top w:val="none" w:sz="0" w:space="0" w:color="auto"/>
            <w:left w:val="none" w:sz="0" w:space="0" w:color="auto"/>
            <w:bottom w:val="none" w:sz="0" w:space="0" w:color="auto"/>
            <w:right w:val="none" w:sz="0" w:space="0" w:color="auto"/>
          </w:divBdr>
        </w:div>
      </w:divsChild>
    </w:div>
    <w:div w:id="1442457589">
      <w:bodyDiv w:val="1"/>
      <w:marLeft w:val="0"/>
      <w:marRight w:val="0"/>
      <w:marTop w:val="0"/>
      <w:marBottom w:val="0"/>
      <w:divBdr>
        <w:top w:val="none" w:sz="0" w:space="0" w:color="auto"/>
        <w:left w:val="none" w:sz="0" w:space="0" w:color="auto"/>
        <w:bottom w:val="none" w:sz="0" w:space="0" w:color="auto"/>
        <w:right w:val="none" w:sz="0" w:space="0" w:color="auto"/>
      </w:divBdr>
    </w:div>
    <w:div w:id="1446388151">
      <w:bodyDiv w:val="1"/>
      <w:marLeft w:val="0"/>
      <w:marRight w:val="0"/>
      <w:marTop w:val="0"/>
      <w:marBottom w:val="0"/>
      <w:divBdr>
        <w:top w:val="none" w:sz="0" w:space="0" w:color="auto"/>
        <w:left w:val="none" w:sz="0" w:space="0" w:color="auto"/>
        <w:bottom w:val="none" w:sz="0" w:space="0" w:color="auto"/>
        <w:right w:val="none" w:sz="0" w:space="0" w:color="auto"/>
      </w:divBdr>
    </w:div>
    <w:div w:id="1450323084">
      <w:bodyDiv w:val="1"/>
      <w:marLeft w:val="0"/>
      <w:marRight w:val="0"/>
      <w:marTop w:val="0"/>
      <w:marBottom w:val="0"/>
      <w:divBdr>
        <w:top w:val="none" w:sz="0" w:space="0" w:color="auto"/>
        <w:left w:val="none" w:sz="0" w:space="0" w:color="auto"/>
        <w:bottom w:val="none" w:sz="0" w:space="0" w:color="auto"/>
        <w:right w:val="none" w:sz="0" w:space="0" w:color="auto"/>
      </w:divBdr>
    </w:div>
    <w:div w:id="1453982681">
      <w:bodyDiv w:val="1"/>
      <w:marLeft w:val="0"/>
      <w:marRight w:val="0"/>
      <w:marTop w:val="0"/>
      <w:marBottom w:val="0"/>
      <w:divBdr>
        <w:top w:val="none" w:sz="0" w:space="0" w:color="auto"/>
        <w:left w:val="none" w:sz="0" w:space="0" w:color="auto"/>
        <w:bottom w:val="none" w:sz="0" w:space="0" w:color="auto"/>
        <w:right w:val="none" w:sz="0" w:space="0" w:color="auto"/>
      </w:divBdr>
    </w:div>
    <w:div w:id="1456169234">
      <w:bodyDiv w:val="1"/>
      <w:marLeft w:val="0"/>
      <w:marRight w:val="0"/>
      <w:marTop w:val="0"/>
      <w:marBottom w:val="0"/>
      <w:divBdr>
        <w:top w:val="none" w:sz="0" w:space="0" w:color="auto"/>
        <w:left w:val="none" w:sz="0" w:space="0" w:color="auto"/>
        <w:bottom w:val="none" w:sz="0" w:space="0" w:color="auto"/>
        <w:right w:val="none" w:sz="0" w:space="0" w:color="auto"/>
      </w:divBdr>
      <w:divsChild>
        <w:div w:id="1841265426">
          <w:marLeft w:val="0"/>
          <w:marRight w:val="0"/>
          <w:marTop w:val="0"/>
          <w:marBottom w:val="0"/>
          <w:divBdr>
            <w:top w:val="single" w:sz="2" w:space="0" w:color="E4E6E8"/>
            <w:left w:val="single" w:sz="2" w:space="0" w:color="E4E6E8"/>
            <w:bottom w:val="single" w:sz="2" w:space="0" w:color="E4E6E8"/>
            <w:right w:val="single" w:sz="2" w:space="0" w:color="E4E6E8"/>
          </w:divBdr>
          <w:divsChild>
            <w:div w:id="1682967202">
              <w:marLeft w:val="480"/>
              <w:marRight w:val="0"/>
              <w:marTop w:val="0"/>
              <w:marBottom w:val="0"/>
              <w:divBdr>
                <w:top w:val="single" w:sz="2" w:space="0" w:color="E4E6E8"/>
                <w:left w:val="single" w:sz="2" w:space="0" w:color="E4E6E8"/>
                <w:bottom w:val="single" w:sz="2" w:space="0" w:color="E4E6E8"/>
                <w:right w:val="single" w:sz="2" w:space="0" w:color="E4E6E8"/>
              </w:divBdr>
              <w:divsChild>
                <w:div w:id="1974673209">
                  <w:marLeft w:val="0"/>
                  <w:marRight w:val="0"/>
                  <w:marTop w:val="0"/>
                  <w:marBottom w:val="240"/>
                  <w:divBdr>
                    <w:top w:val="single" w:sz="2" w:space="0" w:color="E4E6E8"/>
                    <w:left w:val="single" w:sz="2" w:space="0" w:color="E4E6E8"/>
                    <w:bottom w:val="single" w:sz="2" w:space="0" w:color="E4E6E8"/>
                    <w:right w:val="single" w:sz="2" w:space="0" w:color="E4E6E8"/>
                  </w:divBdr>
                </w:div>
              </w:divsChild>
            </w:div>
          </w:divsChild>
        </w:div>
      </w:divsChild>
    </w:div>
    <w:div w:id="1459105990">
      <w:bodyDiv w:val="1"/>
      <w:marLeft w:val="0"/>
      <w:marRight w:val="0"/>
      <w:marTop w:val="0"/>
      <w:marBottom w:val="0"/>
      <w:divBdr>
        <w:top w:val="none" w:sz="0" w:space="0" w:color="auto"/>
        <w:left w:val="none" w:sz="0" w:space="0" w:color="auto"/>
        <w:bottom w:val="none" w:sz="0" w:space="0" w:color="auto"/>
        <w:right w:val="none" w:sz="0" w:space="0" w:color="auto"/>
      </w:divBdr>
    </w:div>
    <w:div w:id="1461416937">
      <w:bodyDiv w:val="1"/>
      <w:marLeft w:val="0"/>
      <w:marRight w:val="0"/>
      <w:marTop w:val="0"/>
      <w:marBottom w:val="0"/>
      <w:divBdr>
        <w:top w:val="none" w:sz="0" w:space="0" w:color="auto"/>
        <w:left w:val="none" w:sz="0" w:space="0" w:color="auto"/>
        <w:bottom w:val="none" w:sz="0" w:space="0" w:color="auto"/>
        <w:right w:val="none" w:sz="0" w:space="0" w:color="auto"/>
      </w:divBdr>
    </w:div>
    <w:div w:id="1462727245">
      <w:bodyDiv w:val="1"/>
      <w:marLeft w:val="0"/>
      <w:marRight w:val="0"/>
      <w:marTop w:val="0"/>
      <w:marBottom w:val="0"/>
      <w:divBdr>
        <w:top w:val="none" w:sz="0" w:space="0" w:color="auto"/>
        <w:left w:val="none" w:sz="0" w:space="0" w:color="auto"/>
        <w:bottom w:val="none" w:sz="0" w:space="0" w:color="auto"/>
        <w:right w:val="none" w:sz="0" w:space="0" w:color="auto"/>
      </w:divBdr>
    </w:div>
    <w:div w:id="1469667707">
      <w:bodyDiv w:val="1"/>
      <w:marLeft w:val="0"/>
      <w:marRight w:val="0"/>
      <w:marTop w:val="0"/>
      <w:marBottom w:val="0"/>
      <w:divBdr>
        <w:top w:val="none" w:sz="0" w:space="0" w:color="auto"/>
        <w:left w:val="none" w:sz="0" w:space="0" w:color="auto"/>
        <w:bottom w:val="none" w:sz="0" w:space="0" w:color="auto"/>
        <w:right w:val="none" w:sz="0" w:space="0" w:color="auto"/>
      </w:divBdr>
    </w:div>
    <w:div w:id="1482305055">
      <w:bodyDiv w:val="1"/>
      <w:marLeft w:val="0"/>
      <w:marRight w:val="0"/>
      <w:marTop w:val="0"/>
      <w:marBottom w:val="0"/>
      <w:divBdr>
        <w:top w:val="none" w:sz="0" w:space="0" w:color="auto"/>
        <w:left w:val="none" w:sz="0" w:space="0" w:color="auto"/>
        <w:bottom w:val="none" w:sz="0" w:space="0" w:color="auto"/>
        <w:right w:val="none" w:sz="0" w:space="0" w:color="auto"/>
      </w:divBdr>
    </w:div>
    <w:div w:id="1502894227">
      <w:bodyDiv w:val="1"/>
      <w:marLeft w:val="0"/>
      <w:marRight w:val="0"/>
      <w:marTop w:val="0"/>
      <w:marBottom w:val="0"/>
      <w:divBdr>
        <w:top w:val="none" w:sz="0" w:space="0" w:color="auto"/>
        <w:left w:val="none" w:sz="0" w:space="0" w:color="auto"/>
        <w:bottom w:val="none" w:sz="0" w:space="0" w:color="auto"/>
        <w:right w:val="none" w:sz="0" w:space="0" w:color="auto"/>
      </w:divBdr>
    </w:div>
    <w:div w:id="1503465979">
      <w:bodyDiv w:val="1"/>
      <w:marLeft w:val="0"/>
      <w:marRight w:val="0"/>
      <w:marTop w:val="0"/>
      <w:marBottom w:val="0"/>
      <w:divBdr>
        <w:top w:val="none" w:sz="0" w:space="0" w:color="auto"/>
        <w:left w:val="none" w:sz="0" w:space="0" w:color="auto"/>
        <w:bottom w:val="none" w:sz="0" w:space="0" w:color="auto"/>
        <w:right w:val="none" w:sz="0" w:space="0" w:color="auto"/>
      </w:divBdr>
    </w:div>
    <w:div w:id="1504011520">
      <w:bodyDiv w:val="1"/>
      <w:marLeft w:val="0"/>
      <w:marRight w:val="0"/>
      <w:marTop w:val="0"/>
      <w:marBottom w:val="0"/>
      <w:divBdr>
        <w:top w:val="none" w:sz="0" w:space="0" w:color="auto"/>
        <w:left w:val="none" w:sz="0" w:space="0" w:color="auto"/>
        <w:bottom w:val="none" w:sz="0" w:space="0" w:color="auto"/>
        <w:right w:val="none" w:sz="0" w:space="0" w:color="auto"/>
      </w:divBdr>
    </w:div>
    <w:div w:id="1504786047">
      <w:bodyDiv w:val="1"/>
      <w:marLeft w:val="0"/>
      <w:marRight w:val="0"/>
      <w:marTop w:val="0"/>
      <w:marBottom w:val="0"/>
      <w:divBdr>
        <w:top w:val="none" w:sz="0" w:space="0" w:color="auto"/>
        <w:left w:val="none" w:sz="0" w:space="0" w:color="auto"/>
        <w:bottom w:val="none" w:sz="0" w:space="0" w:color="auto"/>
        <w:right w:val="none" w:sz="0" w:space="0" w:color="auto"/>
      </w:divBdr>
    </w:div>
    <w:div w:id="1508133658">
      <w:bodyDiv w:val="1"/>
      <w:marLeft w:val="0"/>
      <w:marRight w:val="0"/>
      <w:marTop w:val="0"/>
      <w:marBottom w:val="0"/>
      <w:divBdr>
        <w:top w:val="none" w:sz="0" w:space="0" w:color="auto"/>
        <w:left w:val="none" w:sz="0" w:space="0" w:color="auto"/>
        <w:bottom w:val="none" w:sz="0" w:space="0" w:color="auto"/>
        <w:right w:val="none" w:sz="0" w:space="0" w:color="auto"/>
      </w:divBdr>
    </w:div>
    <w:div w:id="1526091838">
      <w:bodyDiv w:val="1"/>
      <w:marLeft w:val="0"/>
      <w:marRight w:val="0"/>
      <w:marTop w:val="0"/>
      <w:marBottom w:val="0"/>
      <w:divBdr>
        <w:top w:val="none" w:sz="0" w:space="0" w:color="auto"/>
        <w:left w:val="none" w:sz="0" w:space="0" w:color="auto"/>
        <w:bottom w:val="none" w:sz="0" w:space="0" w:color="auto"/>
        <w:right w:val="none" w:sz="0" w:space="0" w:color="auto"/>
      </w:divBdr>
    </w:div>
    <w:div w:id="1528373242">
      <w:bodyDiv w:val="1"/>
      <w:marLeft w:val="0"/>
      <w:marRight w:val="0"/>
      <w:marTop w:val="0"/>
      <w:marBottom w:val="0"/>
      <w:divBdr>
        <w:top w:val="none" w:sz="0" w:space="0" w:color="auto"/>
        <w:left w:val="none" w:sz="0" w:space="0" w:color="auto"/>
        <w:bottom w:val="none" w:sz="0" w:space="0" w:color="auto"/>
        <w:right w:val="none" w:sz="0" w:space="0" w:color="auto"/>
      </w:divBdr>
    </w:div>
    <w:div w:id="1537160371">
      <w:bodyDiv w:val="1"/>
      <w:marLeft w:val="0"/>
      <w:marRight w:val="0"/>
      <w:marTop w:val="0"/>
      <w:marBottom w:val="0"/>
      <w:divBdr>
        <w:top w:val="none" w:sz="0" w:space="0" w:color="auto"/>
        <w:left w:val="none" w:sz="0" w:space="0" w:color="auto"/>
        <w:bottom w:val="none" w:sz="0" w:space="0" w:color="auto"/>
        <w:right w:val="none" w:sz="0" w:space="0" w:color="auto"/>
      </w:divBdr>
    </w:div>
    <w:div w:id="1538548001">
      <w:bodyDiv w:val="1"/>
      <w:marLeft w:val="0"/>
      <w:marRight w:val="0"/>
      <w:marTop w:val="0"/>
      <w:marBottom w:val="0"/>
      <w:divBdr>
        <w:top w:val="none" w:sz="0" w:space="0" w:color="auto"/>
        <w:left w:val="none" w:sz="0" w:space="0" w:color="auto"/>
        <w:bottom w:val="none" w:sz="0" w:space="0" w:color="auto"/>
        <w:right w:val="none" w:sz="0" w:space="0" w:color="auto"/>
      </w:divBdr>
    </w:div>
    <w:div w:id="1543861453">
      <w:bodyDiv w:val="1"/>
      <w:marLeft w:val="0"/>
      <w:marRight w:val="0"/>
      <w:marTop w:val="0"/>
      <w:marBottom w:val="0"/>
      <w:divBdr>
        <w:top w:val="none" w:sz="0" w:space="0" w:color="auto"/>
        <w:left w:val="none" w:sz="0" w:space="0" w:color="auto"/>
        <w:bottom w:val="none" w:sz="0" w:space="0" w:color="auto"/>
        <w:right w:val="none" w:sz="0" w:space="0" w:color="auto"/>
      </w:divBdr>
    </w:div>
    <w:div w:id="1546406678">
      <w:bodyDiv w:val="1"/>
      <w:marLeft w:val="0"/>
      <w:marRight w:val="0"/>
      <w:marTop w:val="0"/>
      <w:marBottom w:val="0"/>
      <w:divBdr>
        <w:top w:val="none" w:sz="0" w:space="0" w:color="auto"/>
        <w:left w:val="none" w:sz="0" w:space="0" w:color="auto"/>
        <w:bottom w:val="none" w:sz="0" w:space="0" w:color="auto"/>
        <w:right w:val="none" w:sz="0" w:space="0" w:color="auto"/>
      </w:divBdr>
    </w:div>
    <w:div w:id="1551307540">
      <w:bodyDiv w:val="1"/>
      <w:marLeft w:val="0"/>
      <w:marRight w:val="0"/>
      <w:marTop w:val="0"/>
      <w:marBottom w:val="0"/>
      <w:divBdr>
        <w:top w:val="none" w:sz="0" w:space="0" w:color="auto"/>
        <w:left w:val="none" w:sz="0" w:space="0" w:color="auto"/>
        <w:bottom w:val="none" w:sz="0" w:space="0" w:color="auto"/>
        <w:right w:val="none" w:sz="0" w:space="0" w:color="auto"/>
      </w:divBdr>
    </w:div>
    <w:div w:id="1551377106">
      <w:bodyDiv w:val="1"/>
      <w:marLeft w:val="0"/>
      <w:marRight w:val="0"/>
      <w:marTop w:val="0"/>
      <w:marBottom w:val="0"/>
      <w:divBdr>
        <w:top w:val="none" w:sz="0" w:space="0" w:color="auto"/>
        <w:left w:val="none" w:sz="0" w:space="0" w:color="auto"/>
        <w:bottom w:val="none" w:sz="0" w:space="0" w:color="auto"/>
        <w:right w:val="none" w:sz="0" w:space="0" w:color="auto"/>
      </w:divBdr>
    </w:div>
    <w:div w:id="1554804411">
      <w:bodyDiv w:val="1"/>
      <w:marLeft w:val="0"/>
      <w:marRight w:val="0"/>
      <w:marTop w:val="0"/>
      <w:marBottom w:val="0"/>
      <w:divBdr>
        <w:top w:val="none" w:sz="0" w:space="0" w:color="auto"/>
        <w:left w:val="none" w:sz="0" w:space="0" w:color="auto"/>
        <w:bottom w:val="none" w:sz="0" w:space="0" w:color="auto"/>
        <w:right w:val="none" w:sz="0" w:space="0" w:color="auto"/>
      </w:divBdr>
    </w:div>
    <w:div w:id="1557086374">
      <w:bodyDiv w:val="1"/>
      <w:marLeft w:val="0"/>
      <w:marRight w:val="0"/>
      <w:marTop w:val="0"/>
      <w:marBottom w:val="0"/>
      <w:divBdr>
        <w:top w:val="none" w:sz="0" w:space="0" w:color="auto"/>
        <w:left w:val="none" w:sz="0" w:space="0" w:color="auto"/>
        <w:bottom w:val="none" w:sz="0" w:space="0" w:color="auto"/>
        <w:right w:val="none" w:sz="0" w:space="0" w:color="auto"/>
      </w:divBdr>
    </w:div>
    <w:div w:id="1561331926">
      <w:bodyDiv w:val="1"/>
      <w:marLeft w:val="0"/>
      <w:marRight w:val="0"/>
      <w:marTop w:val="0"/>
      <w:marBottom w:val="0"/>
      <w:divBdr>
        <w:top w:val="none" w:sz="0" w:space="0" w:color="auto"/>
        <w:left w:val="none" w:sz="0" w:space="0" w:color="auto"/>
        <w:bottom w:val="none" w:sz="0" w:space="0" w:color="auto"/>
        <w:right w:val="none" w:sz="0" w:space="0" w:color="auto"/>
      </w:divBdr>
    </w:div>
    <w:div w:id="1565291079">
      <w:bodyDiv w:val="1"/>
      <w:marLeft w:val="0"/>
      <w:marRight w:val="0"/>
      <w:marTop w:val="0"/>
      <w:marBottom w:val="0"/>
      <w:divBdr>
        <w:top w:val="none" w:sz="0" w:space="0" w:color="auto"/>
        <w:left w:val="none" w:sz="0" w:space="0" w:color="auto"/>
        <w:bottom w:val="none" w:sz="0" w:space="0" w:color="auto"/>
        <w:right w:val="none" w:sz="0" w:space="0" w:color="auto"/>
      </w:divBdr>
    </w:div>
    <w:div w:id="1566531506">
      <w:bodyDiv w:val="1"/>
      <w:marLeft w:val="0"/>
      <w:marRight w:val="0"/>
      <w:marTop w:val="0"/>
      <w:marBottom w:val="0"/>
      <w:divBdr>
        <w:top w:val="none" w:sz="0" w:space="0" w:color="auto"/>
        <w:left w:val="none" w:sz="0" w:space="0" w:color="auto"/>
        <w:bottom w:val="none" w:sz="0" w:space="0" w:color="auto"/>
        <w:right w:val="none" w:sz="0" w:space="0" w:color="auto"/>
      </w:divBdr>
    </w:div>
    <w:div w:id="1571428141">
      <w:bodyDiv w:val="1"/>
      <w:marLeft w:val="0"/>
      <w:marRight w:val="0"/>
      <w:marTop w:val="0"/>
      <w:marBottom w:val="0"/>
      <w:divBdr>
        <w:top w:val="none" w:sz="0" w:space="0" w:color="auto"/>
        <w:left w:val="none" w:sz="0" w:space="0" w:color="auto"/>
        <w:bottom w:val="none" w:sz="0" w:space="0" w:color="auto"/>
        <w:right w:val="none" w:sz="0" w:space="0" w:color="auto"/>
      </w:divBdr>
      <w:divsChild>
        <w:div w:id="373970842">
          <w:marLeft w:val="0"/>
          <w:marRight w:val="0"/>
          <w:marTop w:val="0"/>
          <w:marBottom w:val="0"/>
          <w:divBdr>
            <w:top w:val="none" w:sz="0" w:space="0" w:color="auto"/>
            <w:left w:val="none" w:sz="0" w:space="0" w:color="auto"/>
            <w:bottom w:val="none" w:sz="0" w:space="0" w:color="auto"/>
            <w:right w:val="none" w:sz="0" w:space="0" w:color="auto"/>
          </w:divBdr>
        </w:div>
      </w:divsChild>
    </w:div>
    <w:div w:id="1575361254">
      <w:bodyDiv w:val="1"/>
      <w:marLeft w:val="0"/>
      <w:marRight w:val="0"/>
      <w:marTop w:val="0"/>
      <w:marBottom w:val="0"/>
      <w:divBdr>
        <w:top w:val="none" w:sz="0" w:space="0" w:color="auto"/>
        <w:left w:val="none" w:sz="0" w:space="0" w:color="auto"/>
        <w:bottom w:val="none" w:sz="0" w:space="0" w:color="auto"/>
        <w:right w:val="none" w:sz="0" w:space="0" w:color="auto"/>
      </w:divBdr>
    </w:div>
    <w:div w:id="1580561393">
      <w:bodyDiv w:val="1"/>
      <w:marLeft w:val="0"/>
      <w:marRight w:val="0"/>
      <w:marTop w:val="0"/>
      <w:marBottom w:val="0"/>
      <w:divBdr>
        <w:top w:val="none" w:sz="0" w:space="0" w:color="auto"/>
        <w:left w:val="none" w:sz="0" w:space="0" w:color="auto"/>
        <w:bottom w:val="none" w:sz="0" w:space="0" w:color="auto"/>
        <w:right w:val="none" w:sz="0" w:space="0" w:color="auto"/>
      </w:divBdr>
    </w:div>
    <w:div w:id="1588227811">
      <w:bodyDiv w:val="1"/>
      <w:marLeft w:val="0"/>
      <w:marRight w:val="0"/>
      <w:marTop w:val="0"/>
      <w:marBottom w:val="0"/>
      <w:divBdr>
        <w:top w:val="none" w:sz="0" w:space="0" w:color="auto"/>
        <w:left w:val="none" w:sz="0" w:space="0" w:color="auto"/>
        <w:bottom w:val="none" w:sz="0" w:space="0" w:color="auto"/>
        <w:right w:val="none" w:sz="0" w:space="0" w:color="auto"/>
      </w:divBdr>
    </w:div>
    <w:div w:id="1589464412">
      <w:bodyDiv w:val="1"/>
      <w:marLeft w:val="0"/>
      <w:marRight w:val="0"/>
      <w:marTop w:val="0"/>
      <w:marBottom w:val="0"/>
      <w:divBdr>
        <w:top w:val="none" w:sz="0" w:space="0" w:color="auto"/>
        <w:left w:val="none" w:sz="0" w:space="0" w:color="auto"/>
        <w:bottom w:val="none" w:sz="0" w:space="0" w:color="auto"/>
        <w:right w:val="none" w:sz="0" w:space="0" w:color="auto"/>
      </w:divBdr>
    </w:div>
    <w:div w:id="1591616947">
      <w:bodyDiv w:val="1"/>
      <w:marLeft w:val="0"/>
      <w:marRight w:val="0"/>
      <w:marTop w:val="0"/>
      <w:marBottom w:val="0"/>
      <w:divBdr>
        <w:top w:val="none" w:sz="0" w:space="0" w:color="auto"/>
        <w:left w:val="none" w:sz="0" w:space="0" w:color="auto"/>
        <w:bottom w:val="none" w:sz="0" w:space="0" w:color="auto"/>
        <w:right w:val="none" w:sz="0" w:space="0" w:color="auto"/>
      </w:divBdr>
    </w:div>
    <w:div w:id="1592464647">
      <w:bodyDiv w:val="1"/>
      <w:marLeft w:val="0"/>
      <w:marRight w:val="0"/>
      <w:marTop w:val="0"/>
      <w:marBottom w:val="0"/>
      <w:divBdr>
        <w:top w:val="none" w:sz="0" w:space="0" w:color="auto"/>
        <w:left w:val="none" w:sz="0" w:space="0" w:color="auto"/>
        <w:bottom w:val="none" w:sz="0" w:space="0" w:color="auto"/>
        <w:right w:val="none" w:sz="0" w:space="0" w:color="auto"/>
      </w:divBdr>
    </w:div>
    <w:div w:id="1593124227">
      <w:bodyDiv w:val="1"/>
      <w:marLeft w:val="0"/>
      <w:marRight w:val="0"/>
      <w:marTop w:val="0"/>
      <w:marBottom w:val="0"/>
      <w:divBdr>
        <w:top w:val="none" w:sz="0" w:space="0" w:color="auto"/>
        <w:left w:val="none" w:sz="0" w:space="0" w:color="auto"/>
        <w:bottom w:val="none" w:sz="0" w:space="0" w:color="auto"/>
        <w:right w:val="none" w:sz="0" w:space="0" w:color="auto"/>
      </w:divBdr>
    </w:div>
    <w:div w:id="1596670621">
      <w:bodyDiv w:val="1"/>
      <w:marLeft w:val="0"/>
      <w:marRight w:val="0"/>
      <w:marTop w:val="0"/>
      <w:marBottom w:val="0"/>
      <w:divBdr>
        <w:top w:val="none" w:sz="0" w:space="0" w:color="auto"/>
        <w:left w:val="none" w:sz="0" w:space="0" w:color="auto"/>
        <w:bottom w:val="none" w:sz="0" w:space="0" w:color="auto"/>
        <w:right w:val="none" w:sz="0" w:space="0" w:color="auto"/>
      </w:divBdr>
    </w:div>
    <w:div w:id="1601572784">
      <w:bodyDiv w:val="1"/>
      <w:marLeft w:val="0"/>
      <w:marRight w:val="0"/>
      <w:marTop w:val="0"/>
      <w:marBottom w:val="0"/>
      <w:divBdr>
        <w:top w:val="none" w:sz="0" w:space="0" w:color="auto"/>
        <w:left w:val="none" w:sz="0" w:space="0" w:color="auto"/>
        <w:bottom w:val="none" w:sz="0" w:space="0" w:color="auto"/>
        <w:right w:val="none" w:sz="0" w:space="0" w:color="auto"/>
      </w:divBdr>
    </w:div>
    <w:div w:id="1612781372">
      <w:bodyDiv w:val="1"/>
      <w:marLeft w:val="0"/>
      <w:marRight w:val="0"/>
      <w:marTop w:val="0"/>
      <w:marBottom w:val="0"/>
      <w:divBdr>
        <w:top w:val="none" w:sz="0" w:space="0" w:color="auto"/>
        <w:left w:val="none" w:sz="0" w:space="0" w:color="auto"/>
        <w:bottom w:val="none" w:sz="0" w:space="0" w:color="auto"/>
        <w:right w:val="none" w:sz="0" w:space="0" w:color="auto"/>
      </w:divBdr>
      <w:divsChild>
        <w:div w:id="1398085714">
          <w:marLeft w:val="0"/>
          <w:marRight w:val="0"/>
          <w:marTop w:val="0"/>
          <w:marBottom w:val="0"/>
          <w:divBdr>
            <w:top w:val="single" w:sz="2" w:space="0" w:color="D9D9E3"/>
            <w:left w:val="single" w:sz="2" w:space="0" w:color="D9D9E3"/>
            <w:bottom w:val="single" w:sz="2" w:space="0" w:color="D9D9E3"/>
            <w:right w:val="single" w:sz="2" w:space="0" w:color="D9D9E3"/>
          </w:divBdr>
          <w:divsChild>
            <w:div w:id="981272258">
              <w:marLeft w:val="0"/>
              <w:marRight w:val="0"/>
              <w:marTop w:val="0"/>
              <w:marBottom w:val="0"/>
              <w:divBdr>
                <w:top w:val="single" w:sz="2" w:space="0" w:color="D9D9E3"/>
                <w:left w:val="single" w:sz="2" w:space="0" w:color="D9D9E3"/>
                <w:bottom w:val="single" w:sz="2" w:space="0" w:color="D9D9E3"/>
                <w:right w:val="single" w:sz="2" w:space="0" w:color="D9D9E3"/>
              </w:divBdr>
              <w:divsChild>
                <w:div w:id="1968470790">
                  <w:marLeft w:val="0"/>
                  <w:marRight w:val="0"/>
                  <w:marTop w:val="0"/>
                  <w:marBottom w:val="0"/>
                  <w:divBdr>
                    <w:top w:val="single" w:sz="2" w:space="0" w:color="D9D9E3"/>
                    <w:left w:val="single" w:sz="2" w:space="0" w:color="D9D9E3"/>
                    <w:bottom w:val="single" w:sz="2" w:space="0" w:color="D9D9E3"/>
                    <w:right w:val="single" w:sz="2" w:space="0" w:color="D9D9E3"/>
                  </w:divBdr>
                  <w:divsChild>
                    <w:div w:id="1901206189">
                      <w:marLeft w:val="0"/>
                      <w:marRight w:val="0"/>
                      <w:marTop w:val="0"/>
                      <w:marBottom w:val="0"/>
                      <w:divBdr>
                        <w:top w:val="single" w:sz="2" w:space="0" w:color="D9D9E3"/>
                        <w:left w:val="single" w:sz="2" w:space="0" w:color="D9D9E3"/>
                        <w:bottom w:val="single" w:sz="2" w:space="0" w:color="D9D9E3"/>
                        <w:right w:val="single" w:sz="2" w:space="0" w:color="D9D9E3"/>
                      </w:divBdr>
                      <w:divsChild>
                        <w:div w:id="1518232045">
                          <w:marLeft w:val="0"/>
                          <w:marRight w:val="0"/>
                          <w:marTop w:val="0"/>
                          <w:marBottom w:val="0"/>
                          <w:divBdr>
                            <w:top w:val="single" w:sz="2" w:space="0" w:color="auto"/>
                            <w:left w:val="single" w:sz="2" w:space="0" w:color="auto"/>
                            <w:bottom w:val="single" w:sz="6" w:space="0" w:color="auto"/>
                            <w:right w:val="single" w:sz="2" w:space="0" w:color="auto"/>
                          </w:divBdr>
                          <w:divsChild>
                            <w:div w:id="957835003">
                              <w:marLeft w:val="0"/>
                              <w:marRight w:val="0"/>
                              <w:marTop w:val="100"/>
                              <w:marBottom w:val="100"/>
                              <w:divBdr>
                                <w:top w:val="single" w:sz="2" w:space="0" w:color="D9D9E3"/>
                                <w:left w:val="single" w:sz="2" w:space="0" w:color="D9D9E3"/>
                                <w:bottom w:val="single" w:sz="2" w:space="0" w:color="D9D9E3"/>
                                <w:right w:val="single" w:sz="2" w:space="0" w:color="D9D9E3"/>
                              </w:divBdr>
                              <w:divsChild>
                                <w:div w:id="1927491806">
                                  <w:marLeft w:val="0"/>
                                  <w:marRight w:val="0"/>
                                  <w:marTop w:val="0"/>
                                  <w:marBottom w:val="0"/>
                                  <w:divBdr>
                                    <w:top w:val="single" w:sz="2" w:space="0" w:color="D9D9E3"/>
                                    <w:left w:val="single" w:sz="2" w:space="0" w:color="D9D9E3"/>
                                    <w:bottom w:val="single" w:sz="2" w:space="0" w:color="D9D9E3"/>
                                    <w:right w:val="single" w:sz="2" w:space="0" w:color="D9D9E3"/>
                                  </w:divBdr>
                                  <w:divsChild>
                                    <w:div w:id="412968253">
                                      <w:marLeft w:val="0"/>
                                      <w:marRight w:val="0"/>
                                      <w:marTop w:val="0"/>
                                      <w:marBottom w:val="0"/>
                                      <w:divBdr>
                                        <w:top w:val="single" w:sz="2" w:space="0" w:color="D9D9E3"/>
                                        <w:left w:val="single" w:sz="2" w:space="0" w:color="D9D9E3"/>
                                        <w:bottom w:val="single" w:sz="2" w:space="0" w:color="D9D9E3"/>
                                        <w:right w:val="single" w:sz="2" w:space="0" w:color="D9D9E3"/>
                                      </w:divBdr>
                                      <w:divsChild>
                                        <w:div w:id="1368145434">
                                          <w:marLeft w:val="0"/>
                                          <w:marRight w:val="0"/>
                                          <w:marTop w:val="0"/>
                                          <w:marBottom w:val="0"/>
                                          <w:divBdr>
                                            <w:top w:val="single" w:sz="2" w:space="0" w:color="D9D9E3"/>
                                            <w:left w:val="single" w:sz="2" w:space="0" w:color="D9D9E3"/>
                                            <w:bottom w:val="single" w:sz="2" w:space="0" w:color="D9D9E3"/>
                                            <w:right w:val="single" w:sz="2" w:space="0" w:color="D9D9E3"/>
                                          </w:divBdr>
                                          <w:divsChild>
                                            <w:div w:id="10514608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92553506">
          <w:marLeft w:val="0"/>
          <w:marRight w:val="0"/>
          <w:marTop w:val="0"/>
          <w:marBottom w:val="0"/>
          <w:divBdr>
            <w:top w:val="none" w:sz="0" w:space="0" w:color="auto"/>
            <w:left w:val="none" w:sz="0" w:space="0" w:color="auto"/>
            <w:bottom w:val="none" w:sz="0" w:space="0" w:color="auto"/>
            <w:right w:val="none" w:sz="0" w:space="0" w:color="auto"/>
          </w:divBdr>
        </w:div>
      </w:divsChild>
    </w:div>
    <w:div w:id="1621450870">
      <w:bodyDiv w:val="1"/>
      <w:marLeft w:val="0"/>
      <w:marRight w:val="0"/>
      <w:marTop w:val="0"/>
      <w:marBottom w:val="0"/>
      <w:divBdr>
        <w:top w:val="none" w:sz="0" w:space="0" w:color="auto"/>
        <w:left w:val="none" w:sz="0" w:space="0" w:color="auto"/>
        <w:bottom w:val="none" w:sz="0" w:space="0" w:color="auto"/>
        <w:right w:val="none" w:sz="0" w:space="0" w:color="auto"/>
      </w:divBdr>
    </w:div>
    <w:div w:id="1628656359">
      <w:bodyDiv w:val="1"/>
      <w:marLeft w:val="0"/>
      <w:marRight w:val="0"/>
      <w:marTop w:val="0"/>
      <w:marBottom w:val="0"/>
      <w:divBdr>
        <w:top w:val="none" w:sz="0" w:space="0" w:color="auto"/>
        <w:left w:val="none" w:sz="0" w:space="0" w:color="auto"/>
        <w:bottom w:val="none" w:sz="0" w:space="0" w:color="auto"/>
        <w:right w:val="none" w:sz="0" w:space="0" w:color="auto"/>
      </w:divBdr>
    </w:div>
    <w:div w:id="1632320748">
      <w:bodyDiv w:val="1"/>
      <w:marLeft w:val="0"/>
      <w:marRight w:val="0"/>
      <w:marTop w:val="0"/>
      <w:marBottom w:val="0"/>
      <w:divBdr>
        <w:top w:val="none" w:sz="0" w:space="0" w:color="auto"/>
        <w:left w:val="none" w:sz="0" w:space="0" w:color="auto"/>
        <w:bottom w:val="none" w:sz="0" w:space="0" w:color="auto"/>
        <w:right w:val="none" w:sz="0" w:space="0" w:color="auto"/>
      </w:divBdr>
    </w:div>
    <w:div w:id="1638801842">
      <w:bodyDiv w:val="1"/>
      <w:marLeft w:val="0"/>
      <w:marRight w:val="0"/>
      <w:marTop w:val="0"/>
      <w:marBottom w:val="0"/>
      <w:divBdr>
        <w:top w:val="none" w:sz="0" w:space="0" w:color="auto"/>
        <w:left w:val="none" w:sz="0" w:space="0" w:color="auto"/>
        <w:bottom w:val="none" w:sz="0" w:space="0" w:color="auto"/>
        <w:right w:val="none" w:sz="0" w:space="0" w:color="auto"/>
      </w:divBdr>
    </w:div>
    <w:div w:id="1650163408">
      <w:bodyDiv w:val="1"/>
      <w:marLeft w:val="0"/>
      <w:marRight w:val="0"/>
      <w:marTop w:val="0"/>
      <w:marBottom w:val="0"/>
      <w:divBdr>
        <w:top w:val="none" w:sz="0" w:space="0" w:color="auto"/>
        <w:left w:val="none" w:sz="0" w:space="0" w:color="auto"/>
        <w:bottom w:val="none" w:sz="0" w:space="0" w:color="auto"/>
        <w:right w:val="none" w:sz="0" w:space="0" w:color="auto"/>
      </w:divBdr>
      <w:divsChild>
        <w:div w:id="1609700126">
          <w:marLeft w:val="0"/>
          <w:marRight w:val="0"/>
          <w:marTop w:val="0"/>
          <w:marBottom w:val="0"/>
          <w:divBdr>
            <w:top w:val="none" w:sz="0" w:space="0" w:color="auto"/>
            <w:left w:val="none" w:sz="0" w:space="0" w:color="auto"/>
            <w:bottom w:val="none" w:sz="0" w:space="0" w:color="auto"/>
            <w:right w:val="none" w:sz="0" w:space="0" w:color="auto"/>
          </w:divBdr>
        </w:div>
      </w:divsChild>
    </w:div>
    <w:div w:id="1654530502">
      <w:bodyDiv w:val="1"/>
      <w:marLeft w:val="0"/>
      <w:marRight w:val="0"/>
      <w:marTop w:val="0"/>
      <w:marBottom w:val="0"/>
      <w:divBdr>
        <w:top w:val="none" w:sz="0" w:space="0" w:color="auto"/>
        <w:left w:val="none" w:sz="0" w:space="0" w:color="auto"/>
        <w:bottom w:val="none" w:sz="0" w:space="0" w:color="auto"/>
        <w:right w:val="none" w:sz="0" w:space="0" w:color="auto"/>
      </w:divBdr>
    </w:div>
    <w:div w:id="1662588111">
      <w:bodyDiv w:val="1"/>
      <w:marLeft w:val="0"/>
      <w:marRight w:val="0"/>
      <w:marTop w:val="0"/>
      <w:marBottom w:val="0"/>
      <w:divBdr>
        <w:top w:val="none" w:sz="0" w:space="0" w:color="auto"/>
        <w:left w:val="none" w:sz="0" w:space="0" w:color="auto"/>
        <w:bottom w:val="none" w:sz="0" w:space="0" w:color="auto"/>
        <w:right w:val="none" w:sz="0" w:space="0" w:color="auto"/>
      </w:divBdr>
    </w:div>
    <w:div w:id="1666977130">
      <w:bodyDiv w:val="1"/>
      <w:marLeft w:val="0"/>
      <w:marRight w:val="0"/>
      <w:marTop w:val="0"/>
      <w:marBottom w:val="0"/>
      <w:divBdr>
        <w:top w:val="none" w:sz="0" w:space="0" w:color="auto"/>
        <w:left w:val="none" w:sz="0" w:space="0" w:color="auto"/>
        <w:bottom w:val="none" w:sz="0" w:space="0" w:color="auto"/>
        <w:right w:val="none" w:sz="0" w:space="0" w:color="auto"/>
      </w:divBdr>
    </w:div>
    <w:div w:id="1668286873">
      <w:bodyDiv w:val="1"/>
      <w:marLeft w:val="0"/>
      <w:marRight w:val="0"/>
      <w:marTop w:val="0"/>
      <w:marBottom w:val="0"/>
      <w:divBdr>
        <w:top w:val="none" w:sz="0" w:space="0" w:color="auto"/>
        <w:left w:val="none" w:sz="0" w:space="0" w:color="auto"/>
        <w:bottom w:val="none" w:sz="0" w:space="0" w:color="auto"/>
        <w:right w:val="none" w:sz="0" w:space="0" w:color="auto"/>
      </w:divBdr>
    </w:div>
    <w:div w:id="1676687284">
      <w:bodyDiv w:val="1"/>
      <w:marLeft w:val="0"/>
      <w:marRight w:val="0"/>
      <w:marTop w:val="0"/>
      <w:marBottom w:val="0"/>
      <w:divBdr>
        <w:top w:val="none" w:sz="0" w:space="0" w:color="auto"/>
        <w:left w:val="none" w:sz="0" w:space="0" w:color="auto"/>
        <w:bottom w:val="none" w:sz="0" w:space="0" w:color="auto"/>
        <w:right w:val="none" w:sz="0" w:space="0" w:color="auto"/>
      </w:divBdr>
    </w:div>
    <w:div w:id="1678656668">
      <w:bodyDiv w:val="1"/>
      <w:marLeft w:val="0"/>
      <w:marRight w:val="0"/>
      <w:marTop w:val="0"/>
      <w:marBottom w:val="0"/>
      <w:divBdr>
        <w:top w:val="none" w:sz="0" w:space="0" w:color="auto"/>
        <w:left w:val="none" w:sz="0" w:space="0" w:color="auto"/>
        <w:bottom w:val="none" w:sz="0" w:space="0" w:color="auto"/>
        <w:right w:val="none" w:sz="0" w:space="0" w:color="auto"/>
      </w:divBdr>
    </w:div>
    <w:div w:id="1681925685">
      <w:bodyDiv w:val="1"/>
      <w:marLeft w:val="0"/>
      <w:marRight w:val="0"/>
      <w:marTop w:val="0"/>
      <w:marBottom w:val="0"/>
      <w:divBdr>
        <w:top w:val="none" w:sz="0" w:space="0" w:color="auto"/>
        <w:left w:val="none" w:sz="0" w:space="0" w:color="auto"/>
        <w:bottom w:val="none" w:sz="0" w:space="0" w:color="auto"/>
        <w:right w:val="none" w:sz="0" w:space="0" w:color="auto"/>
      </w:divBdr>
    </w:div>
    <w:div w:id="1686597073">
      <w:bodyDiv w:val="1"/>
      <w:marLeft w:val="0"/>
      <w:marRight w:val="0"/>
      <w:marTop w:val="0"/>
      <w:marBottom w:val="0"/>
      <w:divBdr>
        <w:top w:val="none" w:sz="0" w:space="0" w:color="auto"/>
        <w:left w:val="none" w:sz="0" w:space="0" w:color="auto"/>
        <w:bottom w:val="none" w:sz="0" w:space="0" w:color="auto"/>
        <w:right w:val="none" w:sz="0" w:space="0" w:color="auto"/>
      </w:divBdr>
    </w:div>
    <w:div w:id="1703020189">
      <w:bodyDiv w:val="1"/>
      <w:marLeft w:val="0"/>
      <w:marRight w:val="0"/>
      <w:marTop w:val="0"/>
      <w:marBottom w:val="0"/>
      <w:divBdr>
        <w:top w:val="none" w:sz="0" w:space="0" w:color="auto"/>
        <w:left w:val="none" w:sz="0" w:space="0" w:color="auto"/>
        <w:bottom w:val="none" w:sz="0" w:space="0" w:color="auto"/>
        <w:right w:val="none" w:sz="0" w:space="0" w:color="auto"/>
      </w:divBdr>
    </w:div>
    <w:div w:id="1709181239">
      <w:bodyDiv w:val="1"/>
      <w:marLeft w:val="0"/>
      <w:marRight w:val="0"/>
      <w:marTop w:val="0"/>
      <w:marBottom w:val="0"/>
      <w:divBdr>
        <w:top w:val="none" w:sz="0" w:space="0" w:color="auto"/>
        <w:left w:val="none" w:sz="0" w:space="0" w:color="auto"/>
        <w:bottom w:val="none" w:sz="0" w:space="0" w:color="auto"/>
        <w:right w:val="none" w:sz="0" w:space="0" w:color="auto"/>
      </w:divBdr>
    </w:div>
    <w:div w:id="1710912491">
      <w:bodyDiv w:val="1"/>
      <w:marLeft w:val="0"/>
      <w:marRight w:val="0"/>
      <w:marTop w:val="0"/>
      <w:marBottom w:val="0"/>
      <w:divBdr>
        <w:top w:val="none" w:sz="0" w:space="0" w:color="auto"/>
        <w:left w:val="none" w:sz="0" w:space="0" w:color="auto"/>
        <w:bottom w:val="none" w:sz="0" w:space="0" w:color="auto"/>
        <w:right w:val="none" w:sz="0" w:space="0" w:color="auto"/>
      </w:divBdr>
    </w:div>
    <w:div w:id="1713381421">
      <w:bodyDiv w:val="1"/>
      <w:marLeft w:val="0"/>
      <w:marRight w:val="0"/>
      <w:marTop w:val="0"/>
      <w:marBottom w:val="0"/>
      <w:divBdr>
        <w:top w:val="none" w:sz="0" w:space="0" w:color="auto"/>
        <w:left w:val="none" w:sz="0" w:space="0" w:color="auto"/>
        <w:bottom w:val="none" w:sz="0" w:space="0" w:color="auto"/>
        <w:right w:val="none" w:sz="0" w:space="0" w:color="auto"/>
      </w:divBdr>
    </w:div>
    <w:div w:id="1724404778">
      <w:bodyDiv w:val="1"/>
      <w:marLeft w:val="0"/>
      <w:marRight w:val="0"/>
      <w:marTop w:val="0"/>
      <w:marBottom w:val="0"/>
      <w:divBdr>
        <w:top w:val="none" w:sz="0" w:space="0" w:color="auto"/>
        <w:left w:val="none" w:sz="0" w:space="0" w:color="auto"/>
        <w:bottom w:val="none" w:sz="0" w:space="0" w:color="auto"/>
        <w:right w:val="none" w:sz="0" w:space="0" w:color="auto"/>
      </w:divBdr>
    </w:div>
    <w:div w:id="1728144148">
      <w:bodyDiv w:val="1"/>
      <w:marLeft w:val="0"/>
      <w:marRight w:val="0"/>
      <w:marTop w:val="0"/>
      <w:marBottom w:val="0"/>
      <w:divBdr>
        <w:top w:val="none" w:sz="0" w:space="0" w:color="auto"/>
        <w:left w:val="none" w:sz="0" w:space="0" w:color="auto"/>
        <w:bottom w:val="none" w:sz="0" w:space="0" w:color="auto"/>
        <w:right w:val="none" w:sz="0" w:space="0" w:color="auto"/>
      </w:divBdr>
      <w:divsChild>
        <w:div w:id="684752807">
          <w:marLeft w:val="0"/>
          <w:marRight w:val="0"/>
          <w:marTop w:val="0"/>
          <w:marBottom w:val="0"/>
          <w:divBdr>
            <w:top w:val="none" w:sz="0" w:space="0" w:color="auto"/>
            <w:left w:val="none" w:sz="0" w:space="0" w:color="auto"/>
            <w:bottom w:val="none" w:sz="0" w:space="0" w:color="auto"/>
            <w:right w:val="none" w:sz="0" w:space="0" w:color="auto"/>
          </w:divBdr>
        </w:div>
        <w:div w:id="730344764">
          <w:marLeft w:val="0"/>
          <w:marRight w:val="0"/>
          <w:marTop w:val="0"/>
          <w:marBottom w:val="0"/>
          <w:divBdr>
            <w:top w:val="single" w:sz="2" w:space="0" w:color="D9D9E3"/>
            <w:left w:val="single" w:sz="2" w:space="0" w:color="D9D9E3"/>
            <w:bottom w:val="single" w:sz="2" w:space="0" w:color="D9D9E3"/>
            <w:right w:val="single" w:sz="2" w:space="0" w:color="D9D9E3"/>
          </w:divBdr>
          <w:divsChild>
            <w:div w:id="683632251">
              <w:marLeft w:val="0"/>
              <w:marRight w:val="0"/>
              <w:marTop w:val="0"/>
              <w:marBottom w:val="0"/>
              <w:divBdr>
                <w:top w:val="single" w:sz="2" w:space="0" w:color="D9D9E3"/>
                <w:left w:val="single" w:sz="2" w:space="0" w:color="D9D9E3"/>
                <w:bottom w:val="single" w:sz="2" w:space="0" w:color="D9D9E3"/>
                <w:right w:val="single" w:sz="2" w:space="0" w:color="D9D9E3"/>
              </w:divBdr>
              <w:divsChild>
                <w:div w:id="1859812258">
                  <w:marLeft w:val="0"/>
                  <w:marRight w:val="0"/>
                  <w:marTop w:val="0"/>
                  <w:marBottom w:val="0"/>
                  <w:divBdr>
                    <w:top w:val="single" w:sz="2" w:space="0" w:color="D9D9E3"/>
                    <w:left w:val="single" w:sz="2" w:space="0" w:color="D9D9E3"/>
                    <w:bottom w:val="single" w:sz="2" w:space="0" w:color="D9D9E3"/>
                    <w:right w:val="single" w:sz="2" w:space="0" w:color="D9D9E3"/>
                  </w:divBdr>
                  <w:divsChild>
                    <w:div w:id="2034960237">
                      <w:marLeft w:val="0"/>
                      <w:marRight w:val="0"/>
                      <w:marTop w:val="0"/>
                      <w:marBottom w:val="0"/>
                      <w:divBdr>
                        <w:top w:val="single" w:sz="2" w:space="0" w:color="D9D9E3"/>
                        <w:left w:val="single" w:sz="2" w:space="0" w:color="D9D9E3"/>
                        <w:bottom w:val="single" w:sz="2" w:space="0" w:color="D9D9E3"/>
                        <w:right w:val="single" w:sz="2" w:space="0" w:color="D9D9E3"/>
                      </w:divBdr>
                      <w:divsChild>
                        <w:div w:id="1608468168">
                          <w:marLeft w:val="0"/>
                          <w:marRight w:val="0"/>
                          <w:marTop w:val="0"/>
                          <w:marBottom w:val="0"/>
                          <w:divBdr>
                            <w:top w:val="single" w:sz="2" w:space="0" w:color="auto"/>
                            <w:left w:val="single" w:sz="2" w:space="0" w:color="auto"/>
                            <w:bottom w:val="single" w:sz="6" w:space="0" w:color="auto"/>
                            <w:right w:val="single" w:sz="2" w:space="0" w:color="auto"/>
                          </w:divBdr>
                          <w:divsChild>
                            <w:div w:id="237789977">
                              <w:marLeft w:val="0"/>
                              <w:marRight w:val="0"/>
                              <w:marTop w:val="100"/>
                              <w:marBottom w:val="100"/>
                              <w:divBdr>
                                <w:top w:val="single" w:sz="2" w:space="0" w:color="D9D9E3"/>
                                <w:left w:val="single" w:sz="2" w:space="0" w:color="D9D9E3"/>
                                <w:bottom w:val="single" w:sz="2" w:space="0" w:color="D9D9E3"/>
                                <w:right w:val="single" w:sz="2" w:space="0" w:color="D9D9E3"/>
                              </w:divBdr>
                              <w:divsChild>
                                <w:div w:id="1547982020">
                                  <w:marLeft w:val="0"/>
                                  <w:marRight w:val="0"/>
                                  <w:marTop w:val="0"/>
                                  <w:marBottom w:val="0"/>
                                  <w:divBdr>
                                    <w:top w:val="single" w:sz="2" w:space="0" w:color="D9D9E3"/>
                                    <w:left w:val="single" w:sz="2" w:space="0" w:color="D9D9E3"/>
                                    <w:bottom w:val="single" w:sz="2" w:space="0" w:color="D9D9E3"/>
                                    <w:right w:val="single" w:sz="2" w:space="0" w:color="D9D9E3"/>
                                  </w:divBdr>
                                  <w:divsChild>
                                    <w:div w:id="272371852">
                                      <w:marLeft w:val="0"/>
                                      <w:marRight w:val="0"/>
                                      <w:marTop w:val="0"/>
                                      <w:marBottom w:val="0"/>
                                      <w:divBdr>
                                        <w:top w:val="single" w:sz="2" w:space="0" w:color="D9D9E3"/>
                                        <w:left w:val="single" w:sz="2" w:space="0" w:color="D9D9E3"/>
                                        <w:bottom w:val="single" w:sz="2" w:space="0" w:color="D9D9E3"/>
                                        <w:right w:val="single" w:sz="2" w:space="0" w:color="D9D9E3"/>
                                      </w:divBdr>
                                      <w:divsChild>
                                        <w:div w:id="26570787">
                                          <w:marLeft w:val="0"/>
                                          <w:marRight w:val="0"/>
                                          <w:marTop w:val="0"/>
                                          <w:marBottom w:val="0"/>
                                          <w:divBdr>
                                            <w:top w:val="single" w:sz="2" w:space="0" w:color="D9D9E3"/>
                                            <w:left w:val="single" w:sz="2" w:space="0" w:color="D9D9E3"/>
                                            <w:bottom w:val="single" w:sz="2" w:space="0" w:color="D9D9E3"/>
                                            <w:right w:val="single" w:sz="2" w:space="0" w:color="D9D9E3"/>
                                          </w:divBdr>
                                          <w:divsChild>
                                            <w:div w:id="17177309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730957593">
      <w:bodyDiv w:val="1"/>
      <w:marLeft w:val="0"/>
      <w:marRight w:val="0"/>
      <w:marTop w:val="0"/>
      <w:marBottom w:val="0"/>
      <w:divBdr>
        <w:top w:val="none" w:sz="0" w:space="0" w:color="auto"/>
        <w:left w:val="none" w:sz="0" w:space="0" w:color="auto"/>
        <w:bottom w:val="none" w:sz="0" w:space="0" w:color="auto"/>
        <w:right w:val="none" w:sz="0" w:space="0" w:color="auto"/>
      </w:divBdr>
    </w:div>
    <w:div w:id="1732146988">
      <w:bodyDiv w:val="1"/>
      <w:marLeft w:val="0"/>
      <w:marRight w:val="0"/>
      <w:marTop w:val="0"/>
      <w:marBottom w:val="0"/>
      <w:divBdr>
        <w:top w:val="none" w:sz="0" w:space="0" w:color="auto"/>
        <w:left w:val="none" w:sz="0" w:space="0" w:color="auto"/>
        <w:bottom w:val="none" w:sz="0" w:space="0" w:color="auto"/>
        <w:right w:val="none" w:sz="0" w:space="0" w:color="auto"/>
      </w:divBdr>
    </w:div>
    <w:div w:id="1733188900">
      <w:bodyDiv w:val="1"/>
      <w:marLeft w:val="0"/>
      <w:marRight w:val="0"/>
      <w:marTop w:val="0"/>
      <w:marBottom w:val="0"/>
      <w:divBdr>
        <w:top w:val="none" w:sz="0" w:space="0" w:color="auto"/>
        <w:left w:val="none" w:sz="0" w:space="0" w:color="auto"/>
        <w:bottom w:val="none" w:sz="0" w:space="0" w:color="auto"/>
        <w:right w:val="none" w:sz="0" w:space="0" w:color="auto"/>
      </w:divBdr>
    </w:div>
    <w:div w:id="1737582172">
      <w:bodyDiv w:val="1"/>
      <w:marLeft w:val="0"/>
      <w:marRight w:val="0"/>
      <w:marTop w:val="0"/>
      <w:marBottom w:val="0"/>
      <w:divBdr>
        <w:top w:val="none" w:sz="0" w:space="0" w:color="auto"/>
        <w:left w:val="none" w:sz="0" w:space="0" w:color="auto"/>
        <w:bottom w:val="none" w:sz="0" w:space="0" w:color="auto"/>
        <w:right w:val="none" w:sz="0" w:space="0" w:color="auto"/>
      </w:divBdr>
    </w:div>
    <w:div w:id="1739160861">
      <w:bodyDiv w:val="1"/>
      <w:marLeft w:val="0"/>
      <w:marRight w:val="0"/>
      <w:marTop w:val="0"/>
      <w:marBottom w:val="0"/>
      <w:divBdr>
        <w:top w:val="none" w:sz="0" w:space="0" w:color="auto"/>
        <w:left w:val="none" w:sz="0" w:space="0" w:color="auto"/>
        <w:bottom w:val="none" w:sz="0" w:space="0" w:color="auto"/>
        <w:right w:val="none" w:sz="0" w:space="0" w:color="auto"/>
      </w:divBdr>
    </w:div>
    <w:div w:id="1757165505">
      <w:bodyDiv w:val="1"/>
      <w:marLeft w:val="0"/>
      <w:marRight w:val="0"/>
      <w:marTop w:val="0"/>
      <w:marBottom w:val="0"/>
      <w:divBdr>
        <w:top w:val="none" w:sz="0" w:space="0" w:color="auto"/>
        <w:left w:val="none" w:sz="0" w:space="0" w:color="auto"/>
        <w:bottom w:val="none" w:sz="0" w:space="0" w:color="auto"/>
        <w:right w:val="none" w:sz="0" w:space="0" w:color="auto"/>
      </w:divBdr>
    </w:div>
    <w:div w:id="1768427063">
      <w:bodyDiv w:val="1"/>
      <w:marLeft w:val="0"/>
      <w:marRight w:val="0"/>
      <w:marTop w:val="0"/>
      <w:marBottom w:val="0"/>
      <w:divBdr>
        <w:top w:val="none" w:sz="0" w:space="0" w:color="auto"/>
        <w:left w:val="none" w:sz="0" w:space="0" w:color="auto"/>
        <w:bottom w:val="none" w:sz="0" w:space="0" w:color="auto"/>
        <w:right w:val="none" w:sz="0" w:space="0" w:color="auto"/>
      </w:divBdr>
    </w:div>
    <w:div w:id="1772629730">
      <w:bodyDiv w:val="1"/>
      <w:marLeft w:val="0"/>
      <w:marRight w:val="0"/>
      <w:marTop w:val="0"/>
      <w:marBottom w:val="0"/>
      <w:divBdr>
        <w:top w:val="none" w:sz="0" w:space="0" w:color="auto"/>
        <w:left w:val="none" w:sz="0" w:space="0" w:color="auto"/>
        <w:bottom w:val="none" w:sz="0" w:space="0" w:color="auto"/>
        <w:right w:val="none" w:sz="0" w:space="0" w:color="auto"/>
      </w:divBdr>
    </w:div>
    <w:div w:id="1779831156">
      <w:bodyDiv w:val="1"/>
      <w:marLeft w:val="0"/>
      <w:marRight w:val="0"/>
      <w:marTop w:val="0"/>
      <w:marBottom w:val="0"/>
      <w:divBdr>
        <w:top w:val="none" w:sz="0" w:space="0" w:color="auto"/>
        <w:left w:val="none" w:sz="0" w:space="0" w:color="auto"/>
        <w:bottom w:val="none" w:sz="0" w:space="0" w:color="auto"/>
        <w:right w:val="none" w:sz="0" w:space="0" w:color="auto"/>
      </w:divBdr>
      <w:divsChild>
        <w:div w:id="1559627999">
          <w:marLeft w:val="0"/>
          <w:marRight w:val="0"/>
          <w:marTop w:val="0"/>
          <w:marBottom w:val="0"/>
          <w:divBdr>
            <w:top w:val="single" w:sz="2" w:space="0" w:color="auto"/>
            <w:left w:val="single" w:sz="2" w:space="0" w:color="auto"/>
            <w:bottom w:val="single" w:sz="6" w:space="0" w:color="auto"/>
            <w:right w:val="single" w:sz="2" w:space="0" w:color="auto"/>
          </w:divBdr>
          <w:divsChild>
            <w:div w:id="458376039">
              <w:marLeft w:val="0"/>
              <w:marRight w:val="0"/>
              <w:marTop w:val="100"/>
              <w:marBottom w:val="100"/>
              <w:divBdr>
                <w:top w:val="single" w:sz="2" w:space="0" w:color="D9D9E3"/>
                <w:left w:val="single" w:sz="2" w:space="0" w:color="D9D9E3"/>
                <w:bottom w:val="single" w:sz="2" w:space="0" w:color="D9D9E3"/>
                <w:right w:val="single" w:sz="2" w:space="0" w:color="D9D9E3"/>
              </w:divBdr>
              <w:divsChild>
                <w:div w:id="1290354139">
                  <w:marLeft w:val="0"/>
                  <w:marRight w:val="0"/>
                  <w:marTop w:val="0"/>
                  <w:marBottom w:val="0"/>
                  <w:divBdr>
                    <w:top w:val="single" w:sz="2" w:space="0" w:color="D9D9E3"/>
                    <w:left w:val="single" w:sz="2" w:space="0" w:color="D9D9E3"/>
                    <w:bottom w:val="single" w:sz="2" w:space="0" w:color="D9D9E3"/>
                    <w:right w:val="single" w:sz="2" w:space="0" w:color="D9D9E3"/>
                  </w:divBdr>
                  <w:divsChild>
                    <w:div w:id="495653094">
                      <w:marLeft w:val="0"/>
                      <w:marRight w:val="0"/>
                      <w:marTop w:val="0"/>
                      <w:marBottom w:val="0"/>
                      <w:divBdr>
                        <w:top w:val="single" w:sz="2" w:space="0" w:color="D9D9E3"/>
                        <w:left w:val="single" w:sz="2" w:space="0" w:color="D9D9E3"/>
                        <w:bottom w:val="single" w:sz="2" w:space="0" w:color="D9D9E3"/>
                        <w:right w:val="single" w:sz="2" w:space="0" w:color="D9D9E3"/>
                      </w:divBdr>
                      <w:divsChild>
                        <w:div w:id="783186766">
                          <w:marLeft w:val="0"/>
                          <w:marRight w:val="0"/>
                          <w:marTop w:val="0"/>
                          <w:marBottom w:val="0"/>
                          <w:divBdr>
                            <w:top w:val="single" w:sz="2" w:space="0" w:color="D9D9E3"/>
                            <w:left w:val="single" w:sz="2" w:space="0" w:color="D9D9E3"/>
                            <w:bottom w:val="single" w:sz="2" w:space="0" w:color="D9D9E3"/>
                            <w:right w:val="single" w:sz="2" w:space="0" w:color="D9D9E3"/>
                          </w:divBdr>
                          <w:divsChild>
                            <w:div w:id="6598891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81876678">
      <w:bodyDiv w:val="1"/>
      <w:marLeft w:val="0"/>
      <w:marRight w:val="0"/>
      <w:marTop w:val="0"/>
      <w:marBottom w:val="0"/>
      <w:divBdr>
        <w:top w:val="none" w:sz="0" w:space="0" w:color="auto"/>
        <w:left w:val="none" w:sz="0" w:space="0" w:color="auto"/>
        <w:bottom w:val="none" w:sz="0" w:space="0" w:color="auto"/>
        <w:right w:val="none" w:sz="0" w:space="0" w:color="auto"/>
      </w:divBdr>
    </w:div>
    <w:div w:id="1782409592">
      <w:bodyDiv w:val="1"/>
      <w:marLeft w:val="0"/>
      <w:marRight w:val="0"/>
      <w:marTop w:val="0"/>
      <w:marBottom w:val="0"/>
      <w:divBdr>
        <w:top w:val="none" w:sz="0" w:space="0" w:color="auto"/>
        <w:left w:val="none" w:sz="0" w:space="0" w:color="auto"/>
        <w:bottom w:val="none" w:sz="0" w:space="0" w:color="auto"/>
        <w:right w:val="none" w:sz="0" w:space="0" w:color="auto"/>
      </w:divBdr>
    </w:div>
    <w:div w:id="1810242068">
      <w:bodyDiv w:val="1"/>
      <w:marLeft w:val="0"/>
      <w:marRight w:val="0"/>
      <w:marTop w:val="0"/>
      <w:marBottom w:val="0"/>
      <w:divBdr>
        <w:top w:val="none" w:sz="0" w:space="0" w:color="auto"/>
        <w:left w:val="none" w:sz="0" w:space="0" w:color="auto"/>
        <w:bottom w:val="none" w:sz="0" w:space="0" w:color="auto"/>
        <w:right w:val="none" w:sz="0" w:space="0" w:color="auto"/>
      </w:divBdr>
    </w:div>
    <w:div w:id="1828285751">
      <w:bodyDiv w:val="1"/>
      <w:marLeft w:val="0"/>
      <w:marRight w:val="0"/>
      <w:marTop w:val="0"/>
      <w:marBottom w:val="0"/>
      <w:divBdr>
        <w:top w:val="none" w:sz="0" w:space="0" w:color="auto"/>
        <w:left w:val="none" w:sz="0" w:space="0" w:color="auto"/>
        <w:bottom w:val="none" w:sz="0" w:space="0" w:color="auto"/>
        <w:right w:val="none" w:sz="0" w:space="0" w:color="auto"/>
      </w:divBdr>
    </w:div>
    <w:div w:id="1831172400">
      <w:bodyDiv w:val="1"/>
      <w:marLeft w:val="0"/>
      <w:marRight w:val="0"/>
      <w:marTop w:val="0"/>
      <w:marBottom w:val="0"/>
      <w:divBdr>
        <w:top w:val="none" w:sz="0" w:space="0" w:color="auto"/>
        <w:left w:val="none" w:sz="0" w:space="0" w:color="auto"/>
        <w:bottom w:val="none" w:sz="0" w:space="0" w:color="auto"/>
        <w:right w:val="none" w:sz="0" w:space="0" w:color="auto"/>
      </w:divBdr>
    </w:div>
    <w:div w:id="1833905236">
      <w:bodyDiv w:val="1"/>
      <w:marLeft w:val="0"/>
      <w:marRight w:val="0"/>
      <w:marTop w:val="0"/>
      <w:marBottom w:val="0"/>
      <w:divBdr>
        <w:top w:val="none" w:sz="0" w:space="0" w:color="auto"/>
        <w:left w:val="none" w:sz="0" w:space="0" w:color="auto"/>
        <w:bottom w:val="none" w:sz="0" w:space="0" w:color="auto"/>
        <w:right w:val="none" w:sz="0" w:space="0" w:color="auto"/>
      </w:divBdr>
    </w:div>
    <w:div w:id="1839298377">
      <w:bodyDiv w:val="1"/>
      <w:marLeft w:val="0"/>
      <w:marRight w:val="0"/>
      <w:marTop w:val="0"/>
      <w:marBottom w:val="0"/>
      <w:divBdr>
        <w:top w:val="none" w:sz="0" w:space="0" w:color="auto"/>
        <w:left w:val="none" w:sz="0" w:space="0" w:color="auto"/>
        <w:bottom w:val="none" w:sz="0" w:space="0" w:color="auto"/>
        <w:right w:val="none" w:sz="0" w:space="0" w:color="auto"/>
      </w:divBdr>
    </w:div>
    <w:div w:id="1848790443">
      <w:bodyDiv w:val="1"/>
      <w:marLeft w:val="0"/>
      <w:marRight w:val="0"/>
      <w:marTop w:val="0"/>
      <w:marBottom w:val="0"/>
      <w:divBdr>
        <w:top w:val="none" w:sz="0" w:space="0" w:color="auto"/>
        <w:left w:val="none" w:sz="0" w:space="0" w:color="auto"/>
        <w:bottom w:val="none" w:sz="0" w:space="0" w:color="auto"/>
        <w:right w:val="none" w:sz="0" w:space="0" w:color="auto"/>
      </w:divBdr>
    </w:div>
    <w:div w:id="1852337073">
      <w:bodyDiv w:val="1"/>
      <w:marLeft w:val="0"/>
      <w:marRight w:val="0"/>
      <w:marTop w:val="0"/>
      <w:marBottom w:val="0"/>
      <w:divBdr>
        <w:top w:val="none" w:sz="0" w:space="0" w:color="auto"/>
        <w:left w:val="none" w:sz="0" w:space="0" w:color="auto"/>
        <w:bottom w:val="none" w:sz="0" w:space="0" w:color="auto"/>
        <w:right w:val="none" w:sz="0" w:space="0" w:color="auto"/>
      </w:divBdr>
    </w:div>
    <w:div w:id="1852601929">
      <w:bodyDiv w:val="1"/>
      <w:marLeft w:val="0"/>
      <w:marRight w:val="0"/>
      <w:marTop w:val="0"/>
      <w:marBottom w:val="0"/>
      <w:divBdr>
        <w:top w:val="none" w:sz="0" w:space="0" w:color="auto"/>
        <w:left w:val="none" w:sz="0" w:space="0" w:color="auto"/>
        <w:bottom w:val="none" w:sz="0" w:space="0" w:color="auto"/>
        <w:right w:val="none" w:sz="0" w:space="0" w:color="auto"/>
      </w:divBdr>
    </w:div>
    <w:div w:id="1873296547">
      <w:bodyDiv w:val="1"/>
      <w:marLeft w:val="0"/>
      <w:marRight w:val="0"/>
      <w:marTop w:val="0"/>
      <w:marBottom w:val="0"/>
      <w:divBdr>
        <w:top w:val="none" w:sz="0" w:space="0" w:color="auto"/>
        <w:left w:val="none" w:sz="0" w:space="0" w:color="auto"/>
        <w:bottom w:val="none" w:sz="0" w:space="0" w:color="auto"/>
        <w:right w:val="none" w:sz="0" w:space="0" w:color="auto"/>
      </w:divBdr>
    </w:div>
    <w:div w:id="1873608813">
      <w:bodyDiv w:val="1"/>
      <w:marLeft w:val="0"/>
      <w:marRight w:val="0"/>
      <w:marTop w:val="0"/>
      <w:marBottom w:val="0"/>
      <w:divBdr>
        <w:top w:val="none" w:sz="0" w:space="0" w:color="auto"/>
        <w:left w:val="none" w:sz="0" w:space="0" w:color="auto"/>
        <w:bottom w:val="none" w:sz="0" w:space="0" w:color="auto"/>
        <w:right w:val="none" w:sz="0" w:space="0" w:color="auto"/>
      </w:divBdr>
    </w:div>
    <w:div w:id="1880897721">
      <w:bodyDiv w:val="1"/>
      <w:marLeft w:val="0"/>
      <w:marRight w:val="0"/>
      <w:marTop w:val="0"/>
      <w:marBottom w:val="0"/>
      <w:divBdr>
        <w:top w:val="none" w:sz="0" w:space="0" w:color="auto"/>
        <w:left w:val="none" w:sz="0" w:space="0" w:color="auto"/>
        <w:bottom w:val="none" w:sz="0" w:space="0" w:color="auto"/>
        <w:right w:val="none" w:sz="0" w:space="0" w:color="auto"/>
      </w:divBdr>
      <w:divsChild>
        <w:div w:id="1257641678">
          <w:marLeft w:val="0"/>
          <w:marRight w:val="0"/>
          <w:marTop w:val="0"/>
          <w:marBottom w:val="0"/>
          <w:divBdr>
            <w:top w:val="none" w:sz="0" w:space="0" w:color="auto"/>
            <w:left w:val="none" w:sz="0" w:space="0" w:color="auto"/>
            <w:bottom w:val="none" w:sz="0" w:space="0" w:color="auto"/>
            <w:right w:val="none" w:sz="0" w:space="0" w:color="auto"/>
          </w:divBdr>
        </w:div>
      </w:divsChild>
    </w:div>
    <w:div w:id="1893229898">
      <w:bodyDiv w:val="1"/>
      <w:marLeft w:val="0"/>
      <w:marRight w:val="0"/>
      <w:marTop w:val="0"/>
      <w:marBottom w:val="0"/>
      <w:divBdr>
        <w:top w:val="none" w:sz="0" w:space="0" w:color="auto"/>
        <w:left w:val="none" w:sz="0" w:space="0" w:color="auto"/>
        <w:bottom w:val="none" w:sz="0" w:space="0" w:color="auto"/>
        <w:right w:val="none" w:sz="0" w:space="0" w:color="auto"/>
      </w:divBdr>
    </w:div>
    <w:div w:id="1898776726">
      <w:bodyDiv w:val="1"/>
      <w:marLeft w:val="0"/>
      <w:marRight w:val="0"/>
      <w:marTop w:val="0"/>
      <w:marBottom w:val="0"/>
      <w:divBdr>
        <w:top w:val="none" w:sz="0" w:space="0" w:color="auto"/>
        <w:left w:val="none" w:sz="0" w:space="0" w:color="auto"/>
        <w:bottom w:val="none" w:sz="0" w:space="0" w:color="auto"/>
        <w:right w:val="none" w:sz="0" w:space="0" w:color="auto"/>
      </w:divBdr>
    </w:div>
    <w:div w:id="1903565637">
      <w:bodyDiv w:val="1"/>
      <w:marLeft w:val="0"/>
      <w:marRight w:val="0"/>
      <w:marTop w:val="0"/>
      <w:marBottom w:val="0"/>
      <w:divBdr>
        <w:top w:val="none" w:sz="0" w:space="0" w:color="auto"/>
        <w:left w:val="none" w:sz="0" w:space="0" w:color="auto"/>
        <w:bottom w:val="none" w:sz="0" w:space="0" w:color="auto"/>
        <w:right w:val="none" w:sz="0" w:space="0" w:color="auto"/>
      </w:divBdr>
    </w:div>
    <w:div w:id="1933202326">
      <w:bodyDiv w:val="1"/>
      <w:marLeft w:val="0"/>
      <w:marRight w:val="0"/>
      <w:marTop w:val="0"/>
      <w:marBottom w:val="0"/>
      <w:divBdr>
        <w:top w:val="none" w:sz="0" w:space="0" w:color="auto"/>
        <w:left w:val="none" w:sz="0" w:space="0" w:color="auto"/>
        <w:bottom w:val="none" w:sz="0" w:space="0" w:color="auto"/>
        <w:right w:val="none" w:sz="0" w:space="0" w:color="auto"/>
      </w:divBdr>
    </w:div>
    <w:div w:id="1946426348">
      <w:bodyDiv w:val="1"/>
      <w:marLeft w:val="0"/>
      <w:marRight w:val="0"/>
      <w:marTop w:val="0"/>
      <w:marBottom w:val="0"/>
      <w:divBdr>
        <w:top w:val="none" w:sz="0" w:space="0" w:color="auto"/>
        <w:left w:val="none" w:sz="0" w:space="0" w:color="auto"/>
        <w:bottom w:val="none" w:sz="0" w:space="0" w:color="auto"/>
        <w:right w:val="none" w:sz="0" w:space="0" w:color="auto"/>
      </w:divBdr>
    </w:div>
    <w:div w:id="1947611865">
      <w:bodyDiv w:val="1"/>
      <w:marLeft w:val="0"/>
      <w:marRight w:val="0"/>
      <w:marTop w:val="0"/>
      <w:marBottom w:val="0"/>
      <w:divBdr>
        <w:top w:val="none" w:sz="0" w:space="0" w:color="auto"/>
        <w:left w:val="none" w:sz="0" w:space="0" w:color="auto"/>
        <w:bottom w:val="none" w:sz="0" w:space="0" w:color="auto"/>
        <w:right w:val="none" w:sz="0" w:space="0" w:color="auto"/>
      </w:divBdr>
    </w:div>
    <w:div w:id="1954823445">
      <w:bodyDiv w:val="1"/>
      <w:marLeft w:val="0"/>
      <w:marRight w:val="0"/>
      <w:marTop w:val="0"/>
      <w:marBottom w:val="0"/>
      <w:divBdr>
        <w:top w:val="none" w:sz="0" w:space="0" w:color="auto"/>
        <w:left w:val="none" w:sz="0" w:space="0" w:color="auto"/>
        <w:bottom w:val="none" w:sz="0" w:space="0" w:color="auto"/>
        <w:right w:val="none" w:sz="0" w:space="0" w:color="auto"/>
      </w:divBdr>
    </w:div>
    <w:div w:id="1963801567">
      <w:bodyDiv w:val="1"/>
      <w:marLeft w:val="0"/>
      <w:marRight w:val="0"/>
      <w:marTop w:val="0"/>
      <w:marBottom w:val="0"/>
      <w:divBdr>
        <w:top w:val="none" w:sz="0" w:space="0" w:color="auto"/>
        <w:left w:val="none" w:sz="0" w:space="0" w:color="auto"/>
        <w:bottom w:val="none" w:sz="0" w:space="0" w:color="auto"/>
        <w:right w:val="none" w:sz="0" w:space="0" w:color="auto"/>
      </w:divBdr>
    </w:div>
    <w:div w:id="1966428992">
      <w:bodyDiv w:val="1"/>
      <w:marLeft w:val="0"/>
      <w:marRight w:val="0"/>
      <w:marTop w:val="0"/>
      <w:marBottom w:val="0"/>
      <w:divBdr>
        <w:top w:val="none" w:sz="0" w:space="0" w:color="auto"/>
        <w:left w:val="none" w:sz="0" w:space="0" w:color="auto"/>
        <w:bottom w:val="none" w:sz="0" w:space="0" w:color="auto"/>
        <w:right w:val="none" w:sz="0" w:space="0" w:color="auto"/>
      </w:divBdr>
    </w:div>
    <w:div w:id="1998459376">
      <w:bodyDiv w:val="1"/>
      <w:marLeft w:val="0"/>
      <w:marRight w:val="0"/>
      <w:marTop w:val="0"/>
      <w:marBottom w:val="0"/>
      <w:divBdr>
        <w:top w:val="none" w:sz="0" w:space="0" w:color="auto"/>
        <w:left w:val="none" w:sz="0" w:space="0" w:color="auto"/>
        <w:bottom w:val="none" w:sz="0" w:space="0" w:color="auto"/>
        <w:right w:val="none" w:sz="0" w:space="0" w:color="auto"/>
      </w:divBdr>
    </w:div>
    <w:div w:id="2011978407">
      <w:bodyDiv w:val="1"/>
      <w:marLeft w:val="0"/>
      <w:marRight w:val="0"/>
      <w:marTop w:val="0"/>
      <w:marBottom w:val="0"/>
      <w:divBdr>
        <w:top w:val="none" w:sz="0" w:space="0" w:color="auto"/>
        <w:left w:val="none" w:sz="0" w:space="0" w:color="auto"/>
        <w:bottom w:val="none" w:sz="0" w:space="0" w:color="auto"/>
        <w:right w:val="none" w:sz="0" w:space="0" w:color="auto"/>
      </w:divBdr>
    </w:div>
    <w:div w:id="2058359452">
      <w:bodyDiv w:val="1"/>
      <w:marLeft w:val="0"/>
      <w:marRight w:val="0"/>
      <w:marTop w:val="0"/>
      <w:marBottom w:val="0"/>
      <w:divBdr>
        <w:top w:val="none" w:sz="0" w:space="0" w:color="auto"/>
        <w:left w:val="none" w:sz="0" w:space="0" w:color="auto"/>
        <w:bottom w:val="none" w:sz="0" w:space="0" w:color="auto"/>
        <w:right w:val="none" w:sz="0" w:space="0" w:color="auto"/>
      </w:divBdr>
    </w:div>
    <w:div w:id="2064870936">
      <w:bodyDiv w:val="1"/>
      <w:marLeft w:val="0"/>
      <w:marRight w:val="0"/>
      <w:marTop w:val="0"/>
      <w:marBottom w:val="0"/>
      <w:divBdr>
        <w:top w:val="none" w:sz="0" w:space="0" w:color="auto"/>
        <w:left w:val="none" w:sz="0" w:space="0" w:color="auto"/>
        <w:bottom w:val="none" w:sz="0" w:space="0" w:color="auto"/>
        <w:right w:val="none" w:sz="0" w:space="0" w:color="auto"/>
      </w:divBdr>
    </w:div>
    <w:div w:id="2065786927">
      <w:bodyDiv w:val="1"/>
      <w:marLeft w:val="0"/>
      <w:marRight w:val="0"/>
      <w:marTop w:val="0"/>
      <w:marBottom w:val="0"/>
      <w:divBdr>
        <w:top w:val="none" w:sz="0" w:space="0" w:color="auto"/>
        <w:left w:val="none" w:sz="0" w:space="0" w:color="auto"/>
        <w:bottom w:val="none" w:sz="0" w:space="0" w:color="auto"/>
        <w:right w:val="none" w:sz="0" w:space="0" w:color="auto"/>
      </w:divBdr>
    </w:div>
    <w:div w:id="2069374340">
      <w:bodyDiv w:val="1"/>
      <w:marLeft w:val="0"/>
      <w:marRight w:val="0"/>
      <w:marTop w:val="0"/>
      <w:marBottom w:val="0"/>
      <w:divBdr>
        <w:top w:val="none" w:sz="0" w:space="0" w:color="auto"/>
        <w:left w:val="none" w:sz="0" w:space="0" w:color="auto"/>
        <w:bottom w:val="none" w:sz="0" w:space="0" w:color="auto"/>
        <w:right w:val="none" w:sz="0" w:space="0" w:color="auto"/>
      </w:divBdr>
    </w:div>
    <w:div w:id="2072583452">
      <w:bodyDiv w:val="1"/>
      <w:marLeft w:val="0"/>
      <w:marRight w:val="0"/>
      <w:marTop w:val="0"/>
      <w:marBottom w:val="0"/>
      <w:divBdr>
        <w:top w:val="none" w:sz="0" w:space="0" w:color="auto"/>
        <w:left w:val="none" w:sz="0" w:space="0" w:color="auto"/>
        <w:bottom w:val="none" w:sz="0" w:space="0" w:color="auto"/>
        <w:right w:val="none" w:sz="0" w:space="0" w:color="auto"/>
      </w:divBdr>
    </w:div>
    <w:div w:id="2075661645">
      <w:bodyDiv w:val="1"/>
      <w:marLeft w:val="0"/>
      <w:marRight w:val="0"/>
      <w:marTop w:val="0"/>
      <w:marBottom w:val="0"/>
      <w:divBdr>
        <w:top w:val="none" w:sz="0" w:space="0" w:color="auto"/>
        <w:left w:val="none" w:sz="0" w:space="0" w:color="auto"/>
        <w:bottom w:val="none" w:sz="0" w:space="0" w:color="auto"/>
        <w:right w:val="none" w:sz="0" w:space="0" w:color="auto"/>
      </w:divBdr>
    </w:div>
    <w:div w:id="2080128769">
      <w:bodyDiv w:val="1"/>
      <w:marLeft w:val="0"/>
      <w:marRight w:val="0"/>
      <w:marTop w:val="0"/>
      <w:marBottom w:val="0"/>
      <w:divBdr>
        <w:top w:val="none" w:sz="0" w:space="0" w:color="auto"/>
        <w:left w:val="none" w:sz="0" w:space="0" w:color="auto"/>
        <w:bottom w:val="none" w:sz="0" w:space="0" w:color="auto"/>
        <w:right w:val="none" w:sz="0" w:space="0" w:color="auto"/>
      </w:divBdr>
    </w:div>
    <w:div w:id="2081444355">
      <w:bodyDiv w:val="1"/>
      <w:marLeft w:val="0"/>
      <w:marRight w:val="0"/>
      <w:marTop w:val="0"/>
      <w:marBottom w:val="0"/>
      <w:divBdr>
        <w:top w:val="none" w:sz="0" w:space="0" w:color="auto"/>
        <w:left w:val="none" w:sz="0" w:space="0" w:color="auto"/>
        <w:bottom w:val="none" w:sz="0" w:space="0" w:color="auto"/>
        <w:right w:val="none" w:sz="0" w:space="0" w:color="auto"/>
      </w:divBdr>
    </w:div>
    <w:div w:id="2082830423">
      <w:bodyDiv w:val="1"/>
      <w:marLeft w:val="0"/>
      <w:marRight w:val="0"/>
      <w:marTop w:val="0"/>
      <w:marBottom w:val="0"/>
      <w:divBdr>
        <w:top w:val="none" w:sz="0" w:space="0" w:color="auto"/>
        <w:left w:val="none" w:sz="0" w:space="0" w:color="auto"/>
        <w:bottom w:val="none" w:sz="0" w:space="0" w:color="auto"/>
        <w:right w:val="none" w:sz="0" w:space="0" w:color="auto"/>
      </w:divBdr>
    </w:div>
    <w:div w:id="2087654047">
      <w:bodyDiv w:val="1"/>
      <w:marLeft w:val="0"/>
      <w:marRight w:val="0"/>
      <w:marTop w:val="0"/>
      <w:marBottom w:val="0"/>
      <w:divBdr>
        <w:top w:val="none" w:sz="0" w:space="0" w:color="auto"/>
        <w:left w:val="none" w:sz="0" w:space="0" w:color="auto"/>
        <w:bottom w:val="none" w:sz="0" w:space="0" w:color="auto"/>
        <w:right w:val="none" w:sz="0" w:space="0" w:color="auto"/>
      </w:divBdr>
    </w:div>
    <w:div w:id="2097627602">
      <w:bodyDiv w:val="1"/>
      <w:marLeft w:val="0"/>
      <w:marRight w:val="0"/>
      <w:marTop w:val="0"/>
      <w:marBottom w:val="0"/>
      <w:divBdr>
        <w:top w:val="none" w:sz="0" w:space="0" w:color="auto"/>
        <w:left w:val="none" w:sz="0" w:space="0" w:color="auto"/>
        <w:bottom w:val="none" w:sz="0" w:space="0" w:color="auto"/>
        <w:right w:val="none" w:sz="0" w:space="0" w:color="auto"/>
      </w:divBdr>
    </w:div>
    <w:div w:id="2098556365">
      <w:bodyDiv w:val="1"/>
      <w:marLeft w:val="0"/>
      <w:marRight w:val="0"/>
      <w:marTop w:val="0"/>
      <w:marBottom w:val="0"/>
      <w:divBdr>
        <w:top w:val="none" w:sz="0" w:space="0" w:color="auto"/>
        <w:left w:val="none" w:sz="0" w:space="0" w:color="auto"/>
        <w:bottom w:val="none" w:sz="0" w:space="0" w:color="auto"/>
        <w:right w:val="none" w:sz="0" w:space="0" w:color="auto"/>
      </w:divBdr>
      <w:divsChild>
        <w:div w:id="1187450463">
          <w:marLeft w:val="0"/>
          <w:marRight w:val="0"/>
          <w:marTop w:val="0"/>
          <w:marBottom w:val="0"/>
          <w:divBdr>
            <w:top w:val="none" w:sz="0" w:space="0" w:color="auto"/>
            <w:left w:val="none" w:sz="0" w:space="0" w:color="auto"/>
            <w:bottom w:val="none" w:sz="0" w:space="0" w:color="auto"/>
            <w:right w:val="none" w:sz="0" w:space="0" w:color="auto"/>
          </w:divBdr>
        </w:div>
      </w:divsChild>
    </w:div>
    <w:div w:id="2104455216">
      <w:bodyDiv w:val="1"/>
      <w:marLeft w:val="0"/>
      <w:marRight w:val="0"/>
      <w:marTop w:val="0"/>
      <w:marBottom w:val="0"/>
      <w:divBdr>
        <w:top w:val="none" w:sz="0" w:space="0" w:color="auto"/>
        <w:left w:val="none" w:sz="0" w:space="0" w:color="auto"/>
        <w:bottom w:val="none" w:sz="0" w:space="0" w:color="auto"/>
        <w:right w:val="none" w:sz="0" w:space="0" w:color="auto"/>
      </w:divBdr>
    </w:div>
    <w:div w:id="2107190603">
      <w:bodyDiv w:val="1"/>
      <w:marLeft w:val="0"/>
      <w:marRight w:val="0"/>
      <w:marTop w:val="0"/>
      <w:marBottom w:val="0"/>
      <w:divBdr>
        <w:top w:val="none" w:sz="0" w:space="0" w:color="auto"/>
        <w:left w:val="none" w:sz="0" w:space="0" w:color="auto"/>
        <w:bottom w:val="none" w:sz="0" w:space="0" w:color="auto"/>
        <w:right w:val="none" w:sz="0" w:space="0" w:color="auto"/>
      </w:divBdr>
    </w:div>
    <w:div w:id="2137020454">
      <w:bodyDiv w:val="1"/>
      <w:marLeft w:val="0"/>
      <w:marRight w:val="0"/>
      <w:marTop w:val="0"/>
      <w:marBottom w:val="0"/>
      <w:divBdr>
        <w:top w:val="none" w:sz="0" w:space="0" w:color="auto"/>
        <w:left w:val="none" w:sz="0" w:space="0" w:color="auto"/>
        <w:bottom w:val="none" w:sz="0" w:space="0" w:color="auto"/>
        <w:right w:val="none" w:sz="0" w:space="0" w:color="auto"/>
      </w:divBdr>
    </w:div>
    <w:div w:id="213818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chart" Target="charts/chart3.xml"/><Relationship Id="rId26" Type="http://schemas.openxmlformats.org/officeDocument/2006/relationships/image" Target="media/image8.svg"/><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2.xm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sv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5.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4.svg"/><Relationship Id="rId27"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Zidan%20Taha\Documents\Mostaql\Rami\New%20folder\analysis%20data%2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Zidan%20Taha\Documents\Mostaql\Rami\New%20folder\analysis%20data%2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Zidan%20Taha\Documents\Mostaql\Rami\New%20folder\analysis%20data%2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Zidan%20Taha\Documents\Mostaql\Rami\New%20folder\analysis%20data%20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Zidan%20Taha\Documents\Mostaql\Rami\New%20folder\CH3\New%20chapters\Figure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1"/>
          <c:order val="1"/>
          <c:tx>
            <c:v>Solar PL=17%</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'Grid With PV Generation'!$B$5:$B$28</c:f>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f>'Grid With PV Generation'!$F$5:$F$28</c:f>
              <c:numCache>
                <c:formatCode>0.0</c:formatCode>
                <c:ptCount val="24"/>
                <c:pt idx="0">
                  <c:v>0</c:v>
                </c:pt>
                <c:pt idx="1">
                  <c:v>0</c:v>
                </c:pt>
                <c:pt idx="2">
                  <c:v>0</c:v>
                </c:pt>
                <c:pt idx="3">
                  <c:v>0</c:v>
                </c:pt>
                <c:pt idx="4">
                  <c:v>0</c:v>
                </c:pt>
                <c:pt idx="5">
                  <c:v>0</c:v>
                </c:pt>
                <c:pt idx="6">
                  <c:v>0</c:v>
                </c:pt>
                <c:pt idx="7">
                  <c:v>15.94448161219831</c:v>
                </c:pt>
                <c:pt idx="8">
                  <c:v>322.65736137933709</c:v>
                </c:pt>
                <c:pt idx="9">
                  <c:v>636.37671121523863</c:v>
                </c:pt>
                <c:pt idx="10">
                  <c:v>851.96759153601249</c:v>
                </c:pt>
                <c:pt idx="11">
                  <c:v>973.53965241934338</c:v>
                </c:pt>
                <c:pt idx="12">
                  <c:v>993.45993921516697</c:v>
                </c:pt>
                <c:pt idx="13">
                  <c:v>986.53631779031127</c:v>
                </c:pt>
                <c:pt idx="14">
                  <c:v>890.18986485412745</c:v>
                </c:pt>
                <c:pt idx="15">
                  <c:v>667.95204120056997</c:v>
                </c:pt>
                <c:pt idx="16">
                  <c:v>378.66727120921553</c:v>
                </c:pt>
                <c:pt idx="17">
                  <c:v>6.0298406667561002</c:v>
                </c:pt>
                <c:pt idx="18">
                  <c:v>0</c:v>
                </c:pt>
                <c:pt idx="19">
                  <c:v>0</c:v>
                </c:pt>
                <c:pt idx="20">
                  <c:v>0</c:v>
                </c:pt>
                <c:pt idx="21">
                  <c:v>0</c:v>
                </c:pt>
                <c:pt idx="22">
                  <c:v>0</c:v>
                </c:pt>
                <c:pt idx="23">
                  <c:v>0</c:v>
                </c:pt>
              </c:numCache>
            </c:numRef>
          </c:yVal>
          <c:smooth val="1"/>
          <c:extLst>
            <c:ext xmlns:c16="http://schemas.microsoft.com/office/drawing/2014/chart" uri="{C3380CC4-5D6E-409C-BE32-E72D297353CC}">
              <c16:uniqueId val="{00000000-D5B4-4D6B-85B6-D7DBBE5D1CAF}"/>
            </c:ext>
          </c:extLst>
        </c:ser>
        <c:dLbls>
          <c:showLegendKey val="0"/>
          <c:showVal val="0"/>
          <c:showCatName val="0"/>
          <c:showSerName val="0"/>
          <c:showPercent val="0"/>
          <c:showBubbleSize val="0"/>
        </c:dLbls>
        <c:axId val="1091560992"/>
        <c:axId val="1091562792"/>
      </c:scatterChart>
      <c:scatterChart>
        <c:scatterStyle val="lineMarker"/>
        <c:varyColors val="0"/>
        <c:dLbls>
          <c:showLegendKey val="0"/>
          <c:showVal val="0"/>
          <c:showCatName val="0"/>
          <c:showSerName val="0"/>
          <c:showPercent val="0"/>
          <c:showBubbleSize val="0"/>
        </c:dLbls>
        <c:axId val="1091560992"/>
        <c:axId val="1091562792"/>
        <c:extLst>
          <c:ext xmlns:c15="http://schemas.microsoft.com/office/drawing/2012/chart" uri="{02D57815-91ED-43cb-92C2-25804820EDAC}">
            <c15:filteredScatterSeries>
              <c15:ser>
                <c:idx val="0"/>
                <c:order val="0"/>
                <c:tx>
                  <c:v>Grid (Source)</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extLst>
                      <c:ext uri="{02D57815-91ED-43cb-92C2-25804820EDAC}">
                        <c15:formulaRef>
                          <c15:sqref>'Grid With PV Generation'!$B$5:$B$28</c15:sqref>
                        </c15:formulaRef>
                      </c:ext>
                    </c:extLst>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extLst>
                      <c:ext uri="{02D57815-91ED-43cb-92C2-25804820EDAC}">
                        <c15:formulaRef>
                          <c15:sqref>'Grid With PV Generation'!$O$5:$O$28</c15:sqref>
                        </c15:formulaRef>
                      </c:ext>
                    </c:extLst>
                    <c:numCache>
                      <c:formatCode>0.0</c:formatCode>
                      <c:ptCount val="24"/>
                      <c:pt idx="0">
                        <c:v>1674.0332841873169</c:v>
                      </c:pt>
                      <c:pt idx="1">
                        <c:v>1251.3216435909269</c:v>
                      </c:pt>
                      <c:pt idx="2">
                        <c:v>1080.011308193207</c:v>
                      </c:pt>
                      <c:pt idx="3">
                        <c:v>964.86479043960571</c:v>
                      </c:pt>
                      <c:pt idx="4">
                        <c:v>947.1583366394043</c:v>
                      </c:pt>
                      <c:pt idx="5">
                        <c:v>963.54833245277405</c:v>
                      </c:pt>
                      <c:pt idx="6">
                        <c:v>1036.6379916667941</c:v>
                      </c:pt>
                      <c:pt idx="7">
                        <c:v>1059.5873296260829</c:v>
                      </c:pt>
                      <c:pt idx="8">
                        <c:v>1149.619996547699</c:v>
                      </c:pt>
                      <c:pt idx="9">
                        <c:v>1350.3367304801941</c:v>
                      </c:pt>
                      <c:pt idx="10">
                        <c:v>1584.766209125519</c:v>
                      </c:pt>
                      <c:pt idx="11">
                        <c:v>1937.964797019958</c:v>
                      </c:pt>
                      <c:pt idx="12">
                        <c:v>1956.6740989685061</c:v>
                      </c:pt>
                      <c:pt idx="13">
                        <c:v>2003.501951694489</c:v>
                      </c:pt>
                      <c:pt idx="14">
                        <c:v>1815.8984184265139</c:v>
                      </c:pt>
                      <c:pt idx="15">
                        <c:v>1770.2512741088869</c:v>
                      </c:pt>
                      <c:pt idx="16">
                        <c:v>1955.417811870575</c:v>
                      </c:pt>
                      <c:pt idx="17">
                        <c:v>2226.39012336731</c:v>
                      </c:pt>
                      <c:pt idx="18">
                        <c:v>2657.1175456047058</c:v>
                      </c:pt>
                      <c:pt idx="19">
                        <c:v>2527.607262134552</c:v>
                      </c:pt>
                      <c:pt idx="20">
                        <c:v>2309.0741634368901</c:v>
                      </c:pt>
                      <c:pt idx="21">
                        <c:v>2340.1278853416438</c:v>
                      </c:pt>
                      <c:pt idx="22">
                        <c:v>2123.5611438751221</c:v>
                      </c:pt>
                      <c:pt idx="23">
                        <c:v>1919.237494468689</c:v>
                      </c:pt>
                    </c:numCache>
                  </c:numRef>
                </c:yVal>
                <c:smooth val="0"/>
                <c:extLst>
                  <c:ext xmlns:c16="http://schemas.microsoft.com/office/drawing/2014/chart" uri="{C3380CC4-5D6E-409C-BE32-E72D297353CC}">
                    <c16:uniqueId val="{00000001-D5B4-4D6B-85B6-D7DBBE5D1CAF}"/>
                  </c:ext>
                </c:extLst>
              </c15:ser>
            </c15:filteredScatterSeries>
            <c15:filteredScatterSeries>
              <c15:ser>
                <c:idx val="2"/>
                <c:order val="2"/>
                <c:tx>
                  <c:v>Source (P-net)</c:v>
                </c:tx>
                <c:spPr>
                  <a:ln w="34925" cap="rnd">
                    <a:solidFill>
                      <a:schemeClr val="accent6">
                        <a:lumMod val="75000"/>
                      </a:schemeClr>
                    </a:solidFill>
                    <a:round/>
                  </a:ln>
                  <a:effectLst/>
                </c:spPr>
                <c:marker>
                  <c:symbol val="circle"/>
                  <c:size val="5"/>
                  <c:spPr>
                    <a:solidFill>
                      <a:schemeClr val="accent3"/>
                    </a:solidFill>
                    <a:ln w="9525">
                      <a:solidFill>
                        <a:schemeClr val="accent3"/>
                      </a:solidFill>
                    </a:ln>
                    <a:effectLst/>
                  </c:spPr>
                </c:marker>
                <c:xVal>
                  <c:numRef>
                    <c:extLst xmlns:c15="http://schemas.microsoft.com/office/drawing/2012/chart">
                      <c:ext xmlns:c15="http://schemas.microsoft.com/office/drawing/2012/chart" uri="{02D57815-91ED-43cb-92C2-25804820EDAC}">
                        <c15:formulaRef>
                          <c15:sqref>'Grid With PV Generation'!$B$5:$B$28</c15:sqref>
                        </c15:formulaRef>
                      </c:ext>
                    </c:extLst>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extLst xmlns:c15="http://schemas.microsoft.com/office/drawing/2012/chart">
                      <c:ext xmlns:c15="http://schemas.microsoft.com/office/drawing/2012/chart" uri="{02D57815-91ED-43cb-92C2-25804820EDAC}">
                        <c15:formulaRef>
                          <c15:sqref>'Grid With PV Generation'!$C$5:$C$28</c15:sqref>
                        </c15:formulaRef>
                      </c:ext>
                    </c:extLst>
                    <c:numCache>
                      <c:formatCode>0.0</c:formatCode>
                      <c:ptCount val="24"/>
                      <c:pt idx="0">
                        <c:v>1674.036026000977</c:v>
                      </c:pt>
                      <c:pt idx="1">
                        <c:v>1251.324862241745</c:v>
                      </c:pt>
                      <c:pt idx="2">
                        <c:v>1080.0146758556371</c:v>
                      </c:pt>
                      <c:pt idx="3">
                        <c:v>964.86815810203552</c:v>
                      </c:pt>
                      <c:pt idx="4">
                        <c:v>947.16158509254456</c:v>
                      </c:pt>
                      <c:pt idx="5">
                        <c:v>963.55149149894714</c:v>
                      </c:pt>
                      <c:pt idx="6">
                        <c:v>1036.6410315036769</c:v>
                      </c:pt>
                      <c:pt idx="7">
                        <c:v>1043.6355471611021</c:v>
                      </c:pt>
                      <c:pt idx="8">
                        <c:v>828.35572957992554</c:v>
                      </c:pt>
                      <c:pt idx="9">
                        <c:v>719.83486413955688</c:v>
                      </c:pt>
                      <c:pt idx="10">
                        <c:v>743.47691237926483</c:v>
                      </c:pt>
                      <c:pt idx="11">
                        <c:v>978.2831072807312</c:v>
                      </c:pt>
                      <c:pt idx="12">
                        <c:v>977.62224078178406</c:v>
                      </c:pt>
                      <c:pt idx="13">
                        <c:v>1031.0985743999479</c:v>
                      </c:pt>
                      <c:pt idx="14">
                        <c:v>937.21535801887512</c:v>
                      </c:pt>
                      <c:pt idx="15">
                        <c:v>1108.587890863419</c:v>
                      </c:pt>
                      <c:pt idx="16">
                        <c:v>1578.472495079041</c:v>
                      </c:pt>
                      <c:pt idx="17">
                        <c:v>2220.350325107574</c:v>
                      </c:pt>
                      <c:pt idx="18">
                        <c:v>2657.1195125579829</c:v>
                      </c:pt>
                      <c:pt idx="19">
                        <c:v>2527.6089310646062</c:v>
                      </c:pt>
                      <c:pt idx="20">
                        <c:v>2309.076189994812</c:v>
                      </c:pt>
                      <c:pt idx="21">
                        <c:v>2340.1297330856319</c:v>
                      </c:pt>
                      <c:pt idx="22">
                        <c:v>2123.5634684562679</c:v>
                      </c:pt>
                      <c:pt idx="23">
                        <c:v>1919.2401766777041</c:v>
                      </c:pt>
                    </c:numCache>
                  </c:numRef>
                </c:yVal>
                <c:smooth val="0"/>
                <c:extLst xmlns:c15="http://schemas.microsoft.com/office/drawing/2012/chart">
                  <c:ext xmlns:c16="http://schemas.microsoft.com/office/drawing/2014/chart" uri="{C3380CC4-5D6E-409C-BE32-E72D297353CC}">
                    <c16:uniqueId val="{00000002-D5B4-4D6B-85B6-D7DBBE5D1CAF}"/>
                  </c:ext>
                </c:extLst>
              </c15:ser>
            </c15:filteredScatterSeries>
          </c:ext>
        </c:extLst>
      </c:scatterChart>
      <c:valAx>
        <c:axId val="1091560992"/>
        <c:scaling>
          <c:orientation val="minMax"/>
          <c:max val="1"/>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r>
                  <a:rPr lang="en-GB" b="1"/>
                  <a:t>Time</a:t>
                </a:r>
                <a:endParaRPr lang="en-US" b="1"/>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endParaRPr lang="en-US"/>
            </a:p>
          </c:txPr>
        </c:title>
        <c:numFmt formatCode="[$-409]h:mm\ AM/PM;@" sourceLinked="1"/>
        <c:majorTickMark val="out"/>
        <c:minorTickMark val="none"/>
        <c:tickLblPos val="low"/>
        <c:spPr>
          <a:noFill/>
          <a:ln w="9525" cap="flat" cmpd="sng" algn="ctr">
            <a:solidFill>
              <a:schemeClr val="tx1">
                <a:lumMod val="25000"/>
                <a:lumOff val="75000"/>
              </a:schemeClr>
            </a:solidFill>
            <a:round/>
          </a:ln>
          <a:effectLst/>
        </c:spPr>
        <c:txPr>
          <a:bodyPr rot="-30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1091562792"/>
        <c:crosses val="autoZero"/>
        <c:crossBetween val="midCat"/>
        <c:majorUnit val="4.1666666000000012E-2"/>
      </c:valAx>
      <c:valAx>
        <c:axId val="109156279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r>
                  <a:rPr lang="en-US" b="1"/>
                  <a:t>Active Power kW</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1091560992"/>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latin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v>PL=17%</c:v>
          </c:tx>
          <c:spPr>
            <a:solidFill>
              <a:schemeClr val="accent2"/>
            </a:solidFill>
            <a:ln>
              <a:noFill/>
            </a:ln>
            <a:effectLst/>
          </c:spPr>
          <c:invertIfNegative val="0"/>
          <c:cat>
            <c:numRef>
              <c:f>'Grid With PV Generation'!$B$5:$B$28</c:f>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cat>
          <c:val>
            <c:numRef>
              <c:f>'Grid With PV Generation'!$K$5:$K$28</c:f>
              <c:numCache>
                <c:formatCode>0.0</c:formatCode>
                <c:ptCount val="24"/>
                <c:pt idx="0">
                  <c:v>21.038830280303959</c:v>
                </c:pt>
                <c:pt idx="1">
                  <c:v>14.062851667404169</c:v>
                </c:pt>
                <c:pt idx="2">
                  <c:v>11.85709238052368</c:v>
                </c:pt>
                <c:pt idx="3">
                  <c:v>10.624974966049191</c:v>
                </c:pt>
                <c:pt idx="4">
                  <c:v>10.54561138153076</c:v>
                </c:pt>
                <c:pt idx="5">
                  <c:v>10.586291551589969</c:v>
                </c:pt>
                <c:pt idx="6">
                  <c:v>11.40105724334717</c:v>
                </c:pt>
                <c:pt idx="7">
                  <c:v>11.362434149735011</c:v>
                </c:pt>
                <c:pt idx="8">
                  <c:v>13.829067102145929</c:v>
                </c:pt>
                <c:pt idx="9">
                  <c:v>21.678390588026101</c:v>
                </c:pt>
                <c:pt idx="10">
                  <c:v>30.098501336542089</c:v>
                </c:pt>
                <c:pt idx="11">
                  <c:v>42.091252398744018</c:v>
                </c:pt>
                <c:pt idx="12">
                  <c:v>42.10624024627964</c:v>
                </c:pt>
                <c:pt idx="13">
                  <c:v>43.213033402722893</c:v>
                </c:pt>
                <c:pt idx="14">
                  <c:v>35.558053473740983</c:v>
                </c:pt>
                <c:pt idx="15">
                  <c:v>29.994796089104511</c:v>
                </c:pt>
                <c:pt idx="16">
                  <c:v>29.376542640184649</c:v>
                </c:pt>
                <c:pt idx="17">
                  <c:v>32.516952712044258</c:v>
                </c:pt>
                <c:pt idx="18">
                  <c:v>43.625473976135247</c:v>
                </c:pt>
                <c:pt idx="19">
                  <c:v>39.099335670471191</c:v>
                </c:pt>
                <c:pt idx="20">
                  <c:v>34.676253795623779</c:v>
                </c:pt>
                <c:pt idx="21">
                  <c:v>34.637331962585449</c:v>
                </c:pt>
                <c:pt idx="22">
                  <c:v>29.59907054901123</c:v>
                </c:pt>
                <c:pt idx="23">
                  <c:v>25.42972564697266</c:v>
                </c:pt>
              </c:numCache>
            </c:numRef>
          </c:val>
          <c:extLst>
            <c:ext xmlns:c16="http://schemas.microsoft.com/office/drawing/2014/chart" uri="{C3380CC4-5D6E-409C-BE32-E72D297353CC}">
              <c16:uniqueId val="{00000000-6F8C-441A-91A9-604C63A893F6}"/>
            </c:ext>
          </c:extLst>
        </c:ser>
        <c:dLbls>
          <c:showLegendKey val="0"/>
          <c:showVal val="0"/>
          <c:showCatName val="0"/>
          <c:showSerName val="0"/>
          <c:showPercent val="0"/>
          <c:showBubbleSize val="0"/>
        </c:dLbls>
        <c:gapWidth val="219"/>
        <c:overlap val="-27"/>
        <c:axId val="711194888"/>
        <c:axId val="711199208"/>
        <c:extLst>
          <c:ext xmlns:c15="http://schemas.microsoft.com/office/drawing/2012/chart" uri="{02D57815-91ED-43cb-92C2-25804820EDAC}">
            <c15:filteredBarSeries>
              <c15:ser>
                <c:idx val="0"/>
                <c:order val="0"/>
                <c:tx>
                  <c:v>PL=0%</c:v>
                </c:tx>
                <c:spPr>
                  <a:solidFill>
                    <a:schemeClr val="accent1"/>
                  </a:solidFill>
                  <a:ln>
                    <a:noFill/>
                  </a:ln>
                  <a:effectLst/>
                </c:spPr>
                <c:invertIfNegative val="0"/>
                <c:cat>
                  <c:numRef>
                    <c:extLst>
                      <c:ext uri="{02D57815-91ED-43cb-92C2-25804820EDAC}">
                        <c15:formulaRef>
                          <c15:sqref>'Grid With PV Generation'!$B$5:$B$28</c15:sqref>
                        </c15:formulaRef>
                      </c:ext>
                    </c:extLst>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cat>
                <c:val>
                  <c:numRef>
                    <c:extLst>
                      <c:ext uri="{02D57815-91ED-43cb-92C2-25804820EDAC}">
                        <c15:formulaRef>
                          <c15:sqref>'Grid With PV Generation'!$W$5:$W$28</c15:sqref>
                        </c15:formulaRef>
                      </c:ext>
                    </c:extLst>
                    <c:numCache>
                      <c:formatCode>0.0</c:formatCode>
                      <c:ptCount val="24"/>
                      <c:pt idx="0">
                        <c:v>21.036088466644291</c:v>
                      </c:pt>
                      <c:pt idx="1">
                        <c:v>14.0596330165863</c:v>
                      </c:pt>
                      <c:pt idx="2">
                        <c:v>11.85372471809387</c:v>
                      </c:pt>
                      <c:pt idx="3">
                        <c:v>10.621607303619379</c:v>
                      </c:pt>
                      <c:pt idx="4">
                        <c:v>10.542362928390499</c:v>
                      </c:pt>
                      <c:pt idx="5">
                        <c:v>10.58313250541687</c:v>
                      </c:pt>
                      <c:pt idx="6">
                        <c:v>11.398017406463619</c:v>
                      </c:pt>
                      <c:pt idx="7">
                        <c:v>11.3697350025177</c:v>
                      </c:pt>
                      <c:pt idx="8">
                        <c:v>12.435972690582281</c:v>
                      </c:pt>
                      <c:pt idx="9">
                        <c:v>15.803545713424681</c:v>
                      </c:pt>
                      <c:pt idx="10">
                        <c:v>19.420206546783451</c:v>
                      </c:pt>
                      <c:pt idx="11">
                        <c:v>28.23328971862793</c:v>
                      </c:pt>
                      <c:pt idx="12">
                        <c:v>27.698159217834469</c:v>
                      </c:pt>
                      <c:pt idx="13">
                        <c:v>29.080092906951901</c:v>
                      </c:pt>
                      <c:pt idx="14">
                        <c:v>24.051249027252201</c:v>
                      </c:pt>
                      <c:pt idx="15">
                        <c:v>23.706138134002689</c:v>
                      </c:pt>
                      <c:pt idx="16">
                        <c:v>27.654588222503659</c:v>
                      </c:pt>
                      <c:pt idx="17">
                        <c:v>32.526910305023193</c:v>
                      </c:pt>
                      <c:pt idx="18">
                        <c:v>43.623507022857673</c:v>
                      </c:pt>
                      <c:pt idx="19">
                        <c:v>39.09766674041748</c:v>
                      </c:pt>
                      <c:pt idx="20">
                        <c:v>34.674227237701423</c:v>
                      </c:pt>
                      <c:pt idx="21">
                        <c:v>34.635484218597412</c:v>
                      </c:pt>
                      <c:pt idx="22">
                        <c:v>29.59674596786499</c:v>
                      </c:pt>
                      <c:pt idx="23">
                        <c:v>25.42704343795776</c:v>
                      </c:pt>
                    </c:numCache>
                  </c:numRef>
                </c:val>
                <c:extLst>
                  <c:ext xmlns:c16="http://schemas.microsoft.com/office/drawing/2014/chart" uri="{C3380CC4-5D6E-409C-BE32-E72D297353CC}">
                    <c16:uniqueId val="{00000001-6F8C-441A-91A9-604C63A893F6}"/>
                  </c:ext>
                </c:extLst>
              </c15:ser>
            </c15:filteredBarSeries>
            <c15:filteredBarSeries>
              <c15:ser>
                <c:idx val="2"/>
                <c:order val="2"/>
                <c:tx>
                  <c:v>PL=50%</c:v>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'Grid With PV Generation'!$B$5:$B$28</c15:sqref>
                        </c15:formulaRef>
                      </c:ext>
                    </c:extLst>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cat>
                <c:val>
                  <c:numRef>
                    <c:extLst xmlns:c15="http://schemas.microsoft.com/office/drawing/2012/chart">
                      <c:ext xmlns:c15="http://schemas.microsoft.com/office/drawing/2012/chart" uri="{02D57815-91ED-43cb-92C2-25804820EDAC}">
                        <c15:formulaRef>
                          <c15:sqref>'Grid With PV Generation'!$AO$5:$AO$28</c15:sqref>
                        </c15:formulaRef>
                      </c:ext>
                    </c:extLst>
                    <c:numCache>
                      <c:formatCode>0.0</c:formatCode>
                      <c:ptCount val="24"/>
                      <c:pt idx="0">
                        <c:v>21.03877067565918</c:v>
                      </c:pt>
                      <c:pt idx="1">
                        <c:v>14.062851667404169</c:v>
                      </c:pt>
                      <c:pt idx="2">
                        <c:v>11.85703277587891</c:v>
                      </c:pt>
                      <c:pt idx="3">
                        <c:v>10.624915361404421</c:v>
                      </c:pt>
                      <c:pt idx="4">
                        <c:v>10.54558157920837</c:v>
                      </c:pt>
                      <c:pt idx="5">
                        <c:v>10.58626174926758</c:v>
                      </c:pt>
                      <c:pt idx="6">
                        <c:v>11.400997638702391</c:v>
                      </c:pt>
                      <c:pt idx="7">
                        <c:v>11.33939473204555</c:v>
                      </c:pt>
                      <c:pt idx="8">
                        <c:v>16.62900302928028</c:v>
                      </c:pt>
                      <c:pt idx="9">
                        <c:v>33.223479925244419</c:v>
                      </c:pt>
                      <c:pt idx="10">
                        <c:v>50.711869590018523</c:v>
                      </c:pt>
                      <c:pt idx="11">
                        <c:v>68.543185934659505</c:v>
                      </c:pt>
                      <c:pt idx="12">
                        <c:v>69.556527153940351</c:v>
                      </c:pt>
                      <c:pt idx="13">
                        <c:v>70.144883454682713</c:v>
                      </c:pt>
                      <c:pt idx="14">
                        <c:v>57.676263673765327</c:v>
                      </c:pt>
                      <c:pt idx="15">
                        <c:v>42.30100901084279</c:v>
                      </c:pt>
                      <c:pt idx="16">
                        <c:v>32.810146979095627</c:v>
                      </c:pt>
                      <c:pt idx="17">
                        <c:v>32.493058421199287</c:v>
                      </c:pt>
                      <c:pt idx="18">
                        <c:v>43.625414371490479</c:v>
                      </c:pt>
                      <c:pt idx="19">
                        <c:v>39.099335670471191</c:v>
                      </c:pt>
                      <c:pt idx="20">
                        <c:v>34.676253795623779</c:v>
                      </c:pt>
                      <c:pt idx="21">
                        <c:v>34.637331962585449</c:v>
                      </c:pt>
                      <c:pt idx="22">
                        <c:v>29.59895133972168</c:v>
                      </c:pt>
                      <c:pt idx="23">
                        <c:v>25.42972564697266</c:v>
                      </c:pt>
                    </c:numCache>
                  </c:numRef>
                </c:val>
                <c:extLst xmlns:c15="http://schemas.microsoft.com/office/drawing/2012/chart">
                  <c:ext xmlns:c16="http://schemas.microsoft.com/office/drawing/2014/chart" uri="{C3380CC4-5D6E-409C-BE32-E72D297353CC}">
                    <c16:uniqueId val="{00000002-6F8C-441A-91A9-604C63A893F6}"/>
                  </c:ext>
                </c:extLst>
              </c15:ser>
            </c15:filteredBarSeries>
            <c15:filteredBarSeries>
              <c15:ser>
                <c:idx val="3"/>
                <c:order val="3"/>
                <c:tx>
                  <c:v>PL=100%</c:v>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'Grid With PV Generation'!$B$5:$B$28</c15:sqref>
                        </c15:formulaRef>
                      </c:ext>
                    </c:extLst>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cat>
                <c:val>
                  <c:numRef>
                    <c:extLst xmlns:c15="http://schemas.microsoft.com/office/drawing/2012/chart">
                      <c:ext xmlns:c15="http://schemas.microsoft.com/office/drawing/2012/chart" uri="{02D57815-91ED-43cb-92C2-25804820EDAC}">
                        <c15:formulaRef>
                          <c15:sqref>'Grid With PV Generation'!$BA$5:$BA$28</c15:sqref>
                        </c15:formulaRef>
                      </c:ext>
                    </c:extLst>
                    <c:numCache>
                      <c:formatCode>0.0</c:formatCode>
                      <c:ptCount val="24"/>
                      <c:pt idx="0">
                        <c:v>21.03877067565918</c:v>
                      </c:pt>
                      <c:pt idx="1">
                        <c:v>14.062792062759399</c:v>
                      </c:pt>
                      <c:pt idx="2">
                        <c:v>11.85700297355652</c:v>
                      </c:pt>
                      <c:pt idx="3">
                        <c:v>10.624885559082029</c:v>
                      </c:pt>
                      <c:pt idx="4">
                        <c:v>10.5455219745636</c:v>
                      </c:pt>
                      <c:pt idx="5">
                        <c:v>10.586202144622799</c:v>
                      </c:pt>
                      <c:pt idx="6">
                        <c:v>11.40096783638</c:v>
                      </c:pt>
                      <c:pt idx="7">
                        <c:v>11.32185270706395</c:v>
                      </c:pt>
                      <c:pt idx="8">
                        <c:v>28.461140166966288</c:v>
                      </c:pt>
                      <c:pt idx="9">
                        <c:v>77.792971166913958</c:v>
                      </c:pt>
                      <c:pt idx="10">
                        <c:v>127.6430224245842</c:v>
                      </c:pt>
                      <c:pt idx="11">
                        <c:v>166.32859941655619</c:v>
                      </c:pt>
                      <c:pt idx="12">
                        <c:v>170.91322147905069</c:v>
                      </c:pt>
                      <c:pt idx="13">
                        <c:v>170.00649412989239</c:v>
                      </c:pt>
                      <c:pt idx="14">
                        <c:v>140.5665806545785</c:v>
                      </c:pt>
                      <c:pt idx="15">
                        <c:v>90.518834125344256</c:v>
                      </c:pt>
                      <c:pt idx="16">
                        <c:v>48.289724028229102</c:v>
                      </c:pt>
                      <c:pt idx="17">
                        <c:v>32.457363108826939</c:v>
                      </c:pt>
                      <c:pt idx="18">
                        <c:v>43.625354766845703</c:v>
                      </c:pt>
                      <c:pt idx="19">
                        <c:v>39.099276065826423</c:v>
                      </c:pt>
                      <c:pt idx="20">
                        <c:v>34.676194190978997</c:v>
                      </c:pt>
                      <c:pt idx="21">
                        <c:v>34.637331962585449</c:v>
                      </c:pt>
                      <c:pt idx="22">
                        <c:v>29.59895133972168</c:v>
                      </c:pt>
                      <c:pt idx="23">
                        <c:v>25.429666042327881</c:v>
                      </c:pt>
                    </c:numCache>
                  </c:numRef>
                </c:val>
                <c:extLst xmlns:c15="http://schemas.microsoft.com/office/drawing/2012/chart">
                  <c:ext xmlns:c16="http://schemas.microsoft.com/office/drawing/2014/chart" uri="{C3380CC4-5D6E-409C-BE32-E72D297353CC}">
                    <c16:uniqueId val="{00000003-6F8C-441A-91A9-604C63A893F6}"/>
                  </c:ext>
                </c:extLst>
              </c15:ser>
            </c15:filteredBarSeries>
          </c:ext>
        </c:extLst>
      </c:barChart>
      <c:catAx>
        <c:axId val="711194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r>
                  <a:rPr lang="en-US"/>
                  <a:t>Time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endParaRPr lang="en-US"/>
            </a:p>
          </c:txPr>
        </c:title>
        <c:numFmt formatCode="[$-409]h:mm\ AM/P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mn-cs"/>
              </a:defRPr>
            </a:pPr>
            <a:endParaRPr lang="en-US"/>
          </a:p>
        </c:txPr>
        <c:crossAx val="711199208"/>
        <c:crosses val="autoZero"/>
        <c:auto val="1"/>
        <c:lblAlgn val="ctr"/>
        <c:lblOffset val="100"/>
        <c:noMultiLvlLbl val="0"/>
      </c:catAx>
      <c:valAx>
        <c:axId val="711199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r>
                  <a:rPr lang="en-US"/>
                  <a:t>Losses (kW)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endParaRPr lang="en-US"/>
            </a:p>
          </c:txPr>
        </c:title>
        <c:numFmt formatCode="0.0" sourceLinked="1"/>
        <c:majorTickMark val="out"/>
        <c:minorTickMark val="none"/>
        <c:tickLblPos val="nextTo"/>
        <c:spPr>
          <a:noFill/>
          <a:ln>
            <a:solidFill>
              <a:schemeClr val="tx1">
                <a:lumMod val="15000"/>
                <a:lumOff val="85000"/>
              </a:schemeClr>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mn-cs"/>
              </a:defRPr>
            </a:pPr>
            <a:endParaRPr lang="en-US"/>
          </a:p>
        </c:txPr>
        <c:crossAx val="7111948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solidFill>
          <a:latin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1"/>
          <c:tx>
            <c:v>PL=17%</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f>'Grid With PV Generation'!$Y$5:$Y$43</c:f>
              <c:strCache>
                <c:ptCount val="39"/>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pt idx="15">
                  <c:v>Bus16</c:v>
                </c:pt>
                <c:pt idx="16">
                  <c:v>Bus17</c:v>
                </c:pt>
                <c:pt idx="17">
                  <c:v>Bus18</c:v>
                </c:pt>
                <c:pt idx="18">
                  <c:v>Bus19</c:v>
                </c:pt>
                <c:pt idx="19">
                  <c:v>Bus20</c:v>
                </c:pt>
                <c:pt idx="20">
                  <c:v>Bus21</c:v>
                </c:pt>
                <c:pt idx="21">
                  <c:v>Bus22</c:v>
                </c:pt>
                <c:pt idx="22">
                  <c:v>Bus23</c:v>
                </c:pt>
                <c:pt idx="23">
                  <c:v>Bus24</c:v>
                </c:pt>
                <c:pt idx="24">
                  <c:v>Bus25</c:v>
                </c:pt>
                <c:pt idx="25">
                  <c:v>Bus26</c:v>
                </c:pt>
                <c:pt idx="26">
                  <c:v>Bus27</c:v>
                </c:pt>
                <c:pt idx="27">
                  <c:v>Bus28</c:v>
                </c:pt>
                <c:pt idx="28">
                  <c:v>Bus29</c:v>
                </c:pt>
                <c:pt idx="29">
                  <c:v>Bus30</c:v>
                </c:pt>
                <c:pt idx="30">
                  <c:v>Bus31</c:v>
                </c:pt>
                <c:pt idx="31">
                  <c:v>Bus32</c:v>
                </c:pt>
                <c:pt idx="32">
                  <c:v>Bus33</c:v>
                </c:pt>
                <c:pt idx="33">
                  <c:v>Bus34</c:v>
                </c:pt>
                <c:pt idx="34">
                  <c:v>Bus35</c:v>
                </c:pt>
                <c:pt idx="35">
                  <c:v>Bus36</c:v>
                </c:pt>
                <c:pt idx="36">
                  <c:v>Bus37</c:v>
                </c:pt>
                <c:pt idx="37">
                  <c:v>Bus38</c:v>
                </c:pt>
                <c:pt idx="38">
                  <c:v>Bus39</c:v>
                </c:pt>
              </c:strCache>
            </c:strRef>
          </c:xVal>
          <c:yVal>
            <c:numRef>
              <c:f>'Grid With PV Generation'!$AA$5:$AA$43</c:f>
              <c:numCache>
                <c:formatCode>General</c:formatCode>
                <c:ptCount val="39"/>
                <c:pt idx="0">
                  <c:v>1.0000000762939449</c:v>
                </c:pt>
                <c:pt idx="1">
                  <c:v>0.99999122619628911</c:v>
                </c:pt>
                <c:pt idx="2">
                  <c:v>0.99990562438964847</c:v>
                </c:pt>
                <c:pt idx="3">
                  <c:v>0.99988533020019532</c:v>
                </c:pt>
                <c:pt idx="4">
                  <c:v>0.99986251831054684</c:v>
                </c:pt>
                <c:pt idx="5">
                  <c:v>0.99986228942871092</c:v>
                </c:pt>
                <c:pt idx="6">
                  <c:v>0.99984191894531249</c:v>
                </c:pt>
                <c:pt idx="7">
                  <c:v>0.99958106994628904</c:v>
                </c:pt>
                <c:pt idx="8">
                  <c:v>0.99983421325683597</c:v>
                </c:pt>
                <c:pt idx="9">
                  <c:v>0.99982894897460939</c:v>
                </c:pt>
                <c:pt idx="10">
                  <c:v>0.99982521057128904</c:v>
                </c:pt>
                <c:pt idx="11">
                  <c:v>0.99982116699218748</c:v>
                </c:pt>
                <c:pt idx="12">
                  <c:v>0.99981178283691408</c:v>
                </c:pt>
                <c:pt idx="13">
                  <c:v>0.99980995178222654</c:v>
                </c:pt>
                <c:pt idx="14">
                  <c:v>0.99985328674316409</c:v>
                </c:pt>
                <c:pt idx="15">
                  <c:v>0.9998484039306641</c:v>
                </c:pt>
                <c:pt idx="16">
                  <c:v>0.99986083984374996</c:v>
                </c:pt>
                <c:pt idx="17">
                  <c:v>0.99987876892089844</c:v>
                </c:pt>
                <c:pt idx="18">
                  <c:v>0.99985267639160158</c:v>
                </c:pt>
                <c:pt idx="19">
                  <c:v>0.99991394042968751</c:v>
                </c:pt>
                <c:pt idx="20">
                  <c:v>1.0000146484375001</c:v>
                </c:pt>
                <c:pt idx="21">
                  <c:v>0.99990676879882812</c:v>
                </c:pt>
                <c:pt idx="22">
                  <c:v>1.00001106262207</c:v>
                </c:pt>
                <c:pt idx="23">
                  <c:v>0.99989402770996094</c:v>
                </c:pt>
                <c:pt idx="24">
                  <c:v>0.99807983398437505</c:v>
                </c:pt>
                <c:pt idx="25">
                  <c:v>0.99752502441406254</c:v>
                </c:pt>
                <c:pt idx="26">
                  <c:v>0.9975888061523438</c:v>
                </c:pt>
                <c:pt idx="27">
                  <c:v>0.99484085083007812</c:v>
                </c:pt>
                <c:pt idx="28">
                  <c:v>0.99564376831054691</c:v>
                </c:pt>
                <c:pt idx="29">
                  <c:v>0.99387756347656253</c:v>
                </c:pt>
                <c:pt idx="30">
                  <c:v>0.99477561950683591</c:v>
                </c:pt>
                <c:pt idx="31">
                  <c:v>0.99481491088867191</c:v>
                </c:pt>
                <c:pt idx="32">
                  <c:v>0.99882369995117193</c:v>
                </c:pt>
                <c:pt idx="33">
                  <c:v>0.9969306945800781</c:v>
                </c:pt>
                <c:pt idx="34">
                  <c:v>0.9929173278808594</c:v>
                </c:pt>
                <c:pt idx="35">
                  <c:v>0.99487922668457029</c:v>
                </c:pt>
                <c:pt idx="36">
                  <c:v>0.99198837280273433</c:v>
                </c:pt>
                <c:pt idx="37">
                  <c:v>1.0000814819335939</c:v>
                </c:pt>
                <c:pt idx="38">
                  <c:v>1.0096675872802729</c:v>
                </c:pt>
              </c:numCache>
            </c:numRef>
          </c:yVal>
          <c:smooth val="0"/>
          <c:extLst>
            <c:ext xmlns:c16="http://schemas.microsoft.com/office/drawing/2014/chart" uri="{C3380CC4-5D6E-409C-BE32-E72D297353CC}">
              <c16:uniqueId val="{00000000-BF02-49B4-A998-F3FD5A5A2701}"/>
            </c:ext>
          </c:extLst>
        </c:ser>
        <c:dLbls>
          <c:showLegendKey val="0"/>
          <c:showVal val="0"/>
          <c:showCatName val="0"/>
          <c:showSerName val="0"/>
          <c:showPercent val="0"/>
          <c:showBubbleSize val="0"/>
        </c:dLbls>
        <c:axId val="787115368"/>
        <c:axId val="787115728"/>
        <c:extLst>
          <c:ext xmlns:c15="http://schemas.microsoft.com/office/drawing/2012/chart" uri="{02D57815-91ED-43cb-92C2-25804820EDAC}">
            <c15:filteredScatterSeries>
              <c15:ser>
                <c:idx val="0"/>
                <c:order val="0"/>
                <c:tx>
                  <c:v>Without Solar PL=0%</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extLst>
                      <c:ext uri="{02D57815-91ED-43cb-92C2-25804820EDAC}">
                        <c15:formulaRef>
                          <c15:sqref>'Grid With PV Generation'!$Y$5:$Y$43</c15:sqref>
                        </c15:formulaRef>
                      </c:ext>
                    </c:extLst>
                    <c:strCache>
                      <c:ptCount val="39"/>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pt idx="15">
                        <c:v>Bus16</c:v>
                      </c:pt>
                      <c:pt idx="16">
                        <c:v>Bus17</c:v>
                      </c:pt>
                      <c:pt idx="17">
                        <c:v>Bus18</c:v>
                      </c:pt>
                      <c:pt idx="18">
                        <c:v>Bus19</c:v>
                      </c:pt>
                      <c:pt idx="19">
                        <c:v>Bus20</c:v>
                      </c:pt>
                      <c:pt idx="20">
                        <c:v>Bus21</c:v>
                      </c:pt>
                      <c:pt idx="21">
                        <c:v>Bus22</c:v>
                      </c:pt>
                      <c:pt idx="22">
                        <c:v>Bus23</c:v>
                      </c:pt>
                      <c:pt idx="23">
                        <c:v>Bus24</c:v>
                      </c:pt>
                      <c:pt idx="24">
                        <c:v>Bus25</c:v>
                      </c:pt>
                      <c:pt idx="25">
                        <c:v>Bus26</c:v>
                      </c:pt>
                      <c:pt idx="26">
                        <c:v>Bus27</c:v>
                      </c:pt>
                      <c:pt idx="27">
                        <c:v>Bus28</c:v>
                      </c:pt>
                      <c:pt idx="28">
                        <c:v>Bus29</c:v>
                      </c:pt>
                      <c:pt idx="29">
                        <c:v>Bus30</c:v>
                      </c:pt>
                      <c:pt idx="30">
                        <c:v>Bus31</c:v>
                      </c:pt>
                      <c:pt idx="31">
                        <c:v>Bus32</c:v>
                      </c:pt>
                      <c:pt idx="32">
                        <c:v>Bus33</c:v>
                      </c:pt>
                      <c:pt idx="33">
                        <c:v>Bus34</c:v>
                      </c:pt>
                      <c:pt idx="34">
                        <c:v>Bus35</c:v>
                      </c:pt>
                      <c:pt idx="35">
                        <c:v>Bus36</c:v>
                      </c:pt>
                      <c:pt idx="36">
                        <c:v>Bus37</c:v>
                      </c:pt>
                      <c:pt idx="37">
                        <c:v>Bus38</c:v>
                      </c:pt>
                      <c:pt idx="38">
                        <c:v>Bus39</c:v>
                      </c:pt>
                    </c:strCache>
                  </c:strRef>
                </c:xVal>
                <c:yVal>
                  <c:numRef>
                    <c:extLst>
                      <c:ext uri="{02D57815-91ED-43cb-92C2-25804820EDAC}">
                        <c15:formulaRef>
                          <c15:sqref>'Grid With PV Generation'!$Z$5:$Z$43</c15:sqref>
                        </c15:formulaRef>
                      </c:ext>
                    </c:extLst>
                    <c:numCache>
                      <c:formatCode>General</c:formatCode>
                      <c:ptCount val="39"/>
                      <c:pt idx="0">
                        <c:v>1.0000000762939449</c:v>
                      </c:pt>
                      <c:pt idx="1">
                        <c:v>0.99999122619628911</c:v>
                      </c:pt>
                      <c:pt idx="2">
                        <c:v>0.99987113952636719</c:v>
                      </c:pt>
                      <c:pt idx="3">
                        <c:v>0.99984130859374998</c:v>
                      </c:pt>
                      <c:pt idx="4">
                        <c:v>0.99982620239257813</c:v>
                      </c:pt>
                      <c:pt idx="5">
                        <c:v>0.99982543945312496</c:v>
                      </c:pt>
                      <c:pt idx="6">
                        <c:v>0.99981285095214845</c:v>
                      </c:pt>
                      <c:pt idx="7">
                        <c:v>0.99944656372070317</c:v>
                      </c:pt>
                      <c:pt idx="8">
                        <c:v>0.99974800109863282</c:v>
                      </c:pt>
                      <c:pt idx="9">
                        <c:v>0.99971603393554687</c:v>
                      </c:pt>
                      <c:pt idx="10">
                        <c:v>0.9997139739990234</c:v>
                      </c:pt>
                      <c:pt idx="11">
                        <c:v>0.99971122741699214</c:v>
                      </c:pt>
                      <c:pt idx="12">
                        <c:v>0.99970596313476567</c:v>
                      </c:pt>
                      <c:pt idx="13">
                        <c:v>0.99970497131347658</c:v>
                      </c:pt>
                      <c:pt idx="14">
                        <c:v>0.99966468811035158</c:v>
                      </c:pt>
                      <c:pt idx="15">
                        <c:v>0.99966148376464847</c:v>
                      </c:pt>
                      <c:pt idx="16">
                        <c:v>0.99965316772460933</c:v>
                      </c:pt>
                      <c:pt idx="17">
                        <c:v>0.99964157104492191</c:v>
                      </c:pt>
                      <c:pt idx="18">
                        <c:v>0.99962516784667965</c:v>
                      </c:pt>
                      <c:pt idx="19">
                        <c:v>0.9996350860595703</c:v>
                      </c:pt>
                      <c:pt idx="20">
                        <c:v>0.99963218688964839</c:v>
                      </c:pt>
                      <c:pt idx="21">
                        <c:v>0.99963088989257809</c:v>
                      </c:pt>
                      <c:pt idx="22">
                        <c:v>0.99962982177734372</c:v>
                      </c:pt>
                      <c:pt idx="23">
                        <c:v>0.99962303161621091</c:v>
                      </c:pt>
                      <c:pt idx="24">
                        <c:v>0.99807540893554691</c:v>
                      </c:pt>
                      <c:pt idx="25">
                        <c:v>0.99751968383789058</c:v>
                      </c:pt>
                      <c:pt idx="26">
                        <c:v>0.9975888061523438</c:v>
                      </c:pt>
                      <c:pt idx="27">
                        <c:v>0.99483718872070315</c:v>
                      </c:pt>
                      <c:pt idx="28">
                        <c:v>0.99564140319824224</c:v>
                      </c:pt>
                      <c:pt idx="29">
                        <c:v>0.99387619018554685</c:v>
                      </c:pt>
                      <c:pt idx="30">
                        <c:v>0.99477279663085938</c:v>
                      </c:pt>
                      <c:pt idx="31">
                        <c:v>0.99480552673339839</c:v>
                      </c:pt>
                      <c:pt idx="32">
                        <c:v>0.99882095336914067</c:v>
                      </c:pt>
                      <c:pt idx="33">
                        <c:v>0.99692703247070313</c:v>
                      </c:pt>
                      <c:pt idx="34">
                        <c:v>0.99291351318359378</c:v>
                      </c:pt>
                      <c:pt idx="35">
                        <c:v>0.99487472534179688</c:v>
                      </c:pt>
                      <c:pt idx="36">
                        <c:v>0.9919741821289062</c:v>
                      </c:pt>
                    </c:numCache>
                  </c:numRef>
                </c:yVal>
                <c:smooth val="0"/>
                <c:extLst>
                  <c:ext xmlns:c16="http://schemas.microsoft.com/office/drawing/2014/chart" uri="{C3380CC4-5D6E-409C-BE32-E72D297353CC}">
                    <c16:uniqueId val="{00000001-BF02-49B4-A998-F3FD5A5A2701}"/>
                  </c:ext>
                </c:extLst>
              </c15:ser>
            </c15:filteredScatterSeries>
            <c15:filteredScatterSeries>
              <c15:ser>
                <c:idx val="2"/>
                <c:order val="2"/>
                <c:tx>
                  <c:v>PL=50%</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strRef>
                    <c:extLst xmlns:c15="http://schemas.microsoft.com/office/drawing/2012/chart">
                      <c:ext xmlns:c15="http://schemas.microsoft.com/office/drawing/2012/chart" uri="{02D57815-91ED-43cb-92C2-25804820EDAC}">
                        <c15:formulaRef>
                          <c15:sqref>'Grid With PV Generation'!$Y$5:$Y$43</c15:sqref>
                        </c15:formulaRef>
                      </c:ext>
                    </c:extLst>
                    <c:strCache>
                      <c:ptCount val="39"/>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pt idx="15">
                        <c:v>Bus16</c:v>
                      </c:pt>
                      <c:pt idx="16">
                        <c:v>Bus17</c:v>
                      </c:pt>
                      <c:pt idx="17">
                        <c:v>Bus18</c:v>
                      </c:pt>
                      <c:pt idx="18">
                        <c:v>Bus19</c:v>
                      </c:pt>
                      <c:pt idx="19">
                        <c:v>Bus20</c:v>
                      </c:pt>
                      <c:pt idx="20">
                        <c:v>Bus21</c:v>
                      </c:pt>
                      <c:pt idx="21">
                        <c:v>Bus22</c:v>
                      </c:pt>
                      <c:pt idx="22">
                        <c:v>Bus23</c:v>
                      </c:pt>
                      <c:pt idx="23">
                        <c:v>Bus24</c:v>
                      </c:pt>
                      <c:pt idx="24">
                        <c:v>Bus25</c:v>
                      </c:pt>
                      <c:pt idx="25">
                        <c:v>Bus26</c:v>
                      </c:pt>
                      <c:pt idx="26">
                        <c:v>Bus27</c:v>
                      </c:pt>
                      <c:pt idx="27">
                        <c:v>Bus28</c:v>
                      </c:pt>
                      <c:pt idx="28">
                        <c:v>Bus29</c:v>
                      </c:pt>
                      <c:pt idx="29">
                        <c:v>Bus30</c:v>
                      </c:pt>
                      <c:pt idx="30">
                        <c:v>Bus31</c:v>
                      </c:pt>
                      <c:pt idx="31">
                        <c:v>Bus32</c:v>
                      </c:pt>
                      <c:pt idx="32">
                        <c:v>Bus33</c:v>
                      </c:pt>
                      <c:pt idx="33">
                        <c:v>Bus34</c:v>
                      </c:pt>
                      <c:pt idx="34">
                        <c:v>Bus35</c:v>
                      </c:pt>
                      <c:pt idx="35">
                        <c:v>Bus36</c:v>
                      </c:pt>
                      <c:pt idx="36">
                        <c:v>Bus37</c:v>
                      </c:pt>
                      <c:pt idx="37">
                        <c:v>Bus38</c:v>
                      </c:pt>
                      <c:pt idx="38">
                        <c:v>Bus39</c:v>
                      </c:pt>
                    </c:strCache>
                  </c:strRef>
                </c:xVal>
                <c:yVal>
                  <c:numRef>
                    <c:extLst xmlns:c15="http://schemas.microsoft.com/office/drawing/2012/chart">
                      <c:ext xmlns:c15="http://schemas.microsoft.com/office/drawing/2012/chart" uri="{02D57815-91ED-43cb-92C2-25804820EDAC}">
                        <c15:formulaRef>
                          <c15:sqref>'Grid With PV Generation'!$AB$5:$AB$43</c15:sqref>
                        </c15:formulaRef>
                      </c:ext>
                    </c:extLst>
                    <c:numCache>
                      <c:formatCode>General</c:formatCode>
                      <c:ptCount val="39"/>
                      <c:pt idx="0">
                        <c:v>1.0000000762939449</c:v>
                      </c:pt>
                      <c:pt idx="1">
                        <c:v>0.99999122619628911</c:v>
                      </c:pt>
                      <c:pt idx="2">
                        <c:v>1.000172653198242</c:v>
                      </c:pt>
                      <c:pt idx="3">
                        <c:v>1.0002236175537109</c:v>
                      </c:pt>
                      <c:pt idx="4">
                        <c:v>1.000197296142578</c:v>
                      </c:pt>
                      <c:pt idx="5">
                        <c:v>1.0001970672607421</c:v>
                      </c:pt>
                      <c:pt idx="6">
                        <c:v>1.0001735687255859</c:v>
                      </c:pt>
                      <c:pt idx="7">
                        <c:v>0.99992507934570307</c:v>
                      </c:pt>
                      <c:pt idx="8">
                        <c:v>1.0004326629638669</c:v>
                      </c:pt>
                      <c:pt idx="9">
                        <c:v>1.000541687011719</c:v>
                      </c:pt>
                      <c:pt idx="10">
                        <c:v>1.000536956787109</c:v>
                      </c:pt>
                      <c:pt idx="11">
                        <c:v>1.0005313110351559</c:v>
                      </c:pt>
                      <c:pt idx="12">
                        <c:v>1.0005190277099609</c:v>
                      </c:pt>
                      <c:pt idx="13">
                        <c:v>1.000516128540039</c:v>
                      </c:pt>
                      <c:pt idx="14">
                        <c:v>1.000825271606445</c:v>
                      </c:pt>
                      <c:pt idx="15">
                        <c:v>1.0008201599121089</c:v>
                      </c:pt>
                      <c:pt idx="16">
                        <c:v>1.000896530151367</c:v>
                      </c:pt>
                      <c:pt idx="17">
                        <c:v>1.0010055541992191</c:v>
                      </c:pt>
                      <c:pt idx="18">
                        <c:v>1.0009777069091801</c:v>
                      </c:pt>
                      <c:pt idx="19">
                        <c:v>1.001154403686523</c:v>
                      </c:pt>
                      <c:pt idx="20">
                        <c:v>1.001521453857422</c:v>
                      </c:pt>
                      <c:pt idx="21">
                        <c:v>1.0011450958251951</c:v>
                      </c:pt>
                      <c:pt idx="22">
                        <c:v>1.0015176391601559</c:v>
                      </c:pt>
                      <c:pt idx="23">
                        <c:v>1.0011314392089841</c:v>
                      </c:pt>
                      <c:pt idx="24">
                        <c:v>0.99908439636230473</c:v>
                      </c:pt>
                      <c:pt idx="25">
                        <c:v>0.99872024536132809</c:v>
                      </c:pt>
                      <c:pt idx="26">
                        <c:v>0.9975888061523438</c:v>
                      </c:pt>
                      <c:pt idx="27">
                        <c:v>0.99484626770019535</c:v>
                      </c:pt>
                      <c:pt idx="28">
                        <c:v>0.99564376831054691</c:v>
                      </c:pt>
                      <c:pt idx="29">
                        <c:v>0.99387756347656253</c:v>
                      </c:pt>
                      <c:pt idx="30">
                        <c:v>0.99477561950683591</c:v>
                      </c:pt>
                      <c:pt idx="31">
                        <c:v>0.99482887268066411</c:v>
                      </c:pt>
                      <c:pt idx="32">
                        <c:v>0.9993795776367187</c:v>
                      </c:pt>
                      <c:pt idx="33">
                        <c:v>0.99732238769531245</c:v>
                      </c:pt>
                      <c:pt idx="34">
                        <c:v>0.9929173278808594</c:v>
                      </c:pt>
                      <c:pt idx="35">
                        <c:v>0.99487922668457029</c:v>
                      </c:pt>
                      <c:pt idx="36">
                        <c:v>0.99200927734375</c:v>
                      </c:pt>
                      <c:pt idx="37">
                        <c:v>1.0017575073242191</c:v>
                      </c:pt>
                      <c:pt idx="38">
                        <c:v>1.004848403930664</c:v>
                      </c:pt>
                    </c:numCache>
                  </c:numRef>
                </c:yVal>
                <c:smooth val="0"/>
                <c:extLst xmlns:c15="http://schemas.microsoft.com/office/drawing/2012/chart">
                  <c:ext xmlns:c16="http://schemas.microsoft.com/office/drawing/2014/chart" uri="{C3380CC4-5D6E-409C-BE32-E72D297353CC}">
                    <c16:uniqueId val="{00000002-BF02-49B4-A998-F3FD5A5A2701}"/>
                  </c:ext>
                </c:extLst>
              </c15:ser>
            </c15:filteredScatterSeries>
            <c15:filteredScatterSeries>
              <c15:ser>
                <c:idx val="3"/>
                <c:order val="3"/>
                <c:tx>
                  <c:v>PL=100%</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strRef>
                    <c:extLst xmlns:c15="http://schemas.microsoft.com/office/drawing/2012/chart">
                      <c:ext xmlns:c15="http://schemas.microsoft.com/office/drawing/2012/chart" uri="{02D57815-91ED-43cb-92C2-25804820EDAC}">
                        <c15:formulaRef>
                          <c15:sqref>'Grid With PV Generation'!$Y$5:$Y$43</c15:sqref>
                        </c15:formulaRef>
                      </c:ext>
                    </c:extLst>
                    <c:strCache>
                      <c:ptCount val="39"/>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pt idx="15">
                        <c:v>Bus16</c:v>
                      </c:pt>
                      <c:pt idx="16">
                        <c:v>Bus17</c:v>
                      </c:pt>
                      <c:pt idx="17">
                        <c:v>Bus18</c:v>
                      </c:pt>
                      <c:pt idx="18">
                        <c:v>Bus19</c:v>
                      </c:pt>
                      <c:pt idx="19">
                        <c:v>Bus20</c:v>
                      </c:pt>
                      <c:pt idx="20">
                        <c:v>Bus21</c:v>
                      </c:pt>
                      <c:pt idx="21">
                        <c:v>Bus22</c:v>
                      </c:pt>
                      <c:pt idx="22">
                        <c:v>Bus23</c:v>
                      </c:pt>
                      <c:pt idx="23">
                        <c:v>Bus24</c:v>
                      </c:pt>
                      <c:pt idx="24">
                        <c:v>Bus25</c:v>
                      </c:pt>
                      <c:pt idx="25">
                        <c:v>Bus26</c:v>
                      </c:pt>
                      <c:pt idx="26">
                        <c:v>Bus27</c:v>
                      </c:pt>
                      <c:pt idx="27">
                        <c:v>Bus28</c:v>
                      </c:pt>
                      <c:pt idx="28">
                        <c:v>Bus29</c:v>
                      </c:pt>
                      <c:pt idx="29">
                        <c:v>Bus30</c:v>
                      </c:pt>
                      <c:pt idx="30">
                        <c:v>Bus31</c:v>
                      </c:pt>
                      <c:pt idx="31">
                        <c:v>Bus32</c:v>
                      </c:pt>
                      <c:pt idx="32">
                        <c:v>Bus33</c:v>
                      </c:pt>
                      <c:pt idx="33">
                        <c:v>Bus34</c:v>
                      </c:pt>
                      <c:pt idx="34">
                        <c:v>Bus35</c:v>
                      </c:pt>
                      <c:pt idx="35">
                        <c:v>Bus36</c:v>
                      </c:pt>
                      <c:pt idx="36">
                        <c:v>Bus37</c:v>
                      </c:pt>
                      <c:pt idx="37">
                        <c:v>Bus38</c:v>
                      </c:pt>
                      <c:pt idx="38">
                        <c:v>Bus39</c:v>
                      </c:pt>
                    </c:strCache>
                  </c:strRef>
                </c:xVal>
                <c:yVal>
                  <c:numRef>
                    <c:extLst xmlns:c15="http://schemas.microsoft.com/office/drawing/2012/chart">
                      <c:ext xmlns:c15="http://schemas.microsoft.com/office/drawing/2012/chart" uri="{02D57815-91ED-43cb-92C2-25804820EDAC}">
                        <c15:formulaRef>
                          <c15:sqref>'Grid With PV Generation'!$AC$5:$AC$43</c15:sqref>
                        </c15:formulaRef>
                      </c:ext>
                    </c:extLst>
                    <c:numCache>
                      <c:formatCode>General</c:formatCode>
                      <c:ptCount val="39"/>
                      <c:pt idx="0">
                        <c:v>1.0000000762939449</c:v>
                      </c:pt>
                      <c:pt idx="1">
                        <c:v>0.99999122619628911</c:v>
                      </c:pt>
                      <c:pt idx="2">
                        <c:v>1.000631637573242</c:v>
                      </c:pt>
                      <c:pt idx="3">
                        <c:v>1.000802459716797</c:v>
                      </c:pt>
                      <c:pt idx="4">
                        <c:v>1.0007694244384771</c:v>
                      </c:pt>
                      <c:pt idx="5">
                        <c:v>1.0007688903808589</c:v>
                      </c:pt>
                      <c:pt idx="6">
                        <c:v>1.0007405090332031</c:v>
                      </c:pt>
                      <c:pt idx="7">
                        <c:v>1.0004521179199219</c:v>
                      </c:pt>
                      <c:pt idx="8">
                        <c:v>1.0014503479003909</c:v>
                      </c:pt>
                      <c:pt idx="9">
                        <c:v>1.001735000610352</c:v>
                      </c:pt>
                      <c:pt idx="10">
                        <c:v>1.001730270385742</c:v>
                      </c:pt>
                      <c:pt idx="11">
                        <c:v>1.001724548339844</c:v>
                      </c:pt>
                      <c:pt idx="12">
                        <c:v>1.0017122650146479</c:v>
                      </c:pt>
                      <c:pt idx="13">
                        <c:v>1.0017094421386721</c:v>
                      </c:pt>
                      <c:pt idx="14">
                        <c:v>1.0023925018310551</c:v>
                      </c:pt>
                      <c:pt idx="15">
                        <c:v>1.002387313842773</c:v>
                      </c:pt>
                      <c:pt idx="16">
                        <c:v>1.002555160522461</c:v>
                      </c:pt>
                      <c:pt idx="17">
                        <c:v>1.002794647216797</c:v>
                      </c:pt>
                      <c:pt idx="18">
                        <c:v>1.0027668762207029</c:v>
                      </c:pt>
                      <c:pt idx="19">
                        <c:v>1.0031050872802729</c:v>
                      </c:pt>
                      <c:pt idx="20">
                        <c:v>1.003840713500977</c:v>
                      </c:pt>
                      <c:pt idx="21">
                        <c:v>1.003095779418945</c:v>
                      </c:pt>
                      <c:pt idx="22">
                        <c:v>1.003836898803711</c:v>
                      </c:pt>
                      <c:pt idx="23">
                        <c:v>1.0030820465087891</c:v>
                      </c:pt>
                      <c:pt idx="24">
                        <c:v>1.0010055541992191</c:v>
                      </c:pt>
                      <c:pt idx="25">
                        <c:v>1.0010062408447269</c:v>
                      </c:pt>
                      <c:pt idx="26">
                        <c:v>0.9975888061523438</c:v>
                      </c:pt>
                      <c:pt idx="27">
                        <c:v>0.99485504150390625</c:v>
                      </c:pt>
                      <c:pt idx="28">
                        <c:v>0.99564376831054691</c:v>
                      </c:pt>
                      <c:pt idx="29">
                        <c:v>0.99387756347656253</c:v>
                      </c:pt>
                      <c:pt idx="30">
                        <c:v>0.9949623107910156</c:v>
                      </c:pt>
                      <c:pt idx="31">
                        <c:v>0.9952278900146484</c:v>
                      </c:pt>
                      <c:pt idx="32">
                        <c:v>1.0005535125732421</c:v>
                      </c:pt>
                      <c:pt idx="33">
                        <c:v>0.99878311157226563</c:v>
                      </c:pt>
                      <c:pt idx="34">
                        <c:v>0.99376747131347654</c:v>
                      </c:pt>
                      <c:pt idx="35">
                        <c:v>0.99540100097656248</c:v>
                      </c:pt>
                      <c:pt idx="36">
                        <c:v>0.99204315185546876</c:v>
                      </c:pt>
                      <c:pt idx="37">
                        <c:v>1.004310760498047</c:v>
                      </c:pt>
                      <c:pt idx="38">
                        <c:v>1.006721725463867</c:v>
                      </c:pt>
                    </c:numCache>
                  </c:numRef>
                </c:yVal>
                <c:smooth val="0"/>
                <c:extLst xmlns:c15="http://schemas.microsoft.com/office/drawing/2012/chart">
                  <c:ext xmlns:c16="http://schemas.microsoft.com/office/drawing/2014/chart" uri="{C3380CC4-5D6E-409C-BE32-E72D297353CC}">
                    <c16:uniqueId val="{00000003-BF02-49B4-A998-F3FD5A5A2701}"/>
                  </c:ext>
                </c:extLst>
              </c15:ser>
            </c15:filteredScatterSeries>
          </c:ext>
        </c:extLst>
      </c:scatterChart>
      <c:valAx>
        <c:axId val="787115368"/>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r>
                  <a:rPr lang="en-US"/>
                  <a:t>Bus Number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787115728"/>
        <c:crosses val="autoZero"/>
        <c:crossBetween val="midCat"/>
      </c:valAx>
      <c:valAx>
        <c:axId val="78711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r>
                  <a:rPr lang="en-US"/>
                  <a:t>Voltage (p.u)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787115368"/>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1"/>
          <c:order val="1"/>
          <c:tx>
            <c:v>Solar PL=17%</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'Grid With PV Generation'!$B$5:$B$28</c:f>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f>'Grid With PV Generation'!$F$5:$F$28</c:f>
              <c:numCache>
                <c:formatCode>0.0</c:formatCode>
                <c:ptCount val="24"/>
                <c:pt idx="0">
                  <c:v>0</c:v>
                </c:pt>
                <c:pt idx="1">
                  <c:v>0</c:v>
                </c:pt>
                <c:pt idx="2">
                  <c:v>0</c:v>
                </c:pt>
                <c:pt idx="3">
                  <c:v>0</c:v>
                </c:pt>
                <c:pt idx="4">
                  <c:v>0</c:v>
                </c:pt>
                <c:pt idx="5">
                  <c:v>0</c:v>
                </c:pt>
                <c:pt idx="6">
                  <c:v>0</c:v>
                </c:pt>
                <c:pt idx="7">
                  <c:v>15.94448161219831</c:v>
                </c:pt>
                <c:pt idx="8">
                  <c:v>322.65736137933709</c:v>
                </c:pt>
                <c:pt idx="9">
                  <c:v>636.37671121523863</c:v>
                </c:pt>
                <c:pt idx="10">
                  <c:v>851.96759153601249</c:v>
                </c:pt>
                <c:pt idx="11">
                  <c:v>973.53965241934338</c:v>
                </c:pt>
                <c:pt idx="12">
                  <c:v>993.45993921516697</c:v>
                </c:pt>
                <c:pt idx="13">
                  <c:v>986.53631779031127</c:v>
                </c:pt>
                <c:pt idx="14">
                  <c:v>890.18986485412745</c:v>
                </c:pt>
                <c:pt idx="15">
                  <c:v>667.95204120056997</c:v>
                </c:pt>
                <c:pt idx="16">
                  <c:v>378.66727120921553</c:v>
                </c:pt>
                <c:pt idx="17">
                  <c:v>6.0298406667561002</c:v>
                </c:pt>
                <c:pt idx="18">
                  <c:v>0</c:v>
                </c:pt>
                <c:pt idx="19">
                  <c:v>0</c:v>
                </c:pt>
                <c:pt idx="20">
                  <c:v>0</c:v>
                </c:pt>
                <c:pt idx="21">
                  <c:v>0</c:v>
                </c:pt>
                <c:pt idx="22">
                  <c:v>0</c:v>
                </c:pt>
                <c:pt idx="23">
                  <c:v>0</c:v>
                </c:pt>
              </c:numCache>
            </c:numRef>
          </c:yVal>
          <c:smooth val="1"/>
          <c:extLst>
            <c:ext xmlns:c16="http://schemas.microsoft.com/office/drawing/2014/chart" uri="{C3380CC4-5D6E-409C-BE32-E72D297353CC}">
              <c16:uniqueId val="{00000000-147E-4A43-B7D6-01C13D82E895}"/>
            </c:ext>
          </c:extLst>
        </c:ser>
        <c:dLbls>
          <c:showLegendKey val="0"/>
          <c:showVal val="0"/>
          <c:showCatName val="0"/>
          <c:showSerName val="0"/>
          <c:showPercent val="0"/>
          <c:showBubbleSize val="0"/>
        </c:dLbls>
        <c:axId val="1091560992"/>
        <c:axId val="1091562792"/>
      </c:scatterChart>
      <c:scatterChart>
        <c:scatterStyle val="lineMarker"/>
        <c:varyColors val="0"/>
        <c:ser>
          <c:idx val="0"/>
          <c:order val="0"/>
          <c:tx>
            <c:v>Grid (Source)</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'Grid With PV Generation'!$B$5:$B$28</c:f>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f>'Grid With PV Generation'!$O$5:$O$28</c:f>
              <c:numCache>
                <c:formatCode>0.0</c:formatCode>
                <c:ptCount val="24"/>
                <c:pt idx="0">
                  <c:v>1674.0332841873169</c:v>
                </c:pt>
                <c:pt idx="1">
                  <c:v>1251.3216435909269</c:v>
                </c:pt>
                <c:pt idx="2">
                  <c:v>1080.011308193207</c:v>
                </c:pt>
                <c:pt idx="3">
                  <c:v>964.86479043960571</c:v>
                </c:pt>
                <c:pt idx="4">
                  <c:v>947.1583366394043</c:v>
                </c:pt>
                <c:pt idx="5">
                  <c:v>963.54833245277405</c:v>
                </c:pt>
                <c:pt idx="6">
                  <c:v>1036.6379916667941</c:v>
                </c:pt>
                <c:pt idx="7">
                  <c:v>1059.5873296260829</c:v>
                </c:pt>
                <c:pt idx="8">
                  <c:v>1149.619996547699</c:v>
                </c:pt>
                <c:pt idx="9">
                  <c:v>1350.3367304801941</c:v>
                </c:pt>
                <c:pt idx="10">
                  <c:v>1584.766209125519</c:v>
                </c:pt>
                <c:pt idx="11">
                  <c:v>1937.964797019958</c:v>
                </c:pt>
                <c:pt idx="12">
                  <c:v>1956.6740989685061</c:v>
                </c:pt>
                <c:pt idx="13">
                  <c:v>2003.501951694489</c:v>
                </c:pt>
                <c:pt idx="14">
                  <c:v>1815.8984184265139</c:v>
                </c:pt>
                <c:pt idx="15">
                  <c:v>1770.2512741088869</c:v>
                </c:pt>
                <c:pt idx="16">
                  <c:v>1955.417811870575</c:v>
                </c:pt>
                <c:pt idx="17">
                  <c:v>2226.39012336731</c:v>
                </c:pt>
                <c:pt idx="18">
                  <c:v>2657.1175456047058</c:v>
                </c:pt>
                <c:pt idx="19">
                  <c:v>2527.607262134552</c:v>
                </c:pt>
                <c:pt idx="20">
                  <c:v>2309.0741634368901</c:v>
                </c:pt>
                <c:pt idx="21">
                  <c:v>2340.1278853416438</c:v>
                </c:pt>
                <c:pt idx="22">
                  <c:v>2123.5611438751221</c:v>
                </c:pt>
                <c:pt idx="23">
                  <c:v>1919.237494468689</c:v>
                </c:pt>
              </c:numCache>
            </c:numRef>
          </c:yVal>
          <c:smooth val="0"/>
          <c:extLst>
            <c:ext xmlns:c16="http://schemas.microsoft.com/office/drawing/2014/chart" uri="{C3380CC4-5D6E-409C-BE32-E72D297353CC}">
              <c16:uniqueId val="{00000001-147E-4A43-B7D6-01C13D82E895}"/>
            </c:ext>
          </c:extLst>
        </c:ser>
        <c:ser>
          <c:idx val="2"/>
          <c:order val="2"/>
          <c:tx>
            <c:v>Source (P-net)</c:v>
          </c:tx>
          <c:spPr>
            <a:ln w="34925" cap="rnd">
              <a:solidFill>
                <a:schemeClr val="accent6">
                  <a:lumMod val="75000"/>
                </a:schemeClr>
              </a:solidFill>
              <a:round/>
            </a:ln>
            <a:effectLst/>
          </c:spPr>
          <c:marker>
            <c:symbol val="circle"/>
            <c:size val="5"/>
            <c:spPr>
              <a:solidFill>
                <a:schemeClr val="accent3"/>
              </a:solidFill>
              <a:ln w="9525">
                <a:solidFill>
                  <a:schemeClr val="accent3"/>
                </a:solidFill>
              </a:ln>
              <a:effectLst/>
            </c:spPr>
          </c:marker>
          <c:xVal>
            <c:numRef>
              <c:f>'Grid With PV Generation'!$B$5:$B$28</c:f>
              <c:numCache>
                <c:formatCode>[$-409]h:mm\ AM/PM;@</c:formatCode>
                <c:ptCount val="24"/>
                <c:pt idx="0">
                  <c:v>0</c:v>
                </c:pt>
                <c:pt idx="1">
                  <c:v>4.1666666666666664E-2</c:v>
                </c:pt>
                <c:pt idx="2">
                  <c:v>8.3333333333333329E-2</c:v>
                </c:pt>
                <c:pt idx="3">
                  <c:v>0.125</c:v>
                </c:pt>
                <c:pt idx="4">
                  <c:v>0.16666666666666699</c:v>
                </c:pt>
                <c:pt idx="5">
                  <c:v>0.20833333333333401</c:v>
                </c:pt>
                <c:pt idx="6">
                  <c:v>0.250000000000001</c:v>
                </c:pt>
                <c:pt idx="7">
                  <c:v>0.29166666666666802</c:v>
                </c:pt>
                <c:pt idx="8">
                  <c:v>0.33333333333333498</c:v>
                </c:pt>
                <c:pt idx="9">
                  <c:v>0.375000000000002</c:v>
                </c:pt>
                <c:pt idx="10">
                  <c:v>0.41666666666666902</c:v>
                </c:pt>
                <c:pt idx="11">
                  <c:v>0.45833333333333598</c:v>
                </c:pt>
                <c:pt idx="12">
                  <c:v>0.500000000000003</c:v>
                </c:pt>
                <c:pt idx="13">
                  <c:v>0.54166666666666996</c:v>
                </c:pt>
                <c:pt idx="14">
                  <c:v>0.58333333333333703</c:v>
                </c:pt>
                <c:pt idx="15">
                  <c:v>0.625000000000004</c:v>
                </c:pt>
                <c:pt idx="16">
                  <c:v>0.66666666666667096</c:v>
                </c:pt>
                <c:pt idx="17">
                  <c:v>0.70833333333333803</c:v>
                </c:pt>
                <c:pt idx="18">
                  <c:v>0.750000000000005</c:v>
                </c:pt>
                <c:pt idx="19">
                  <c:v>0.79166666666667196</c:v>
                </c:pt>
                <c:pt idx="20">
                  <c:v>0.83333333333333903</c:v>
                </c:pt>
                <c:pt idx="21">
                  <c:v>0.875000000000006</c:v>
                </c:pt>
                <c:pt idx="22">
                  <c:v>0.91666666666667296</c:v>
                </c:pt>
                <c:pt idx="23">
                  <c:v>0.95833333333334003</c:v>
                </c:pt>
              </c:numCache>
            </c:numRef>
          </c:xVal>
          <c:yVal>
            <c:numRef>
              <c:f>'Grid With PV Generation'!$C$5:$C$28</c:f>
              <c:numCache>
                <c:formatCode>0.0</c:formatCode>
                <c:ptCount val="24"/>
                <c:pt idx="0">
                  <c:v>1674.036026000977</c:v>
                </c:pt>
                <c:pt idx="1">
                  <c:v>1251.324862241745</c:v>
                </c:pt>
                <c:pt idx="2">
                  <c:v>1080.0146758556371</c:v>
                </c:pt>
                <c:pt idx="3">
                  <c:v>964.86815810203552</c:v>
                </c:pt>
                <c:pt idx="4">
                  <c:v>947.16158509254456</c:v>
                </c:pt>
                <c:pt idx="5">
                  <c:v>963.55149149894714</c:v>
                </c:pt>
                <c:pt idx="6">
                  <c:v>1036.6410315036769</c:v>
                </c:pt>
                <c:pt idx="7">
                  <c:v>1043.6355471611021</c:v>
                </c:pt>
                <c:pt idx="8">
                  <c:v>828.35572957992554</c:v>
                </c:pt>
                <c:pt idx="9">
                  <c:v>719.83486413955688</c:v>
                </c:pt>
                <c:pt idx="10">
                  <c:v>743.47691237926483</c:v>
                </c:pt>
                <c:pt idx="11">
                  <c:v>978.2831072807312</c:v>
                </c:pt>
                <c:pt idx="12">
                  <c:v>977.62224078178406</c:v>
                </c:pt>
                <c:pt idx="13">
                  <c:v>1031.0985743999479</c:v>
                </c:pt>
                <c:pt idx="14">
                  <c:v>937.21535801887512</c:v>
                </c:pt>
                <c:pt idx="15">
                  <c:v>1108.587890863419</c:v>
                </c:pt>
                <c:pt idx="16">
                  <c:v>1578.472495079041</c:v>
                </c:pt>
                <c:pt idx="17">
                  <c:v>2220.350325107574</c:v>
                </c:pt>
                <c:pt idx="18">
                  <c:v>2657.1195125579829</c:v>
                </c:pt>
                <c:pt idx="19">
                  <c:v>2527.6089310646062</c:v>
                </c:pt>
                <c:pt idx="20">
                  <c:v>2309.076189994812</c:v>
                </c:pt>
                <c:pt idx="21">
                  <c:v>2340.1297330856319</c:v>
                </c:pt>
                <c:pt idx="22">
                  <c:v>2123.5634684562679</c:v>
                </c:pt>
                <c:pt idx="23">
                  <c:v>1919.2401766777041</c:v>
                </c:pt>
              </c:numCache>
            </c:numRef>
          </c:yVal>
          <c:smooth val="0"/>
          <c:extLst>
            <c:ext xmlns:c16="http://schemas.microsoft.com/office/drawing/2014/chart" uri="{C3380CC4-5D6E-409C-BE32-E72D297353CC}">
              <c16:uniqueId val="{00000002-147E-4A43-B7D6-01C13D82E895}"/>
            </c:ext>
          </c:extLst>
        </c:ser>
        <c:dLbls>
          <c:showLegendKey val="0"/>
          <c:showVal val="0"/>
          <c:showCatName val="0"/>
          <c:showSerName val="0"/>
          <c:showPercent val="0"/>
          <c:showBubbleSize val="0"/>
        </c:dLbls>
        <c:axId val="1091560992"/>
        <c:axId val="1091562792"/>
      </c:scatterChart>
      <c:valAx>
        <c:axId val="1091560992"/>
        <c:scaling>
          <c:orientation val="minMax"/>
          <c:max val="1"/>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r>
                  <a:rPr lang="en-GB"/>
                  <a:t>Time</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409]h:mm\ AM/PM;@" sourceLinked="1"/>
        <c:majorTickMark val="out"/>
        <c:minorTickMark val="none"/>
        <c:tickLblPos val="low"/>
        <c:spPr>
          <a:noFill/>
          <a:ln w="9525" cap="flat" cmpd="sng" algn="ctr">
            <a:solidFill>
              <a:schemeClr val="tx1">
                <a:lumMod val="25000"/>
                <a:lumOff val="75000"/>
              </a:schemeClr>
            </a:solidFill>
            <a:round/>
          </a:ln>
          <a:effectLst/>
        </c:spPr>
        <c:txPr>
          <a:bodyPr rot="-300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1091562792"/>
        <c:crosses val="autoZero"/>
        <c:crossBetween val="midCat"/>
        <c:majorUnit val="4.1666666000000012E-2"/>
      </c:valAx>
      <c:valAx>
        <c:axId val="109156279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r>
                  <a:rPr lang="en-US"/>
                  <a:t>Active Power kW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title>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1091560992"/>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Sheet1!$B$1:$B$2</c:f>
              <c:strCache>
                <c:ptCount val="2"/>
                <c:pt idx="0">
                  <c:v>Case 0 Voltage (%)</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Sheet1!$B$3:$B$41</c:f>
              <c:numCache>
                <c:formatCode>General</c:formatCode>
                <c:ptCount val="39"/>
                <c:pt idx="0">
                  <c:v>100</c:v>
                </c:pt>
                <c:pt idx="1">
                  <c:v>99.997</c:v>
                </c:pt>
                <c:pt idx="2">
                  <c:v>99.974999999999994</c:v>
                </c:pt>
                <c:pt idx="3">
                  <c:v>99.97</c:v>
                </c:pt>
                <c:pt idx="4">
                  <c:v>99.965000000000003</c:v>
                </c:pt>
                <c:pt idx="5">
                  <c:v>99.965000000000003</c:v>
                </c:pt>
                <c:pt idx="6">
                  <c:v>99.960999999999999</c:v>
                </c:pt>
                <c:pt idx="7">
                  <c:v>99.936000000000007</c:v>
                </c:pt>
                <c:pt idx="8">
                  <c:v>99.953999999999994</c:v>
                </c:pt>
                <c:pt idx="9">
                  <c:v>99.95</c:v>
                </c:pt>
                <c:pt idx="10">
                  <c:v>99.948999999999998</c:v>
                </c:pt>
                <c:pt idx="11">
                  <c:v>99.948999999999998</c:v>
                </c:pt>
                <c:pt idx="12">
                  <c:v>99.945999999999998</c:v>
                </c:pt>
                <c:pt idx="13">
                  <c:v>99.945999999999998</c:v>
                </c:pt>
                <c:pt idx="14">
                  <c:v>99.947000000000003</c:v>
                </c:pt>
                <c:pt idx="15">
                  <c:v>99.945999999999998</c:v>
                </c:pt>
                <c:pt idx="16">
                  <c:v>99.947000000000003</c:v>
                </c:pt>
                <c:pt idx="17">
                  <c:v>99.947999999999993</c:v>
                </c:pt>
                <c:pt idx="18">
                  <c:v>99.944000000000003</c:v>
                </c:pt>
                <c:pt idx="19">
                  <c:v>99.950999999999993</c:v>
                </c:pt>
                <c:pt idx="20">
                  <c:v>99.962000000000003</c:v>
                </c:pt>
                <c:pt idx="21">
                  <c:v>99.948999999999998</c:v>
                </c:pt>
                <c:pt idx="22">
                  <c:v>99.960999999999999</c:v>
                </c:pt>
                <c:pt idx="23">
                  <c:v>99.947000000000003</c:v>
                </c:pt>
                <c:pt idx="24">
                  <c:v>99.549000000000007</c:v>
                </c:pt>
                <c:pt idx="25">
                  <c:v>99.418000000000006</c:v>
                </c:pt>
                <c:pt idx="26">
                  <c:v>99.403000000000006</c:v>
                </c:pt>
                <c:pt idx="27">
                  <c:v>98.66</c:v>
                </c:pt>
                <c:pt idx="28">
                  <c:v>98.799000000000007</c:v>
                </c:pt>
                <c:pt idx="29">
                  <c:v>98.049000000000007</c:v>
                </c:pt>
                <c:pt idx="30">
                  <c:v>98.38</c:v>
                </c:pt>
                <c:pt idx="31">
                  <c:v>98.597999999999999</c:v>
                </c:pt>
                <c:pt idx="32">
                  <c:v>99.742999999999995</c:v>
                </c:pt>
                <c:pt idx="33">
                  <c:v>99.266000000000005</c:v>
                </c:pt>
                <c:pt idx="34">
                  <c:v>98.212999999999994</c:v>
                </c:pt>
                <c:pt idx="35">
                  <c:v>98.492000000000004</c:v>
                </c:pt>
                <c:pt idx="36">
                  <c:v>97.712999999999994</c:v>
                </c:pt>
                <c:pt idx="37">
                  <c:v>99.97</c:v>
                </c:pt>
                <c:pt idx="38">
                  <c:v>102.149</c:v>
                </c:pt>
              </c:numCache>
            </c:numRef>
          </c:yVal>
          <c:smooth val="1"/>
          <c:extLst>
            <c:ext xmlns:c16="http://schemas.microsoft.com/office/drawing/2014/chart" uri="{C3380CC4-5D6E-409C-BE32-E72D297353CC}">
              <c16:uniqueId val="{00000000-3DD4-4CCD-AC75-58D7E7D73667}"/>
            </c:ext>
          </c:extLst>
        </c:ser>
        <c:ser>
          <c:idx val="1"/>
          <c:order val="1"/>
          <c:tx>
            <c:strRef>
              <c:f>Sheet1!$C$1:$C$2</c:f>
              <c:strCache>
                <c:ptCount val="2"/>
                <c:pt idx="0">
                  <c:v>Case 1 Voltage (%) Charging</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Sheet1!$C$3:$C$41</c:f>
              <c:numCache>
                <c:formatCode>General</c:formatCode>
                <c:ptCount val="39"/>
                <c:pt idx="0">
                  <c:v>100</c:v>
                </c:pt>
                <c:pt idx="1">
                  <c:v>100</c:v>
                </c:pt>
                <c:pt idx="2">
                  <c:v>99.96</c:v>
                </c:pt>
                <c:pt idx="3">
                  <c:v>99.95</c:v>
                </c:pt>
                <c:pt idx="4">
                  <c:v>99.95</c:v>
                </c:pt>
                <c:pt idx="5">
                  <c:v>99.95</c:v>
                </c:pt>
                <c:pt idx="6">
                  <c:v>99.94</c:v>
                </c:pt>
                <c:pt idx="7">
                  <c:v>99.9</c:v>
                </c:pt>
                <c:pt idx="8">
                  <c:v>99.92</c:v>
                </c:pt>
                <c:pt idx="9">
                  <c:v>99.91</c:v>
                </c:pt>
                <c:pt idx="10">
                  <c:v>99.91</c:v>
                </c:pt>
                <c:pt idx="11">
                  <c:v>99.91</c:v>
                </c:pt>
                <c:pt idx="12">
                  <c:v>99.91</c:v>
                </c:pt>
                <c:pt idx="13">
                  <c:v>99.91</c:v>
                </c:pt>
                <c:pt idx="14">
                  <c:v>99.9</c:v>
                </c:pt>
                <c:pt idx="15">
                  <c:v>99.89</c:v>
                </c:pt>
                <c:pt idx="16">
                  <c:v>99.89</c:v>
                </c:pt>
                <c:pt idx="17">
                  <c:v>99.89</c:v>
                </c:pt>
                <c:pt idx="18">
                  <c:v>99.88</c:v>
                </c:pt>
                <c:pt idx="19">
                  <c:v>99.89</c:v>
                </c:pt>
                <c:pt idx="20">
                  <c:v>99.89</c:v>
                </c:pt>
                <c:pt idx="21">
                  <c:v>99.89</c:v>
                </c:pt>
                <c:pt idx="22">
                  <c:v>99.89</c:v>
                </c:pt>
                <c:pt idx="23">
                  <c:v>99.88</c:v>
                </c:pt>
                <c:pt idx="24">
                  <c:v>99.49</c:v>
                </c:pt>
                <c:pt idx="25">
                  <c:v>99.34</c:v>
                </c:pt>
                <c:pt idx="26">
                  <c:v>99.39</c:v>
                </c:pt>
                <c:pt idx="27">
                  <c:v>99.64</c:v>
                </c:pt>
                <c:pt idx="28">
                  <c:v>98.76</c:v>
                </c:pt>
                <c:pt idx="29">
                  <c:v>98.02</c:v>
                </c:pt>
                <c:pt idx="30">
                  <c:v>98.33</c:v>
                </c:pt>
                <c:pt idx="31">
                  <c:v>98.55</c:v>
                </c:pt>
                <c:pt idx="32">
                  <c:v>99.69</c:v>
                </c:pt>
                <c:pt idx="33">
                  <c:v>99.2</c:v>
                </c:pt>
                <c:pt idx="34">
                  <c:v>98.15</c:v>
                </c:pt>
                <c:pt idx="35">
                  <c:v>98.43</c:v>
                </c:pt>
                <c:pt idx="36">
                  <c:v>97.65</c:v>
                </c:pt>
                <c:pt idx="37">
                  <c:v>99.89</c:v>
                </c:pt>
                <c:pt idx="38">
                  <c:v>99.89</c:v>
                </c:pt>
              </c:numCache>
            </c:numRef>
          </c:yVal>
          <c:smooth val="1"/>
          <c:extLst>
            <c:ext xmlns:c16="http://schemas.microsoft.com/office/drawing/2014/chart" uri="{C3380CC4-5D6E-409C-BE32-E72D297353CC}">
              <c16:uniqueId val="{00000001-3DD4-4CCD-AC75-58D7E7D73667}"/>
            </c:ext>
          </c:extLst>
        </c:ser>
        <c:ser>
          <c:idx val="2"/>
          <c:order val="2"/>
          <c:tx>
            <c:strRef>
              <c:f>Sheet1!$D$1:$D$2</c:f>
              <c:strCache>
                <c:ptCount val="2"/>
                <c:pt idx="0">
                  <c:v>Case 1 Voltage (%) Discharging</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Sheet1!$D$3:$D$41</c:f>
              <c:numCache>
                <c:formatCode>General</c:formatCode>
                <c:ptCount val="39"/>
                <c:pt idx="0">
                  <c:v>100</c:v>
                </c:pt>
                <c:pt idx="1">
                  <c:v>100</c:v>
                </c:pt>
                <c:pt idx="2">
                  <c:v>99.97</c:v>
                </c:pt>
                <c:pt idx="3">
                  <c:v>99.96</c:v>
                </c:pt>
                <c:pt idx="4">
                  <c:v>99.96</c:v>
                </c:pt>
                <c:pt idx="5">
                  <c:v>99.96</c:v>
                </c:pt>
                <c:pt idx="6">
                  <c:v>99.96</c:v>
                </c:pt>
                <c:pt idx="7">
                  <c:v>99.92</c:v>
                </c:pt>
                <c:pt idx="8">
                  <c:v>99.95</c:v>
                </c:pt>
                <c:pt idx="9">
                  <c:v>99.94</c:v>
                </c:pt>
                <c:pt idx="10">
                  <c:v>99.94</c:v>
                </c:pt>
                <c:pt idx="11">
                  <c:v>99.94</c:v>
                </c:pt>
                <c:pt idx="12">
                  <c:v>99.94</c:v>
                </c:pt>
                <c:pt idx="13">
                  <c:v>99.94</c:v>
                </c:pt>
                <c:pt idx="14">
                  <c:v>99.93</c:v>
                </c:pt>
                <c:pt idx="15">
                  <c:v>99.93</c:v>
                </c:pt>
                <c:pt idx="16">
                  <c:v>99.93</c:v>
                </c:pt>
                <c:pt idx="17">
                  <c:v>99.93</c:v>
                </c:pt>
                <c:pt idx="18">
                  <c:v>99.93</c:v>
                </c:pt>
                <c:pt idx="19">
                  <c:v>99.93</c:v>
                </c:pt>
                <c:pt idx="20">
                  <c:v>99.94</c:v>
                </c:pt>
                <c:pt idx="21">
                  <c:v>99.93</c:v>
                </c:pt>
                <c:pt idx="22">
                  <c:v>99.94</c:v>
                </c:pt>
                <c:pt idx="23">
                  <c:v>99.93</c:v>
                </c:pt>
                <c:pt idx="24">
                  <c:v>99.53</c:v>
                </c:pt>
                <c:pt idx="25">
                  <c:v>99.4</c:v>
                </c:pt>
                <c:pt idx="26">
                  <c:v>99.39</c:v>
                </c:pt>
                <c:pt idx="27">
                  <c:v>99.65</c:v>
                </c:pt>
                <c:pt idx="28">
                  <c:v>98.78</c:v>
                </c:pt>
                <c:pt idx="29">
                  <c:v>98.03</c:v>
                </c:pt>
                <c:pt idx="30">
                  <c:v>98.36</c:v>
                </c:pt>
                <c:pt idx="31">
                  <c:v>98.58</c:v>
                </c:pt>
                <c:pt idx="32">
                  <c:v>99.72</c:v>
                </c:pt>
                <c:pt idx="33">
                  <c:v>99.24</c:v>
                </c:pt>
                <c:pt idx="34">
                  <c:v>98.19</c:v>
                </c:pt>
                <c:pt idx="35">
                  <c:v>98.47</c:v>
                </c:pt>
                <c:pt idx="36">
                  <c:v>97.7</c:v>
                </c:pt>
                <c:pt idx="37">
                  <c:v>99.95</c:v>
                </c:pt>
                <c:pt idx="38">
                  <c:v>101.65</c:v>
                </c:pt>
              </c:numCache>
            </c:numRef>
          </c:yVal>
          <c:smooth val="1"/>
          <c:extLst>
            <c:ext xmlns:c16="http://schemas.microsoft.com/office/drawing/2014/chart" uri="{C3380CC4-5D6E-409C-BE32-E72D297353CC}">
              <c16:uniqueId val="{00000002-3DD4-4CCD-AC75-58D7E7D73667}"/>
            </c:ext>
          </c:extLst>
        </c:ser>
        <c:ser>
          <c:idx val="3"/>
          <c:order val="3"/>
          <c:tx>
            <c:strRef>
              <c:f>Sheet1!$E$1:$E$2</c:f>
              <c:strCache>
                <c:ptCount val="2"/>
                <c:pt idx="0">
                  <c:v>Case 2 Voltage (%) Charging</c:v>
                </c:pt>
              </c:strCache>
            </c:strRef>
          </c:tx>
          <c:spPr>
            <a:ln w="19050" cap="rnd">
              <a:solidFill>
                <a:schemeClr val="accent4"/>
              </a:solidFill>
              <a:round/>
            </a:ln>
            <a:effectLst/>
          </c:spPr>
          <c:marker>
            <c:symbol val="circle"/>
            <c:size val="5"/>
            <c:spPr>
              <a:solidFill>
                <a:schemeClr val="accent4"/>
              </a:solidFill>
              <a:ln w="9525">
                <a:solidFill>
                  <a:schemeClr val="accent4"/>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Sheet1!$E$3:$E$41</c:f>
              <c:numCache>
                <c:formatCode>General</c:formatCode>
                <c:ptCount val="39"/>
                <c:pt idx="0">
                  <c:v>100</c:v>
                </c:pt>
                <c:pt idx="1">
                  <c:v>100</c:v>
                </c:pt>
                <c:pt idx="2">
                  <c:v>99.98</c:v>
                </c:pt>
                <c:pt idx="3">
                  <c:v>99.97</c:v>
                </c:pt>
                <c:pt idx="4">
                  <c:v>99.6</c:v>
                </c:pt>
                <c:pt idx="5">
                  <c:v>99.96</c:v>
                </c:pt>
                <c:pt idx="6">
                  <c:v>99.96</c:v>
                </c:pt>
                <c:pt idx="7">
                  <c:v>99.92</c:v>
                </c:pt>
                <c:pt idx="8">
                  <c:v>99.95</c:v>
                </c:pt>
                <c:pt idx="9">
                  <c:v>99.95</c:v>
                </c:pt>
                <c:pt idx="10">
                  <c:v>99.95</c:v>
                </c:pt>
                <c:pt idx="11">
                  <c:v>99.95</c:v>
                </c:pt>
                <c:pt idx="12">
                  <c:v>99.95</c:v>
                </c:pt>
                <c:pt idx="13">
                  <c:v>99.95</c:v>
                </c:pt>
                <c:pt idx="14">
                  <c:v>99.95</c:v>
                </c:pt>
                <c:pt idx="15">
                  <c:v>99.95</c:v>
                </c:pt>
                <c:pt idx="16">
                  <c:v>99.95</c:v>
                </c:pt>
                <c:pt idx="17">
                  <c:v>99.95</c:v>
                </c:pt>
                <c:pt idx="18">
                  <c:v>99.94</c:v>
                </c:pt>
                <c:pt idx="19">
                  <c:v>99.95</c:v>
                </c:pt>
                <c:pt idx="20">
                  <c:v>99.96</c:v>
                </c:pt>
                <c:pt idx="21">
                  <c:v>99.95</c:v>
                </c:pt>
                <c:pt idx="22">
                  <c:v>99.96</c:v>
                </c:pt>
                <c:pt idx="23">
                  <c:v>99.95</c:v>
                </c:pt>
                <c:pt idx="24">
                  <c:v>99.55</c:v>
                </c:pt>
                <c:pt idx="25">
                  <c:v>99.42</c:v>
                </c:pt>
                <c:pt idx="26">
                  <c:v>99.39</c:v>
                </c:pt>
                <c:pt idx="27">
                  <c:v>99.65</c:v>
                </c:pt>
                <c:pt idx="28">
                  <c:v>98.79</c:v>
                </c:pt>
                <c:pt idx="29">
                  <c:v>98.04</c:v>
                </c:pt>
                <c:pt idx="30">
                  <c:v>98.37</c:v>
                </c:pt>
                <c:pt idx="31">
                  <c:v>98.59</c:v>
                </c:pt>
                <c:pt idx="32">
                  <c:v>99.73</c:v>
                </c:pt>
                <c:pt idx="33">
                  <c:v>99.26</c:v>
                </c:pt>
                <c:pt idx="34">
                  <c:v>98.2</c:v>
                </c:pt>
                <c:pt idx="35">
                  <c:v>98.49</c:v>
                </c:pt>
                <c:pt idx="36">
                  <c:v>97.71</c:v>
                </c:pt>
                <c:pt idx="37">
                  <c:v>99.97</c:v>
                </c:pt>
                <c:pt idx="38">
                  <c:v>100.37</c:v>
                </c:pt>
              </c:numCache>
            </c:numRef>
          </c:yVal>
          <c:smooth val="1"/>
          <c:extLst>
            <c:ext xmlns:c16="http://schemas.microsoft.com/office/drawing/2014/chart" uri="{C3380CC4-5D6E-409C-BE32-E72D297353CC}">
              <c16:uniqueId val="{00000003-3DD4-4CCD-AC75-58D7E7D73667}"/>
            </c:ext>
          </c:extLst>
        </c:ser>
        <c:ser>
          <c:idx val="4"/>
          <c:order val="4"/>
          <c:tx>
            <c:strRef>
              <c:f>Sheet1!$F$1:$F$2</c:f>
              <c:strCache>
                <c:ptCount val="2"/>
                <c:pt idx="0">
                  <c:v>Case 2 Voltage (%) Disharging</c:v>
                </c:pt>
              </c:strCache>
            </c:strRef>
          </c:tx>
          <c:spPr>
            <a:ln w="19050" cap="rnd">
              <a:solidFill>
                <a:schemeClr val="accent5"/>
              </a:solidFill>
              <a:round/>
            </a:ln>
            <a:effectLst/>
          </c:spPr>
          <c:marker>
            <c:symbol val="circle"/>
            <c:size val="5"/>
            <c:spPr>
              <a:solidFill>
                <a:schemeClr val="accent5"/>
              </a:solidFill>
              <a:ln w="9525">
                <a:solidFill>
                  <a:schemeClr val="accent5"/>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Sheet1!$F$3:$F$41</c:f>
              <c:numCache>
                <c:formatCode>General</c:formatCode>
                <c:ptCount val="39"/>
                <c:pt idx="0">
                  <c:v>100</c:v>
                </c:pt>
                <c:pt idx="1">
                  <c:v>100</c:v>
                </c:pt>
                <c:pt idx="2">
                  <c:v>99.98</c:v>
                </c:pt>
                <c:pt idx="3">
                  <c:v>99.98</c:v>
                </c:pt>
                <c:pt idx="4">
                  <c:v>99.98</c:v>
                </c:pt>
                <c:pt idx="5">
                  <c:v>99.98</c:v>
                </c:pt>
                <c:pt idx="6">
                  <c:v>99.97</c:v>
                </c:pt>
                <c:pt idx="7">
                  <c:v>99.93</c:v>
                </c:pt>
                <c:pt idx="8">
                  <c:v>99.97</c:v>
                </c:pt>
                <c:pt idx="9">
                  <c:v>99.97</c:v>
                </c:pt>
                <c:pt idx="10">
                  <c:v>99.97</c:v>
                </c:pt>
                <c:pt idx="11">
                  <c:v>99.97</c:v>
                </c:pt>
                <c:pt idx="12">
                  <c:v>99.97</c:v>
                </c:pt>
                <c:pt idx="13">
                  <c:v>99.97</c:v>
                </c:pt>
                <c:pt idx="14">
                  <c:v>99.97</c:v>
                </c:pt>
                <c:pt idx="15">
                  <c:v>99.97</c:v>
                </c:pt>
                <c:pt idx="16">
                  <c:v>99.98</c:v>
                </c:pt>
                <c:pt idx="17">
                  <c:v>99.98</c:v>
                </c:pt>
                <c:pt idx="18">
                  <c:v>99.97</c:v>
                </c:pt>
                <c:pt idx="19">
                  <c:v>99.98</c:v>
                </c:pt>
                <c:pt idx="20">
                  <c:v>100</c:v>
                </c:pt>
                <c:pt idx="21">
                  <c:v>99.98</c:v>
                </c:pt>
                <c:pt idx="22">
                  <c:v>100</c:v>
                </c:pt>
                <c:pt idx="23">
                  <c:v>99.98</c:v>
                </c:pt>
                <c:pt idx="24">
                  <c:v>99.58</c:v>
                </c:pt>
                <c:pt idx="25">
                  <c:v>99.46</c:v>
                </c:pt>
                <c:pt idx="26">
                  <c:v>99.39</c:v>
                </c:pt>
                <c:pt idx="27">
                  <c:v>98.66</c:v>
                </c:pt>
                <c:pt idx="28">
                  <c:v>98.81</c:v>
                </c:pt>
                <c:pt idx="29">
                  <c:v>98.05</c:v>
                </c:pt>
                <c:pt idx="30">
                  <c:v>98.39</c:v>
                </c:pt>
                <c:pt idx="31">
                  <c:v>98.61</c:v>
                </c:pt>
                <c:pt idx="32">
                  <c:v>99.75</c:v>
                </c:pt>
                <c:pt idx="33">
                  <c:v>98.28</c:v>
                </c:pt>
                <c:pt idx="34">
                  <c:v>98.23</c:v>
                </c:pt>
                <c:pt idx="35">
                  <c:v>98.53</c:v>
                </c:pt>
                <c:pt idx="36">
                  <c:v>97.74</c:v>
                </c:pt>
                <c:pt idx="37">
                  <c:v>100.01</c:v>
                </c:pt>
                <c:pt idx="38">
                  <c:v>100.63</c:v>
                </c:pt>
              </c:numCache>
            </c:numRef>
          </c:yVal>
          <c:smooth val="1"/>
          <c:extLst>
            <c:ext xmlns:c16="http://schemas.microsoft.com/office/drawing/2014/chart" uri="{C3380CC4-5D6E-409C-BE32-E72D297353CC}">
              <c16:uniqueId val="{00000004-3DD4-4CCD-AC75-58D7E7D73667}"/>
            </c:ext>
          </c:extLst>
        </c:ser>
        <c:ser>
          <c:idx val="5"/>
          <c:order val="5"/>
          <c:tx>
            <c:strRef>
              <c:f>Sheet1!$G$1:$G$2</c:f>
              <c:strCache>
                <c:ptCount val="2"/>
                <c:pt idx="0">
                  <c:v>Case 3 Voltage (%) Charging</c:v>
                </c:pt>
              </c:strCache>
            </c:strRef>
          </c:tx>
          <c:spPr>
            <a:ln w="19050" cap="rnd">
              <a:solidFill>
                <a:schemeClr val="accent6"/>
              </a:solidFill>
              <a:round/>
            </a:ln>
            <a:effectLst/>
          </c:spPr>
          <c:marker>
            <c:symbol val="circle"/>
            <c:size val="5"/>
            <c:spPr>
              <a:solidFill>
                <a:schemeClr val="accent6"/>
              </a:solidFill>
              <a:ln w="9525">
                <a:solidFill>
                  <a:schemeClr val="accent6"/>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Sheet1!$G$3:$G$41</c:f>
              <c:numCache>
                <c:formatCode>General</c:formatCode>
                <c:ptCount val="39"/>
                <c:pt idx="0">
                  <c:v>100</c:v>
                </c:pt>
                <c:pt idx="1">
                  <c:v>100</c:v>
                </c:pt>
                <c:pt idx="2">
                  <c:v>100</c:v>
                </c:pt>
                <c:pt idx="3">
                  <c:v>100</c:v>
                </c:pt>
                <c:pt idx="4">
                  <c:v>100</c:v>
                </c:pt>
                <c:pt idx="5">
                  <c:v>100</c:v>
                </c:pt>
                <c:pt idx="6">
                  <c:v>100</c:v>
                </c:pt>
                <c:pt idx="7">
                  <c:v>99.96</c:v>
                </c:pt>
                <c:pt idx="8">
                  <c:v>100.01</c:v>
                </c:pt>
                <c:pt idx="9">
                  <c:v>100.02</c:v>
                </c:pt>
                <c:pt idx="10">
                  <c:v>100.02</c:v>
                </c:pt>
                <c:pt idx="11">
                  <c:v>100.02</c:v>
                </c:pt>
                <c:pt idx="12">
                  <c:v>100.02</c:v>
                </c:pt>
                <c:pt idx="13">
                  <c:v>100.02</c:v>
                </c:pt>
                <c:pt idx="14">
                  <c:v>100.04</c:v>
                </c:pt>
                <c:pt idx="15">
                  <c:v>100.04</c:v>
                </c:pt>
                <c:pt idx="16">
                  <c:v>100.04</c:v>
                </c:pt>
                <c:pt idx="17">
                  <c:v>100.05</c:v>
                </c:pt>
                <c:pt idx="18">
                  <c:v>100.05</c:v>
                </c:pt>
                <c:pt idx="19">
                  <c:v>100.07</c:v>
                </c:pt>
                <c:pt idx="20">
                  <c:v>100.1</c:v>
                </c:pt>
                <c:pt idx="21">
                  <c:v>100.06</c:v>
                </c:pt>
                <c:pt idx="22">
                  <c:v>100.1</c:v>
                </c:pt>
                <c:pt idx="23">
                  <c:v>100.06</c:v>
                </c:pt>
                <c:pt idx="24">
                  <c:v>99.66</c:v>
                </c:pt>
                <c:pt idx="25">
                  <c:v>99.56</c:v>
                </c:pt>
                <c:pt idx="26">
                  <c:v>99.39</c:v>
                </c:pt>
                <c:pt idx="27">
                  <c:v>98.68</c:v>
                </c:pt>
                <c:pt idx="28">
                  <c:v>98.85</c:v>
                </c:pt>
                <c:pt idx="29">
                  <c:v>98.07</c:v>
                </c:pt>
                <c:pt idx="30">
                  <c:v>98.44</c:v>
                </c:pt>
                <c:pt idx="31">
                  <c:v>98.66</c:v>
                </c:pt>
                <c:pt idx="32">
                  <c:v>99.8</c:v>
                </c:pt>
                <c:pt idx="33">
                  <c:v>99.35</c:v>
                </c:pt>
                <c:pt idx="34">
                  <c:v>98.3</c:v>
                </c:pt>
                <c:pt idx="35">
                  <c:v>98.61</c:v>
                </c:pt>
                <c:pt idx="36">
                  <c:v>97.82</c:v>
                </c:pt>
                <c:pt idx="37">
                  <c:v>100.12</c:v>
                </c:pt>
                <c:pt idx="38">
                  <c:v>100.76</c:v>
                </c:pt>
              </c:numCache>
            </c:numRef>
          </c:yVal>
          <c:smooth val="1"/>
          <c:extLst>
            <c:ext xmlns:c16="http://schemas.microsoft.com/office/drawing/2014/chart" uri="{C3380CC4-5D6E-409C-BE32-E72D297353CC}">
              <c16:uniqueId val="{00000005-3DD4-4CCD-AC75-58D7E7D73667}"/>
            </c:ext>
          </c:extLst>
        </c:ser>
        <c:ser>
          <c:idx val="6"/>
          <c:order val="6"/>
          <c:tx>
            <c:strRef>
              <c:f>Sheet1!$H$1:$H$2</c:f>
              <c:strCache>
                <c:ptCount val="2"/>
                <c:pt idx="0">
                  <c:v>Case 3 Voltage (%) Discharging</c:v>
                </c:pt>
              </c:strCache>
            </c:strRef>
          </c:tx>
          <c:spPr>
            <a:ln w="19050"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xVal>
            <c:strRef>
              <c:f>Sheet1!$A$3:$A$41</c:f>
              <c:strCache>
                <c:ptCount val="39"/>
                <c:pt idx="0">
                  <c:v>Bus 1</c:v>
                </c:pt>
                <c:pt idx="1">
                  <c:v>Bus 2</c:v>
                </c:pt>
                <c:pt idx="2">
                  <c:v>Bus 3</c:v>
                </c:pt>
                <c:pt idx="3">
                  <c:v>Bus 4</c:v>
                </c:pt>
                <c:pt idx="4">
                  <c:v>Bus 5</c:v>
                </c:pt>
                <c:pt idx="5">
                  <c:v>Bus 6</c:v>
                </c:pt>
                <c:pt idx="6">
                  <c:v>Bus 7</c:v>
                </c:pt>
                <c:pt idx="7">
                  <c:v>Bus 8</c:v>
                </c:pt>
                <c:pt idx="8">
                  <c:v>Bus 9</c:v>
                </c:pt>
                <c:pt idx="9">
                  <c:v>Bus 10</c:v>
                </c:pt>
                <c:pt idx="10">
                  <c:v>Bus 11</c:v>
                </c:pt>
                <c:pt idx="11">
                  <c:v>Bus 12</c:v>
                </c:pt>
                <c:pt idx="12">
                  <c:v>Bus 13</c:v>
                </c:pt>
                <c:pt idx="13">
                  <c:v>Bus 14</c:v>
                </c:pt>
                <c:pt idx="14">
                  <c:v>Bus 15</c:v>
                </c:pt>
                <c:pt idx="15">
                  <c:v>Bus 16</c:v>
                </c:pt>
                <c:pt idx="16">
                  <c:v>Bus 17</c:v>
                </c:pt>
                <c:pt idx="17">
                  <c:v>Bus 18</c:v>
                </c:pt>
                <c:pt idx="18">
                  <c:v>Bus 19</c:v>
                </c:pt>
                <c:pt idx="19">
                  <c:v>Bus 20</c:v>
                </c:pt>
                <c:pt idx="20">
                  <c:v>Bus 21</c:v>
                </c:pt>
                <c:pt idx="21">
                  <c:v>Bus 22</c:v>
                </c:pt>
                <c:pt idx="22">
                  <c:v>Bus 23</c:v>
                </c:pt>
                <c:pt idx="23">
                  <c:v>Bus 24</c:v>
                </c:pt>
                <c:pt idx="24">
                  <c:v>Bus 25</c:v>
                </c:pt>
                <c:pt idx="25">
                  <c:v>Bus 26</c:v>
                </c:pt>
                <c:pt idx="26">
                  <c:v>Bus 27</c:v>
                </c:pt>
                <c:pt idx="27">
                  <c:v>Bus 28</c:v>
                </c:pt>
                <c:pt idx="28">
                  <c:v>Bus 29</c:v>
                </c:pt>
                <c:pt idx="29">
                  <c:v>Bus 30</c:v>
                </c:pt>
                <c:pt idx="30">
                  <c:v>Bus 31</c:v>
                </c:pt>
                <c:pt idx="31">
                  <c:v>Bus 32</c:v>
                </c:pt>
                <c:pt idx="32">
                  <c:v>Bus 33</c:v>
                </c:pt>
                <c:pt idx="33">
                  <c:v>Bus 34</c:v>
                </c:pt>
                <c:pt idx="34">
                  <c:v>Bus 35</c:v>
                </c:pt>
                <c:pt idx="35">
                  <c:v>Bus 36</c:v>
                </c:pt>
                <c:pt idx="36">
                  <c:v>Bus 37</c:v>
                </c:pt>
                <c:pt idx="37">
                  <c:v>Bus 38</c:v>
                </c:pt>
                <c:pt idx="38">
                  <c:v>Bus 39</c:v>
                </c:pt>
              </c:strCache>
            </c:strRef>
          </c:xVal>
          <c:yVal>
            <c:numRef>
              <c:f>Sheet1!$H$3:$H$41</c:f>
              <c:numCache>
                <c:formatCode>General</c:formatCode>
                <c:ptCount val="39"/>
                <c:pt idx="0">
                  <c:v>100</c:v>
                </c:pt>
                <c:pt idx="1">
                  <c:v>100</c:v>
                </c:pt>
                <c:pt idx="2">
                  <c:v>100</c:v>
                </c:pt>
                <c:pt idx="3">
                  <c:v>100</c:v>
                </c:pt>
                <c:pt idx="4">
                  <c:v>100</c:v>
                </c:pt>
                <c:pt idx="5">
                  <c:v>100</c:v>
                </c:pt>
                <c:pt idx="6">
                  <c:v>100</c:v>
                </c:pt>
                <c:pt idx="7">
                  <c:v>99.96</c:v>
                </c:pt>
                <c:pt idx="8">
                  <c:v>100.01</c:v>
                </c:pt>
                <c:pt idx="9">
                  <c:v>100.02</c:v>
                </c:pt>
                <c:pt idx="10">
                  <c:v>100.02</c:v>
                </c:pt>
                <c:pt idx="11">
                  <c:v>100.02</c:v>
                </c:pt>
                <c:pt idx="12">
                  <c:v>100.02</c:v>
                </c:pt>
                <c:pt idx="13">
                  <c:v>100.02</c:v>
                </c:pt>
                <c:pt idx="14">
                  <c:v>100.04</c:v>
                </c:pt>
                <c:pt idx="15">
                  <c:v>100.04</c:v>
                </c:pt>
                <c:pt idx="16">
                  <c:v>100.04</c:v>
                </c:pt>
                <c:pt idx="17">
                  <c:v>100.05</c:v>
                </c:pt>
                <c:pt idx="18">
                  <c:v>100.05</c:v>
                </c:pt>
                <c:pt idx="19">
                  <c:v>100.07</c:v>
                </c:pt>
                <c:pt idx="20">
                  <c:v>100.1</c:v>
                </c:pt>
                <c:pt idx="21">
                  <c:v>100.06</c:v>
                </c:pt>
                <c:pt idx="22">
                  <c:v>100.1</c:v>
                </c:pt>
                <c:pt idx="23">
                  <c:v>100.06</c:v>
                </c:pt>
                <c:pt idx="24">
                  <c:v>99.66</c:v>
                </c:pt>
                <c:pt idx="25">
                  <c:v>99.56</c:v>
                </c:pt>
                <c:pt idx="26">
                  <c:v>99.39</c:v>
                </c:pt>
                <c:pt idx="27">
                  <c:v>98.68</c:v>
                </c:pt>
                <c:pt idx="28">
                  <c:v>98.85</c:v>
                </c:pt>
                <c:pt idx="29">
                  <c:v>98.07</c:v>
                </c:pt>
                <c:pt idx="30">
                  <c:v>98.44</c:v>
                </c:pt>
                <c:pt idx="31">
                  <c:v>98.66</c:v>
                </c:pt>
                <c:pt idx="32">
                  <c:v>99.8</c:v>
                </c:pt>
                <c:pt idx="33">
                  <c:v>99.35</c:v>
                </c:pt>
                <c:pt idx="34">
                  <c:v>98.3</c:v>
                </c:pt>
                <c:pt idx="35">
                  <c:v>98.61</c:v>
                </c:pt>
                <c:pt idx="36">
                  <c:v>97.82</c:v>
                </c:pt>
                <c:pt idx="37">
                  <c:v>100.12</c:v>
                </c:pt>
                <c:pt idx="38">
                  <c:v>100.76</c:v>
                </c:pt>
              </c:numCache>
            </c:numRef>
          </c:yVal>
          <c:smooth val="1"/>
          <c:extLst>
            <c:ext xmlns:c16="http://schemas.microsoft.com/office/drawing/2014/chart" uri="{C3380CC4-5D6E-409C-BE32-E72D297353CC}">
              <c16:uniqueId val="{00000006-3DD4-4CCD-AC75-58D7E7D73667}"/>
            </c:ext>
          </c:extLst>
        </c:ser>
        <c:dLbls>
          <c:showLegendKey val="0"/>
          <c:showVal val="0"/>
          <c:showCatName val="0"/>
          <c:showSerName val="0"/>
          <c:showPercent val="0"/>
          <c:showBubbleSize val="0"/>
        </c:dLbls>
        <c:axId val="2082386575"/>
        <c:axId val="2077615359"/>
      </c:scatterChart>
      <c:valAx>
        <c:axId val="2082386575"/>
        <c:scaling>
          <c:orientation val="minMax"/>
          <c:max val="39"/>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r>
                  <a:rPr lang="en-US" b="1"/>
                  <a:t>Bus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2077615359"/>
        <c:crosses val="autoZero"/>
        <c:crossBetween val="midCat"/>
        <c:majorUnit val="1"/>
      </c:valAx>
      <c:valAx>
        <c:axId val="20776153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r>
                  <a:rPr lang="en-US" b="1"/>
                  <a:t>Voltage (%)</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2082386575"/>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latin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AC Losses</c:v>
          </c:tx>
          <c:spPr>
            <a:solidFill>
              <a:schemeClr val="accent1"/>
            </a:solidFill>
            <a:ln>
              <a:noFill/>
            </a:ln>
            <a:effectLst/>
          </c:spPr>
          <c:invertIfNegative val="0"/>
          <c:cat>
            <c:strRef>
              <c:f>Sheet1!$P$49:$P$52</c:f>
              <c:strCache>
                <c:ptCount val="4"/>
                <c:pt idx="0">
                  <c:v>Case 0</c:v>
                </c:pt>
                <c:pt idx="1">
                  <c:v>Case 1</c:v>
                </c:pt>
                <c:pt idx="2">
                  <c:v>Case 2</c:v>
                </c:pt>
                <c:pt idx="3">
                  <c:v>Case 3</c:v>
                </c:pt>
              </c:strCache>
            </c:strRef>
          </c:cat>
          <c:val>
            <c:numRef>
              <c:f>Sheet1!$Q$49:$Q$52</c:f>
              <c:numCache>
                <c:formatCode>General</c:formatCode>
                <c:ptCount val="4"/>
                <c:pt idx="0">
                  <c:v>6.4000000000000001E-2</c:v>
                </c:pt>
                <c:pt idx="1">
                  <c:v>3.5000000000000003E-2</c:v>
                </c:pt>
                <c:pt idx="2">
                  <c:v>4.2999999999999997E-2</c:v>
                </c:pt>
                <c:pt idx="3">
                  <c:v>0.08</c:v>
                </c:pt>
              </c:numCache>
            </c:numRef>
          </c:val>
          <c:extLst>
            <c:ext xmlns:c16="http://schemas.microsoft.com/office/drawing/2014/chart" uri="{C3380CC4-5D6E-409C-BE32-E72D297353CC}">
              <c16:uniqueId val="{00000000-790B-47CA-ACCB-7167B92C043A}"/>
            </c:ext>
          </c:extLst>
        </c:ser>
        <c:ser>
          <c:idx val="1"/>
          <c:order val="1"/>
          <c:tx>
            <c:v>DC Losses</c:v>
          </c:tx>
          <c:spPr>
            <a:solidFill>
              <a:srgbClr val="FF0000"/>
            </a:solidFill>
            <a:ln>
              <a:noFill/>
            </a:ln>
            <a:effectLst/>
          </c:spPr>
          <c:invertIfNegative val="0"/>
          <c:cat>
            <c:strRef>
              <c:f>Sheet1!$P$49:$P$52</c:f>
              <c:strCache>
                <c:ptCount val="4"/>
                <c:pt idx="0">
                  <c:v>Case 0</c:v>
                </c:pt>
                <c:pt idx="1">
                  <c:v>Case 1</c:v>
                </c:pt>
                <c:pt idx="2">
                  <c:v>Case 2</c:v>
                </c:pt>
                <c:pt idx="3">
                  <c:v>Case 3</c:v>
                </c:pt>
              </c:strCache>
            </c:strRef>
          </c:cat>
          <c:val>
            <c:numRef>
              <c:f>Sheet1!$R$49:$R$52</c:f>
              <c:numCache>
                <c:formatCode>General</c:formatCode>
                <c:ptCount val="4"/>
                <c:pt idx="1">
                  <c:v>0.03</c:v>
                </c:pt>
                <c:pt idx="2">
                  <c:v>2.2000000000000002E-2</c:v>
                </c:pt>
                <c:pt idx="3">
                  <c:v>7.8E-2</c:v>
                </c:pt>
              </c:numCache>
            </c:numRef>
          </c:val>
          <c:extLst>
            <c:ext xmlns:c16="http://schemas.microsoft.com/office/drawing/2014/chart" uri="{C3380CC4-5D6E-409C-BE32-E72D297353CC}">
              <c16:uniqueId val="{00000001-790B-47CA-ACCB-7167B92C043A}"/>
            </c:ext>
          </c:extLst>
        </c:ser>
        <c:dLbls>
          <c:showLegendKey val="0"/>
          <c:showVal val="0"/>
          <c:showCatName val="0"/>
          <c:showSerName val="0"/>
          <c:showPercent val="0"/>
          <c:showBubbleSize val="0"/>
        </c:dLbls>
        <c:gapWidth val="219"/>
        <c:overlap val="-27"/>
        <c:axId val="1138435152"/>
        <c:axId val="1138439952"/>
      </c:barChart>
      <c:catAx>
        <c:axId val="113843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1138439952"/>
        <c:crosses val="autoZero"/>
        <c:auto val="1"/>
        <c:lblAlgn val="ctr"/>
        <c:lblOffset val="100"/>
        <c:noMultiLvlLbl val="0"/>
      </c:catAx>
      <c:valAx>
        <c:axId val="1138439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r>
                  <a:rPr lang="en-US"/>
                  <a:t>Losses [MW]</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crossAx val="1138435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baseline="0">
          <a:solidFill>
            <a:sysClr val="windowText" lastClr="000000"/>
          </a:solidFill>
          <a:latin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9Ca09</b:Tag>
    <b:SourceType>ConferenceProceedings</b:SourceType>
    <b:Guid>{E5B62369-C2E7-4F2A-94BE-B4A4D1E1B515}</b:Guid>
    <b:Author>
      <b:Author>
        <b:NameList>
          <b:Person>
            <b:Last>[10] Carbone</b:Last>
            <b:First>R.</b:First>
          </b:Person>
        </b:NameList>
      </b:Author>
    </b:Author>
    <b:Title>Grid-connected photovoltaic systems with energy storage</b:Title>
    <b:Year>2009</b:Year>
    <b:Pages>760-767</b:Pages>
    <b:ConferenceName>International Conference on Clean Electrical Power</b:ConferenceName>
    <b:City>Capri, Italy</b:City>
    <b:RefOrder>1</b:RefOrder>
  </b:Source>
  <b:Source>
    <b:Tag>Moi18</b:Tag>
    <b:SourceType>JournalArticle</b:SourceType>
    <b:Guid>{F424050E-7970-43FE-8969-6A24829B847A}</b:Guid>
    <b:Author>
      <b:Author>
        <b:NameList>
          <b:Person>
            <b:Last>[01] Moien A. Omar</b:Last>
            <b:First>Marwan</b:First>
            <b:Middle>M. Mahmoud,</b:Middle>
          </b:Person>
        </b:NameList>
      </b:Author>
    </b:Author>
    <b:Title>Grid connected PV- home systems in Palestine: A review on technical performance, effects and economic feasibility,</b:Title>
    <b:JournalName>Renewable and Sustainable Energy Reviews</b:JournalName>
    <b:Year>2018</b:Year>
    <b:Pages>2490-2497</b:Pages>
    <b:Medium>Volume 82, Part 3</b:Medium>
    <b:RefOrder>2</b:RefOrder>
  </b:Source>
  <b:Source>
    <b:Tag>Kha21</b:Tag>
    <b:SourceType>JournalArticle</b:SourceType>
    <b:Guid>{7A9392BF-933E-4F64-924F-F7933E9E5768}</b:Guid>
    <b:Author>
      <b:Author>
        <b:NameList>
          <b:Person>
            <b:Last>[02] Khatib</b:Last>
            <b:First>T.</b:First>
          </b:Person>
          <b:Person>
            <b:Last>Bazyan</b:Last>
            <b:First>A.</b:First>
          </b:Person>
          <b:Person>
            <b:Last>Assi</b:Last>
            <b:First>H.</b:First>
          </b:Person>
          <b:Person>
            <b:Last>Malhis</b:Last>
            <b:First>S.</b:First>
          </b:Person>
        </b:NameList>
      </b:Author>
    </b:Author>
    <b:Title>Palestine Energy Policy for Photovoltaic Generation: Current Status and What Should Be Next?</b:Title>
    <b:JournalName>Sustainability</b:JournalName>
    <b:Year>2021</b:Year>
    <b:Pages>13(5)</b:Pages>
    <b:RefOrder>3</b:RefOrder>
  </b:Source>
  <b:Source>
    <b:Tag>3Al15</b:Tag>
    <b:SourceType>Book</b:SourceType>
    <b:Guid>{83E233C5-C18E-47B3-B6B1-ADA5E44A7279}</b:Guid>
    <b:Author>
      <b:Author>
        <b:NameList>
          <b:Person>
            <b:Last>[03] Awwad</b:Last>
            <b:First>Alaa</b:First>
            <b:Middle>Inad Mahmoud</b:Middle>
          </b:Person>
        </b:NameList>
      </b:Author>
    </b:Author>
    <b:Title>Techno-Economic Evaluation and Improvement Possibilities of Local Grid Connected Housr-PV Power System</b:Title>
    <b:Year>2015</b:Year>
    <b:City>Palestine</b:City>
    <b:Publisher>M.Sc Thesis presented to An- Njah Nationak University.</b:Publisher>
    <b:RefOrder>4</b:RefOrder>
  </b:Source>
  <b:Source>
    <b:Tag>4Ib20</b:Tag>
    <b:SourceType>Book</b:SourceType>
    <b:Guid>{81E4EF49-041C-4636-AA1E-91E1B28D5F3F}</b:Guid>
    <b:Author>
      <b:Author>
        <b:NameList>
          <b:Person>
            <b:Last>[04] Ibrik</b:Last>
            <b:First>Imad</b:First>
          </b:Person>
        </b:NameList>
      </b:Author>
    </b:Author>
    <b:Title>Micro-Grid Solar Photovoltaic Systems for Rural Development and Sustainable Agriculture in Palestine</b:Title>
    <b:Year>2020</b:Year>
    <b:Publisher>Agronomy 10</b:Publisher>
    <b:RefOrder>5</b:RefOrder>
  </b:Source>
  <b:Source>
    <b:Tag>Suy20</b:Tag>
    <b:SourceType>JournalArticle</b:SourceType>
    <b:Guid>{77B5C636-5621-4708-A757-3C12D9AB361C}</b:Guid>
    <b:Author>
      <b:Author>
        <b:NameList>
          <b:Person>
            <b:Last>[05] Suyanto</b:Last>
            <b:First>Heri</b:First>
            <b:Middle>and Hafidz, M and Alvianingsih, Ginas</b:Middle>
          </b:Person>
        </b:NameList>
      </b:Author>
    </b:Author>
    <b:Title>Transient Stability Analysis of a Hybrid Grid-Connected Battery-PV in Baubau Power System</b:Title>
    <b:Year>2020</b:Year>
    <b:JournalName>2020 2nd International Conference on Industrial Electrical and Electronics (ICIEE)</b:JournalName>
    <b:Pages>27-30</b:Pages>
    <b:RefOrder>6</b:RefOrder>
  </b:Source>
  <b:Source>
    <b:Tag>6QT18</b:Tag>
    <b:SourceType>JournalArticle</b:SourceType>
    <b:Guid>{6BAF4E55-07FE-4971-82ED-7D0BD3FF756D}</b:Guid>
    <b:Author>
      <b:Author>
        <b:NameList>
          <b:Person>
            <b:Last>[06] Tran</b:Last>
            <b:First>Quoc-Tuan</b:First>
            <b:Middle>and Cong Pham, M. and Parent, L. and Sousa, K.</b:Middle>
          </b:Person>
        </b:NameList>
      </b:Author>
    </b:Author>
    <b:Title>Integration of PV Systems into Grid: From Impact Analysis to Solutions</b:Title>
    <b:Year>2018</b:Year>
    <b:JournalName>IEEE International Conference on Environment and Electrical Engineering</b:JournalName>
    <b:Pages>1-6</b:Pages>
    <b:RefOrder>7</b:RefOrder>
  </b:Source>
  <b:Source>
    <b:Tag>7Fo22</b:Tag>
    <b:SourceType>JournalArticle</b:SourceType>
    <b:Guid>{75FC06C0-D0FC-4B8D-9BEB-EBC20541C32C}</b:Guid>
    <b:Author>
      <b:Author>
        <b:NameList>
          <b:Person>
            <b:Last>[07] Forson Peprah</b:Last>
            <b:First>Samuel</b:First>
            <b:Middle>Gyamfi, Mark Amo-Boateng, Eric Effah-Donyina,</b:Middle>
          </b:Person>
        </b:NameList>
      </b:Author>
    </b:Author>
    <b:Title>Impact assessment of grid tied rooftop PV systems on LV distribution network</b:Title>
    <b:JournalName>Scientific African</b:JournalName>
    <b:Year>2022</b:Year>
    <b:Medium>V16</b:Medium>
    <b:RefOrder>8</b:RefOrder>
  </b:Source>
  <b:Source>
    <b:Tag>8Sa18</b:Tag>
    <b:SourceType>JournalArticle</b:SourceType>
    <b:Guid>{0C17BDF7-4D3C-4A4F-8F8A-F03A7BBFCAD6}</b:Guid>
    <b:Author>
      <b:Author>
        <b:NameList>
          <b:Person>
            <b:Last>[08] Saif Ur Rehman</b:Last>
            <b:First>Shafiqur</b:First>
            <b:Middle>Rehman, Muhammad Shoaib, and Imran Ahmad Siddiqui</b:Middle>
          </b:Person>
        </b:NameList>
      </b:Author>
    </b:Author>
    <b:Title>Feasibility Study of a Grid-Tied Photovoltaic System for Household in Pakistan: Considering an Unreliable Electric Grid</b:Title>
    <b:JournalName>Wiley Online Library</b:JournalName>
    <b:Year>2018</b:Year>
    <b:RefOrder>9</b:RefOrder>
  </b:Source>
  <b:Source>
    <b:Tag>9Na17</b:Tag>
    <b:SourceType>JournalArticle</b:SourceType>
    <b:Guid>{15BD53C4-2A2E-4F66-A449-BBC49C206802}</b:Guid>
    <b:Title>Techno-economic analysis of 1 MWp grid connected solar PV plant in Malaysia</b:Title>
    <b:Year>2017</b:Year>
    <b:Author>
      <b:Author>
        <b:NameList>
          <b:Person>
            <b:Last>[09] Nallapaneni Manoj Kumar</b:Last>
            <b:First>K.</b:First>
            <b:Middle>Sudhakar &amp; Mahendran Samykano</b:Middle>
          </b:Person>
        </b:NameList>
      </b:Author>
    </b:Author>
    <b:JournalName>International</b:JournalName>
    <b:RefOrder>10</b:RefOrder>
  </b:Source>
  <b:Source>
    <b:Tag>11Y13</b:Tag>
    <b:SourceType>JournalArticle</b:SourceType>
    <b:Guid>{E19BFD46-DF74-4622-A1B3-BBF6C53447AE}</b:Guid>
    <b:Author>
      <b:Author>
        <b:NameList>
          <b:Person>
            <b:Last>[11] Y. Ru</b:Last>
            <b:First>J.</b:First>
            <b:Middle>Kleissl and S. Martinez</b:Middle>
          </b:Person>
        </b:NameList>
      </b:Author>
    </b:Author>
    <b:Title>Storage Size Determination for Grid-Connected Photovoltaic Systems,</b:Title>
    <b:JournalName>IEEE Transactions on Sustainable Energy</b:JournalName>
    <b:Year>2013</b:Year>
    <b:Pages>68-81</b:Pages>
    <b:Medium>vol. 4, no. 1</b:Medium>
    <b:RefOrder>11</b:RefOrder>
  </b:Source>
  <b:Source>
    <b:Tag>12B17</b:Tag>
    <b:SourceType>JournalArticle</b:SourceType>
    <b:Guid>{6AE9F5D9-ADEA-4053-B826-461B5CF399A5}</b:Guid>
    <b:Author>
      <b:Author>
        <b:NameList>
          <b:Person>
            <b:Last>[12] Balint D. Olaszi</b:Last>
            <b:First>Jozsef</b:First>
            <b:Middle>Ladanyi,</b:Middle>
          </b:Person>
        </b:NameList>
      </b:Author>
    </b:Author>
    <b:Title>Comparison of different discharge strategies of grid-connected residential PV systems with energy storage in perspective of optimal battery energy storage system sizing</b:Title>
    <b:JournalName>Renewable and Sustainable Energy Reviews</b:JournalName>
    <b:Year>2017</b:Year>
    <b:Pages>710-718</b:Pages>
    <b:Medium>Volume 75</b:Medium>
    <b:RefOrder>12</b:RefOrder>
  </b:Source>
  <b:Source>
    <b:Tag>13V19</b:Tag>
    <b:SourceType>JournalArticle</b:SourceType>
    <b:Guid>{E47C423F-AD7E-414A-A331-4D90A51BC3F1}</b:Guid>
    <b:Author>
      <b:Author>
        <b:NameList>
          <b:Person>
            <b:Last>[13] V. Rallabandi</b:Last>
            <b:First>O.</b:First>
            <b:Middle>M. Akeyo, N. Jewell and D. M. Ionel</b:Middle>
          </b:Person>
        </b:NameList>
      </b:Author>
    </b:Author>
    <b:Title>Incorporating Battery Energy Storage Systems Into Multi-MW Grid Connected PV Systems</b:Title>
    <b:JournalName> IEEE Transactions on Industry Applications</b:JournalName>
    <b:Year>2019</b:Year>
    <b:Pages>638-647</b:Pages>
    <b:Medium>vol. 55, no. 1</b:Medium>
    <b:RefOrder>13</b:RefOrder>
  </b:Source>
  <b:Source>
    <b:Tag>14A12</b:Tag>
    <b:SourceType>JournalArticle</b:SourceType>
    <b:Guid>{A5E597A3-29E7-45CD-8048-FA73167FD4D5}</b:Guid>
    <b:Author>
      <b:Author>
        <b:NameList>
          <b:Person>
            <b:Last>[14] A.A. Solomon</b:Last>
            <b:First>D.</b:First>
            <b:Middle>Faiman, G. Meron</b:Middle>
          </b:Person>
        </b:NameList>
      </b:Author>
    </b:Author>
    <b:Title>Appropriate storage for high-penetration grid-connected photovoltaic plants</b:Title>
    <b:JournalName>Energy Policy</b:JournalName>
    <b:Year>2012</b:Year>
    <b:Pages>335-344</b:Pages>
    <b:Medium>Volume 40</b:Medium>
    <b:RefOrder>14</b:RefOrder>
  </b:Source>
  <b:Source>
    <b:Tag>15X07</b:Tag>
    <b:SourceType>ConferenceProceedings</b:SourceType>
    <b:Guid>{76B1100A-AAD7-401D-8F2E-CD5339E8CA77}</b:Guid>
    <b:Author>
      <b:Author>
        <b:NameList>
          <b:Person>
            <b:Last>[15] X. Vallve</b:Last>
            <b:First>A.</b:First>
            <b:Middle>Graillot, S. Gual and H. Colin</b:Middle>
          </b:Person>
        </b:NameList>
      </b:Author>
    </b:Author>
    <b:Title>Micro storage and demand side management in distributed PV grid-connected installations</b:Title>
    <b:Year>2007</b:Year>
    <b:Pages>1-6</b:Pages>
    <b:ConferenceName>9th International Conference on Electrical Power Quality and Utilisation</b:ConferenceName>
    <b:City>Barcelona, Spain</b:City>
    <b:RefOrder>15</b:RefOrder>
  </b:Source>
  <b:Source>
    <b:Tag>16M21</b:Tag>
    <b:SourceType>JournalArticle</b:SourceType>
    <b:Guid>{DA64CC1F-CD9B-447A-A266-39877A7CB699}</b:Guid>
    <b:Title>Modeling a residential grid-connected PV system with battery–supercapacitor storage: Control design and stability analysis</b:Title>
    <b:Pages>4988-5002</b:Pages>
    <b:Year>2021</b:Year>
    <b:Author>
      <b:Author>
        <b:NameList>
          <b:Person>
            <b:Last>[16] Maria C. Argyrou</b:Last>
            <b:First>Christos</b:First>
            <b:Middle>C. Marouchos, Soteris A. Kalogirou, Paul Christodoulides,</b:Middle>
          </b:Person>
        </b:NameList>
      </b:Author>
    </b:Author>
    <b:JournalName>Energy Reports</b:JournalName>
    <b:RefOrder>16</b:RefOrder>
  </b:Source>
  <b:Source>
    <b:Tag>Mas22</b:Tag>
    <b:SourceType>JournalArticle</b:SourceType>
    <b:Guid>{65BB34AB-C54D-44B6-939D-C29483E46321}</b:Guid>
    <b:Author>
      <b:Author>
        <b:NameList>
          <b:Person>
            <b:Last>[17] Masoume Shabani</b:Last>
            <b:First>Fredrik</b:First>
            <b:Middle>Wallin, Erik Dahlquist, Jinyue Yan,</b:Middle>
          </b:Person>
        </b:NameList>
      </b:Author>
    </b:Author>
    <b:Title>Techno-economic assessment of battery storage integrated into a grid-connected and solar-powered residential building under different battery ageing models</b:Title>
    <b:JournalName>Applied Energy</b:JournalName>
    <b:Year>2022</b:Year>
    <b:Pages>Volume 318</b:Pages>
    <b:RefOrder>17</b:RefOrder>
  </b:Source>
  <b:Source>
    <b:Tag>18M20</b:Tag>
    <b:SourceType>JournalArticle</b:SourceType>
    <b:Guid>{00A245A0-D5B2-43A7-B44C-65840B60FFCD}</b:Guid>
    <b:Author>
      <b:Author>
        <b:NameList>
          <b:Person>
            <b:Last>[18] Montaser Mahmoud</b:Last>
            <b:First>Mohamad</b:First>
            <b:Middle>Ramadan, et al</b:Middle>
          </b:Person>
        </b:NameList>
      </b:Author>
    </b:Author>
    <b:Title>A review of mechanical energy storage systems combined with wind and solar applications</b:Title>
    <b:JournalName>Energy Conversion and Management</b:JournalName>
    <b:Year>2020</b:Year>
    <b:RefOrder>18</b:RefOrder>
  </b:Source>
  <b:Source>
    <b:Tag>19S21</b:Tag>
    <b:SourceType>JournalArticle</b:SourceType>
    <b:Guid>{93854ED3-EEC4-42B0-9CC7-63E60011C7C3}</b:Guid>
    <b:Author>
      <b:Author>
        <b:NameList>
          <b:Person>
            <b:Last>[19] Subhashree</b:Last>
            <b:First>Choudhury</b:First>
          </b:Person>
        </b:NameList>
      </b:Author>
    </b:Author>
    <b:Title>Flywheel energy storage systems: A critical review on technologies, applications, and future prospects</b:Title>
    <b:JournalName>Wiley</b:JournalName>
    <b:Year>2021</b:Year>
    <b:RefOrder>19</b:RefOrder>
  </b:Source>
  <b:Source>
    <b:Tag>21A20</b:Tag>
    <b:SourceType>JournalArticle</b:SourceType>
    <b:Guid>{C74E9F15-7BD1-4AE1-9214-8DC211862E37}</b:Guid>
    <b:Author>
      <b:Author>
        <b:NameList>
          <b:Person>
            <b:Last>[21] Ahmed Zayed AL Shaqsi</b:Last>
            <b:First>Kamaruzzaman</b:First>
            <b:Middle>Sopian, Amer Al-Hinai</b:Middle>
          </b:Person>
        </b:NameList>
      </b:Author>
    </b:Author>
    <b:Title>Review of energy storage services, applications, limitations, and benefits</b:Title>
    <b:JournalName>Energy Reports</b:JournalName>
    <b:Year>2020</b:Year>
    <b:Pages>288-306</b:Pages>
    <b:RefOrder>20</b:RefOrder>
  </b:Source>
  <b:Source>
    <b:Tag>20A20</b:Tag>
    <b:SourceType>JournalArticle</b:SourceType>
    <b:Guid>{A4A3CE73-3AC5-455F-BBCE-97E2F3C2835E}</b:Guid>
    <b:Author>
      <b:Author>
        <b:NameList>
          <b:Person>
            <b:Last>[20] A.G. Olabi</b:Last>
            <b:First>Tabbi</b:First>
            <b:Middle>Wilberforce, Mohamad Ramadan, et al</b:Middle>
          </b:Person>
        </b:NameList>
      </b:Author>
    </b:Author>
    <b:Title>Compressed air energy storage systems: Components and operating parameters – A review</b:Title>
    <b:JournalName>Journal of Energy Storage</b:JournalName>
    <b:Year>2020</b:Year>
    <b:RefOrder>21</b:RefOrder>
  </b:Source>
  <b:Source>
    <b:Tag>22T20</b:Tag>
    <b:SourceType>JournalArticle</b:SourceType>
    <b:Guid>{87700F0E-7B94-4A61-AA73-E73AEDBE5EF0}</b:Guid>
    <b:Author>
      <b:Author>
        <b:NameList>
          <b:Person>
            <b:Last>[22] Tianmei Chen</b:Last>
            <b:First>Yi</b:First>
            <b:Middle>Jin, Hanyu Lv2, et al</b:Middle>
          </b:Person>
        </b:NameList>
      </b:Author>
    </b:Author>
    <b:Title>Applications of Lithium‑Ion Batteries in Grid‑Scale Energy Storage Systems</b:Title>
    <b:JournalName>Transactions of Tianjin University</b:JournalName>
    <b:Year>2020</b:Year>
    <b:RefOrder>22</b:RefOrder>
  </b:Source>
  <b:Source>
    <b:Tag>23X15</b:Tag>
    <b:SourceType>JournalArticle</b:SourceType>
    <b:Guid>{A86F4D5F-62CC-4826-89CF-489EDB57F507}</b:Guid>
    <b:Author>
      <b:Author>
        <b:NameList>
          <b:Person>
            <b:Last>[23] Xing Luo</b:Last>
            <b:First>Jihong</b:First>
            <b:Middle>Wang, Mark Dooner, Jonathan Clarke</b:Middle>
          </b:Person>
        </b:NameList>
      </b:Author>
    </b:Author>
    <b:Title>Overview of current development in electrical energy storage technologies and the application potential in power system operation</b:Title>
    <b:JournalName>Applied Energy</b:JournalName>
    <b:Year>2015</b:Year>
    <b:Pages>511-536</b:Pages>
    <b:RefOrder>23</b:RefOrder>
  </b:Source>
  <b:Source>
    <b:Tag>AGO20</b:Tag>
    <b:SourceType>JournalArticle</b:SourceType>
    <b:Guid>{1051D98C-7628-4EBD-9025-E6248117228F}</b:Guid>
    <b:Author>
      <b:Author>
        <b:NameList>
          <b:Person>
            <b:Last>[24] A.G. Olabi</b:Last>
            <b:First>Tabbi</b:First>
            <b:Middle>Wilberforce, Mohamad Ramadan, et al</b:Middle>
          </b:Person>
        </b:NameList>
      </b:Author>
    </b:Author>
    <b:Title>Compressed air energy storage systems: Components and operating parameters – A review</b:Title>
    <b:JournalName>Journal of Energy Storage</b:JournalName>
    <b:Year>2020</b:Year>
    <b:RefOrder>24</b:RefOrder>
  </b:Source>
  <b:Source>
    <b:Tag>25A</b:Tag>
    <b:SourceType>JournalArticle</b:SourceType>
    <b:Guid>{B69A0978-0A72-4846-8172-C728B7074FE6}</b:Guid>
    <b:Author>
      <b:Author>
        <b:NameList>
          <b:Person>
            <b:Last>[25] Ashleigh Townsend</b:Last>
            <b:First>Rupert</b:First>
            <b:Middle>Gouws</b:Middle>
          </b:Person>
        </b:NameList>
      </b:Author>
    </b:Author>
    <b:Title>A Comparative Review of Lead-Acid, Lithium-Ion and Ultra-Capacitor Technologies and Their Degradation Mechanisms</b:Title>
    <b:JournalName>Energies</b:JournalName>
    <b:Year>2022</b:Year>
    <b:Pages>15(13)</b:Pages>
    <b:RefOrder>25</b:RefOrder>
  </b:Source>
</b:Sources>
</file>

<file path=customXml/itemProps1.xml><?xml version="1.0" encoding="utf-8"?>
<ds:datastoreItem xmlns:ds="http://schemas.openxmlformats.org/officeDocument/2006/customXml" ds:itemID="{D48F2128-7419-406E-BD70-3D8666F79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82</Pages>
  <Words>20308</Words>
  <Characters>115760</Characters>
  <Application>Microsoft Office Word</Application>
  <DocSecurity>0</DocSecurity>
  <Lines>964</Lines>
  <Paragraphs>271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Aysar</dc:creator>
  <cp:keywords/>
  <dc:description/>
  <cp:lastModifiedBy>ZEEDAN M. Z. TAHA</cp:lastModifiedBy>
  <cp:revision>16</cp:revision>
  <cp:lastPrinted>2025-08-11T12:24:00Z</cp:lastPrinted>
  <dcterms:created xsi:type="dcterms:W3CDTF">2025-06-26T11:44:00Z</dcterms:created>
  <dcterms:modified xsi:type="dcterms:W3CDTF">2025-08-13T15:38:00Z</dcterms:modified>
</cp:coreProperties>
</file>