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4A43" w:rsidRDefault="00C54A43" w:rsidP="00C54A43">
      <w:pPr>
        <w:jc w:val="both"/>
        <w:rPr>
          <w:rStyle w:val="tlid-translation"/>
          <w:rtl/>
        </w:rPr>
      </w:pPr>
      <w:r>
        <w:rPr>
          <w:rStyle w:val="tlid-translation"/>
          <w:rtl/>
        </w:rPr>
        <w:t>اجتذب استخدام الطيف غير الم</w:t>
      </w:r>
      <w:r>
        <w:rPr>
          <w:rStyle w:val="tlid-translation"/>
          <w:rFonts w:hint="cs"/>
          <w:rtl/>
        </w:rPr>
        <w:t>ُ</w:t>
      </w:r>
      <w:r>
        <w:rPr>
          <w:rStyle w:val="tlid-translation"/>
          <w:rtl/>
        </w:rPr>
        <w:t>رخص</w:t>
      </w:r>
      <w:r>
        <w:rPr>
          <w:rStyle w:val="tlid-translation"/>
          <w:rtl/>
        </w:rPr>
        <w:t xml:space="preserve"> بواسطة مشغلي الشبكات المتنقلة </w:t>
      </w:r>
      <w:r>
        <w:rPr>
          <w:rStyle w:val="tlid-translation"/>
          <w:rtl/>
        </w:rPr>
        <w:t xml:space="preserve"> ولا سيما النطاق</w:t>
      </w:r>
      <w:r>
        <w:rPr>
          <w:rStyle w:val="tlid-translation"/>
          <w:rFonts w:hint="cs"/>
          <w:rtl/>
        </w:rPr>
        <w:t xml:space="preserve"> </w:t>
      </w:r>
      <w:r>
        <w:rPr>
          <w:rStyle w:val="tlid-translation"/>
        </w:rPr>
        <w:t xml:space="preserve"> GHz 5</w:t>
      </w:r>
      <w:r>
        <w:rPr>
          <w:rStyle w:val="tlid-translation"/>
          <w:rtl/>
        </w:rPr>
        <w:t>، اهتماماً كبيراً في الآونة الأخيرة ، كما أن هناك طلباً متزايداً على معدلات البيانات العالية في أنظمة الاتصالات اللاسلكية ، ولما كان الطيف المرخص الحالي محدود النطاق الفيزيائي ونطاقات تردد مرخصة جديدة أصبحت نادرة ومكلفة. للرد على هذه الزيادة في القدرة على الاتصال اللاسلكي ، يتطلب الابتكار الذي يركز على التقنيات التي تمكن من الاستخدام الأفضل لأنواع مختلفة من الطيف لحركة المرور خارج الحمل ، بما في ذلك النطاق غير المرخص</w:t>
      </w:r>
      <w:r>
        <w:rPr>
          <w:rStyle w:val="tlid-translation"/>
        </w:rPr>
        <w:t>.</w:t>
      </w:r>
      <w:r>
        <w:rPr>
          <w:rStyle w:val="tlid-translation"/>
          <w:rFonts w:hint="cs"/>
          <w:rtl/>
        </w:rPr>
        <w:t xml:space="preserve"> </w:t>
      </w:r>
    </w:p>
    <w:p w:rsidR="00C54A43" w:rsidRDefault="00C54A43" w:rsidP="00C54A43">
      <w:pPr>
        <w:jc w:val="both"/>
        <w:rPr>
          <w:rStyle w:val="tlid-translation"/>
          <w:rtl/>
        </w:rPr>
      </w:pPr>
      <w:r>
        <w:rPr>
          <w:rStyle w:val="tlid-translation"/>
          <w:rtl/>
        </w:rPr>
        <w:t>ستركز دراستنا على كيفية ضبط مستوى تخصيص الموارد ومستوى التدا</w:t>
      </w:r>
      <w:r>
        <w:rPr>
          <w:rStyle w:val="tlid-translation"/>
          <w:rtl/>
        </w:rPr>
        <w:t>خل بشكل تكيفي وفقًا لشرط الشبكة</w:t>
      </w:r>
      <w:r>
        <w:rPr>
          <w:rStyle w:val="tlid-translation"/>
          <w:rtl/>
        </w:rPr>
        <w:t xml:space="preserve">، باستخدام معايير معدل التحويل المقبول لجميع المستخدمين </w:t>
      </w:r>
      <w:r>
        <w:rPr>
          <w:rStyle w:val="tlid-translation"/>
          <w:rtl/>
        </w:rPr>
        <w:t>وبدون تكبد تكاليف اتصالات مفرطة</w:t>
      </w:r>
      <w:r>
        <w:rPr>
          <w:rStyle w:val="tlid-translation"/>
          <w:rtl/>
        </w:rPr>
        <w:t>، مما يضمن أن</w:t>
      </w:r>
      <w:r>
        <w:rPr>
          <w:rStyle w:val="tlid-translation"/>
        </w:rPr>
        <w:t>—</w:t>
      </w:r>
      <w:r>
        <w:rPr>
          <w:rStyle w:val="tlid-translation"/>
          <w:rFonts w:hint="cs"/>
          <w:rtl/>
        </w:rPr>
        <w:t xml:space="preserve">الجيل الرابع </w:t>
      </w:r>
      <w:r>
        <w:rPr>
          <w:rStyle w:val="tlid-translation"/>
        </w:rPr>
        <w:t xml:space="preserve"> </w:t>
      </w:r>
      <w:r>
        <w:rPr>
          <w:rStyle w:val="tlid-translation"/>
        </w:rPr>
        <w:t xml:space="preserve">  </w:t>
      </w:r>
      <w:r>
        <w:rPr>
          <w:rStyle w:val="tlid-translation"/>
        </w:rPr>
        <w:t xml:space="preserve">LTE </w:t>
      </w:r>
      <w:r>
        <w:rPr>
          <w:rStyle w:val="tlid-translation"/>
          <w:rtl/>
        </w:rPr>
        <w:t>يمكن أن تتعايش مع خدمة</w:t>
      </w:r>
      <w:r>
        <w:rPr>
          <w:rStyle w:val="tlid-translation"/>
        </w:rPr>
        <w:t xml:space="preserve"> Wi-Fi </w:t>
      </w:r>
      <w:r>
        <w:rPr>
          <w:rStyle w:val="tlid-translation"/>
          <w:rtl/>
        </w:rPr>
        <w:t>ودية وعادلة.</w:t>
      </w:r>
    </w:p>
    <w:p w:rsidR="00C54A43" w:rsidRDefault="00C54A43" w:rsidP="00C54A43">
      <w:pPr>
        <w:jc w:val="both"/>
        <w:rPr>
          <w:rtl/>
        </w:rPr>
      </w:pPr>
      <w:r>
        <w:rPr>
          <w:rStyle w:val="tlid-translation"/>
          <w:rtl/>
        </w:rPr>
        <w:t xml:space="preserve"> بالإضافة إلى الالتزام</w:t>
      </w:r>
      <w:r>
        <w:rPr>
          <w:rStyle w:val="tlid-translation"/>
          <w:rtl/>
        </w:rPr>
        <w:t xml:space="preserve"> بمتطلبات الانتظام</w:t>
      </w:r>
      <w:r>
        <w:rPr>
          <w:rStyle w:val="tlid-translation"/>
          <w:rtl/>
        </w:rPr>
        <w:t xml:space="preserve">، سنقوم بالتحقيق في الآليات القادرة على تمكين </w:t>
      </w:r>
      <w:r>
        <w:rPr>
          <w:rStyle w:val="tlid-translation"/>
          <w:rtl/>
        </w:rPr>
        <w:t>التعايش وإدخال طرق اتخاذ القرار</w:t>
      </w:r>
      <w:r>
        <w:rPr>
          <w:rStyle w:val="tlid-translation"/>
          <w:rtl/>
        </w:rPr>
        <w:t>المتعلقة بالتعايش</w:t>
      </w:r>
      <w:r>
        <w:rPr>
          <w:rStyle w:val="tlid-translation"/>
        </w:rPr>
        <w:t>.</w:t>
      </w:r>
    </w:p>
    <w:p w:rsidR="00C54A43" w:rsidRDefault="00C54A43" w:rsidP="00C54A43">
      <w:pPr>
        <w:jc w:val="both"/>
        <w:rPr>
          <w:rtl/>
        </w:rPr>
      </w:pPr>
      <w:bookmarkStart w:id="0" w:name="_GoBack"/>
      <w:bookmarkEnd w:id="0"/>
      <w:r>
        <w:br/>
      </w:r>
      <w:r>
        <w:rPr>
          <w:rStyle w:val="tlid-translation"/>
        </w:rPr>
        <w:t>1.</w:t>
      </w:r>
      <w:r>
        <w:rPr>
          <w:rStyle w:val="tlid-translation"/>
          <w:rtl/>
        </w:rPr>
        <w:t>سندرس الحل</w:t>
      </w:r>
      <w:r>
        <w:rPr>
          <w:rStyle w:val="tlid-translation"/>
          <w:rFonts w:hint="cs"/>
          <w:rtl/>
        </w:rPr>
        <w:t>ول</w:t>
      </w:r>
      <w:r>
        <w:rPr>
          <w:rStyle w:val="tlid-translation"/>
          <w:rtl/>
        </w:rPr>
        <w:t xml:space="preserve"> الموجود ونقارن بينهما</w:t>
      </w:r>
      <w:r>
        <w:rPr>
          <w:rStyle w:val="tlid-translation"/>
        </w:rPr>
        <w:t>.</w:t>
      </w:r>
    </w:p>
    <w:p w:rsidR="00C54A43" w:rsidRDefault="00C54A43" w:rsidP="00C54A43">
      <w:pPr>
        <w:jc w:val="both"/>
        <w:rPr>
          <w:rtl/>
        </w:rPr>
      </w:pPr>
      <w:r>
        <w:br/>
      </w:r>
      <w:r>
        <w:rPr>
          <w:rStyle w:val="tlid-translation"/>
        </w:rPr>
        <w:t>2</w:t>
      </w:r>
      <w:r>
        <w:rPr>
          <w:rStyle w:val="tlid-translation"/>
          <w:rtl/>
        </w:rPr>
        <w:t>سوف نستخدم جهاز محاكاة مفتوح المصدر</w:t>
      </w:r>
      <w:r>
        <w:rPr>
          <w:rStyle w:val="tlid-translation"/>
        </w:rPr>
        <w:t>.</w:t>
      </w:r>
    </w:p>
    <w:p w:rsidR="00C54A43" w:rsidRDefault="00C54A43" w:rsidP="00C54A43">
      <w:pPr>
        <w:jc w:val="both"/>
        <w:rPr>
          <w:rtl/>
        </w:rPr>
      </w:pPr>
      <w:r>
        <w:br/>
      </w:r>
      <w:r>
        <w:rPr>
          <w:rStyle w:val="tlid-translation"/>
        </w:rPr>
        <w:t>3</w:t>
      </w:r>
      <w:r>
        <w:rPr>
          <w:rStyle w:val="tlid-translation"/>
          <w:rtl/>
        </w:rPr>
        <w:t>بناء على المحاكاة</w:t>
      </w:r>
      <w:r>
        <w:rPr>
          <w:rStyle w:val="tlid-translation"/>
          <w:rtl/>
        </w:rPr>
        <w:t>، سنقوم بتعديل طرق التعايش</w:t>
      </w:r>
      <w:r>
        <w:rPr>
          <w:rStyle w:val="tlid-translation"/>
        </w:rPr>
        <w:t>.</w:t>
      </w:r>
    </w:p>
    <w:p w:rsidR="00867126" w:rsidRDefault="00C54A43" w:rsidP="00C54A43">
      <w:pPr>
        <w:jc w:val="both"/>
      </w:pPr>
      <w:r>
        <w:br/>
      </w:r>
      <w:r>
        <w:rPr>
          <w:rStyle w:val="tlid-translation"/>
        </w:rPr>
        <w:t> </w:t>
      </w:r>
      <w:r>
        <w:rPr>
          <w:rStyle w:val="tlid-translation"/>
          <w:rtl/>
        </w:rPr>
        <w:t>حيث يتم استخدام الطي</w:t>
      </w:r>
      <w:r>
        <w:rPr>
          <w:rStyle w:val="tlid-translation"/>
          <w:rtl/>
        </w:rPr>
        <w:t>ف المرخص كمرسى لتوفير اتصال قوي</w:t>
      </w:r>
      <w:r>
        <w:rPr>
          <w:rStyle w:val="tlid-translation"/>
          <w:rtl/>
        </w:rPr>
        <w:t>، في حين يتم تشغيل الطيف غير المرخص كمورد ثانوي لتحسين السرعة. نظرًا لأن</w:t>
      </w:r>
      <w:r>
        <w:rPr>
          <w:rStyle w:val="tlid-translation"/>
        </w:rPr>
        <w:t xml:space="preserve"> LTE-Unlicensed (LTE-U) </w:t>
      </w:r>
      <w:r>
        <w:rPr>
          <w:rStyle w:val="tlid-translation"/>
          <w:rtl/>
        </w:rPr>
        <w:t>توفر للمشتركين تجربة صوتية وبيانات وفيديو عالية الجودة في مواقع ذات حركة مرور عالية أو منخفضة الإشارات ، أو آلية تعايش عادلة مع شبكات أخرى ، مثل</w:t>
      </w:r>
      <w:r>
        <w:rPr>
          <w:rStyle w:val="tlid-translation"/>
        </w:rPr>
        <w:t xml:space="preserve"> Wi-Fi </w:t>
      </w:r>
      <w:r>
        <w:rPr>
          <w:rStyle w:val="tlid-translation"/>
          <w:rtl/>
        </w:rPr>
        <w:t>أو غيرها من شبكات</w:t>
      </w:r>
      <w:r>
        <w:rPr>
          <w:rStyle w:val="tlid-translation"/>
        </w:rPr>
        <w:t xml:space="preserve"> LTE- </w:t>
      </w:r>
      <w:r>
        <w:rPr>
          <w:rStyle w:val="tlid-translation"/>
          <w:rtl/>
        </w:rPr>
        <w:t>غير مرخص</w:t>
      </w:r>
      <w:r>
        <w:rPr>
          <w:rStyle w:val="tlid-translation"/>
        </w:rPr>
        <w:t xml:space="preserve"> (LTE-U) </w:t>
      </w:r>
      <w:r>
        <w:rPr>
          <w:rStyle w:val="tlid-translation"/>
          <w:rtl/>
        </w:rPr>
        <w:t>أمر ضروري. حيث نقترح آليتين للتعايش يمكن توظيفهما لضمان الوصول إلى قناة عادلة. أولاً ، سنقدم أساسيات آلية التعايش ، ومن ثم يتم تحليل أداء نظام الوصلة الهابطة لـ</w:t>
      </w:r>
      <w:r>
        <w:rPr>
          <w:rStyle w:val="tlid-translation"/>
        </w:rPr>
        <w:t xml:space="preserve"> LBT </w:t>
      </w:r>
      <w:r>
        <w:rPr>
          <w:rStyle w:val="tlid-translation"/>
          <w:rtl/>
        </w:rPr>
        <w:t>للتعايش متعدد المشغل</w:t>
      </w:r>
      <w:r>
        <w:rPr>
          <w:rStyle w:val="tlid-translation"/>
        </w:rPr>
        <w:t xml:space="preserve"> LTE-Unlicensed (LTE-U) </w:t>
      </w:r>
      <w:r>
        <w:rPr>
          <w:rStyle w:val="tlid-translation"/>
          <w:rtl/>
        </w:rPr>
        <w:t>مع سيناريوهات المحاكاة المختلفة. مقارنة أداء الوصلة الهابطة للسيناريوهات المختلفة المدفوعة بالآليات القائمة للتعايش مع</w:t>
      </w:r>
      <w:r>
        <w:rPr>
          <w:rStyle w:val="tlid-translation"/>
        </w:rPr>
        <w:t xml:space="preserve"> LBT </w:t>
      </w:r>
      <w:r>
        <w:rPr>
          <w:rStyle w:val="tlid-translation"/>
          <w:rtl/>
        </w:rPr>
        <w:t>واقترحت بعض آليات التعايش والتعديل ، نطرح أولاً آلية التعايش الأكثر موثوقية ، ثم يتم توفير سيناريو التعايش عالي الأداء. نخلص إلى أن الدخول المساعد المرخص</w:t>
      </w:r>
      <w:r>
        <w:rPr>
          <w:rStyle w:val="tlid-translation"/>
        </w:rPr>
        <w:t xml:space="preserve"> (LAA) </w:t>
      </w:r>
      <w:r>
        <w:rPr>
          <w:rStyle w:val="tlid-translation"/>
          <w:rtl/>
        </w:rPr>
        <w:t>يمكن أن يتواجد مع شبكة</w:t>
      </w:r>
      <w:r>
        <w:rPr>
          <w:rStyle w:val="tlid-translation"/>
        </w:rPr>
        <w:t xml:space="preserve"> Wi-Fi </w:t>
      </w:r>
      <w:r>
        <w:rPr>
          <w:rStyle w:val="tlid-translation"/>
          <w:rtl/>
        </w:rPr>
        <w:t>بدون التأثير على شبكة</w:t>
      </w:r>
      <w:r>
        <w:rPr>
          <w:rStyle w:val="tlid-translation"/>
        </w:rPr>
        <w:t xml:space="preserve"> Wi-Fi </w:t>
      </w:r>
      <w:r>
        <w:rPr>
          <w:rStyle w:val="tlid-translation"/>
          <w:rtl/>
        </w:rPr>
        <w:t>أكثر من شبكة</w:t>
      </w:r>
      <w:r>
        <w:rPr>
          <w:rStyle w:val="tlid-translation"/>
        </w:rPr>
        <w:t xml:space="preserve"> Wi-Fi </w:t>
      </w:r>
      <w:r>
        <w:rPr>
          <w:rStyle w:val="tlid-translation"/>
          <w:rtl/>
        </w:rPr>
        <w:t>مكافئة. وبعبارة أخرى ، يعد الوصول المساعد المرخص</w:t>
      </w:r>
      <w:r>
        <w:rPr>
          <w:rStyle w:val="tlid-translation"/>
        </w:rPr>
        <w:t xml:space="preserve"> (LAA) </w:t>
      </w:r>
      <w:r>
        <w:rPr>
          <w:rStyle w:val="tlid-translation"/>
          <w:rtl/>
        </w:rPr>
        <w:t>جارة أفضل لشبكة</w:t>
      </w:r>
      <w:r>
        <w:rPr>
          <w:rStyle w:val="tlid-translation"/>
        </w:rPr>
        <w:t xml:space="preserve"> Wi-Fi </w:t>
      </w:r>
      <w:r>
        <w:rPr>
          <w:rStyle w:val="tlid-translation"/>
          <w:rtl/>
        </w:rPr>
        <w:t>مقارنة بشبكة</w:t>
      </w:r>
      <w:r>
        <w:rPr>
          <w:rStyle w:val="tlid-translation"/>
        </w:rPr>
        <w:t xml:space="preserve"> Wi-Fi </w:t>
      </w:r>
      <w:r>
        <w:rPr>
          <w:rStyle w:val="tlid-translation"/>
          <w:rtl/>
        </w:rPr>
        <w:t>نفسها. بالإضافة إلى ذلك ، باستخدام</w:t>
      </w:r>
      <w:r>
        <w:rPr>
          <w:rStyle w:val="tlid-translation"/>
        </w:rPr>
        <w:t xml:space="preserve"> NS-3</w:t>
      </w:r>
      <w:r>
        <w:rPr>
          <w:rStyle w:val="tlid-translation"/>
          <w:rtl/>
        </w:rPr>
        <w:t xml:space="preserve"> ، نتائج المحاكاة لإظهار الأداء الممتاز لهذه الآلية والسيناريو التعايش</w:t>
      </w:r>
      <w:r>
        <w:rPr>
          <w:rStyle w:val="tlid-translation"/>
        </w:rPr>
        <w:t>.</w:t>
      </w:r>
    </w:p>
    <w:sectPr w:rsidR="00867126" w:rsidSect="00123F4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754E"/>
    <w:rsid w:val="00123F46"/>
    <w:rsid w:val="0079754E"/>
    <w:rsid w:val="00867126"/>
    <w:rsid w:val="00C54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7070792"/>
  <w15:chartTrackingRefBased/>
  <w15:docId w15:val="{36B9A263-3DB0-4E92-BC16-80E928DB3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lid-translation">
    <w:name w:val="tlid-translation"/>
    <w:basedOn w:val="DefaultParagraphFont"/>
    <w:rsid w:val="00C54A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319</Words>
  <Characters>1819</Characters>
  <Application>Microsoft Office Word</Application>
  <DocSecurity>0</DocSecurity>
  <Lines>15</Lines>
  <Paragraphs>4</Paragraphs>
  <ScaleCrop>false</ScaleCrop>
  <Company/>
  <LinksUpToDate>false</LinksUpToDate>
  <CharactersWithSpaces>2134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2019-01-13T10:07:00Z</dcterms:created>
  <dcterms:modified xsi:type="dcterms:W3CDTF">2019-01-13T10:10:00Z</dcterms:modified>
</cp:coreProperties>
</file>