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846EA" w14:textId="0465D75E" w:rsidR="003936BC" w:rsidRPr="00150B87" w:rsidRDefault="003936BC" w:rsidP="00150B87">
      <w:pPr>
        <w:spacing w:line="480" w:lineRule="auto"/>
        <w:jc w:val="right"/>
        <w:rPr>
          <w:rFonts w:asciiTheme="majorBidi" w:hAnsiTheme="majorBidi" w:cstheme="majorBidi"/>
          <w:b/>
          <w:bCs/>
          <w:sz w:val="28"/>
          <w:szCs w:val="28"/>
          <w:rtl/>
        </w:rPr>
      </w:pPr>
      <w:r w:rsidRPr="00150B87">
        <w:rPr>
          <w:rFonts w:asciiTheme="majorBidi" w:hAnsiTheme="majorBidi" w:cstheme="majorBidi"/>
          <w:b/>
          <w:bCs/>
          <w:sz w:val="28"/>
          <w:szCs w:val="28"/>
          <w:rtl/>
        </w:rPr>
        <w:t xml:space="preserve">مستشفى العيون (هوجو </w:t>
      </w:r>
      <w:proofErr w:type="spellStart"/>
      <w:proofErr w:type="gramStart"/>
      <w:r w:rsidRPr="00150B87">
        <w:rPr>
          <w:rFonts w:asciiTheme="majorBidi" w:hAnsiTheme="majorBidi" w:cstheme="majorBidi"/>
          <w:b/>
          <w:bCs/>
          <w:sz w:val="28"/>
          <w:szCs w:val="28"/>
          <w:rtl/>
        </w:rPr>
        <w:t>تشافيز</w:t>
      </w:r>
      <w:proofErr w:type="spellEnd"/>
      <w:r w:rsidRPr="00150B87">
        <w:rPr>
          <w:rFonts w:asciiTheme="majorBidi" w:hAnsiTheme="majorBidi" w:cstheme="majorBidi"/>
          <w:b/>
          <w:bCs/>
          <w:sz w:val="28"/>
          <w:szCs w:val="28"/>
          <w:rtl/>
        </w:rPr>
        <w:t xml:space="preserve"> )</w:t>
      </w:r>
      <w:proofErr w:type="gramEnd"/>
      <w:r w:rsidRPr="00150B87">
        <w:rPr>
          <w:rFonts w:asciiTheme="majorBidi" w:hAnsiTheme="majorBidi" w:cstheme="majorBidi"/>
          <w:b/>
          <w:bCs/>
          <w:sz w:val="28"/>
          <w:szCs w:val="28"/>
          <w:rtl/>
        </w:rPr>
        <w:t xml:space="preserve"> هو مستشفى واقع في منطقة </w:t>
      </w:r>
      <w:proofErr w:type="spellStart"/>
      <w:r w:rsidRPr="00150B87">
        <w:rPr>
          <w:rFonts w:asciiTheme="majorBidi" w:hAnsiTheme="majorBidi" w:cstheme="majorBidi"/>
          <w:b/>
          <w:bCs/>
          <w:sz w:val="28"/>
          <w:szCs w:val="28"/>
          <w:rtl/>
        </w:rPr>
        <w:t>ترمسعيا</w:t>
      </w:r>
      <w:proofErr w:type="spellEnd"/>
      <w:r w:rsidRPr="00150B87">
        <w:rPr>
          <w:rFonts w:asciiTheme="majorBidi" w:hAnsiTheme="majorBidi" w:cstheme="majorBidi"/>
          <w:b/>
          <w:bCs/>
          <w:sz w:val="28"/>
          <w:szCs w:val="28"/>
          <w:rtl/>
        </w:rPr>
        <w:t xml:space="preserve"> في رام الله , الهدف من بناؤه تطوير القطاع الصحي عن طريق توفير مستشفى متخصص في أمراض العيون و توقير ثمن التحويلات الطبية إلى الخارج .</w:t>
      </w:r>
    </w:p>
    <w:p w14:paraId="4522D1AA" w14:textId="130A3CEF" w:rsidR="003936BC" w:rsidRPr="00150B87" w:rsidRDefault="003936BC" w:rsidP="00150B87">
      <w:pPr>
        <w:spacing w:line="480" w:lineRule="auto"/>
        <w:jc w:val="right"/>
        <w:rPr>
          <w:rFonts w:asciiTheme="majorBidi" w:hAnsiTheme="majorBidi" w:cstheme="majorBidi"/>
          <w:b/>
          <w:bCs/>
          <w:sz w:val="28"/>
          <w:szCs w:val="28"/>
          <w:rtl/>
        </w:rPr>
      </w:pPr>
      <w:r w:rsidRPr="00150B87">
        <w:rPr>
          <w:rFonts w:asciiTheme="majorBidi" w:hAnsiTheme="majorBidi" w:cstheme="majorBidi"/>
          <w:b/>
          <w:bCs/>
          <w:sz w:val="28"/>
          <w:szCs w:val="28"/>
          <w:rtl/>
        </w:rPr>
        <w:t xml:space="preserve">المستشفى يتكون من ثلاث بلوكات أساسية بمساحة كلية 8100 متر مربع و كل بلوك يتكون من أربع طوابق (تسوية , أرضي ,طابق أول , طابق </w:t>
      </w:r>
      <w:proofErr w:type="gramStart"/>
      <w:r w:rsidRPr="00150B87">
        <w:rPr>
          <w:rFonts w:asciiTheme="majorBidi" w:hAnsiTheme="majorBidi" w:cstheme="majorBidi"/>
          <w:b/>
          <w:bCs/>
          <w:sz w:val="28"/>
          <w:szCs w:val="28"/>
          <w:rtl/>
        </w:rPr>
        <w:t>ثاني )</w:t>
      </w:r>
      <w:proofErr w:type="gramEnd"/>
      <w:r w:rsidR="00150B87" w:rsidRPr="00150B87">
        <w:rPr>
          <w:rFonts w:asciiTheme="majorBidi" w:hAnsiTheme="majorBidi" w:cstheme="majorBidi"/>
          <w:b/>
          <w:bCs/>
          <w:sz w:val="28"/>
          <w:szCs w:val="28"/>
          <w:rtl/>
        </w:rPr>
        <w:t xml:space="preserve"> يتكون طابق التسوية من مطبخ وغرف تحكم وغرف غسيل وتجفيف ومخازن ومكاتب وغرف أشعة ، بمساحة إجمالية قدرها 1980 متر مربع. الطابق الأرضي يحتوي على </w:t>
      </w:r>
      <w:proofErr w:type="gramStart"/>
      <w:r w:rsidR="00150B87" w:rsidRPr="00150B87">
        <w:rPr>
          <w:rFonts w:asciiTheme="majorBidi" w:hAnsiTheme="majorBidi" w:cstheme="majorBidi"/>
          <w:b/>
          <w:bCs/>
          <w:sz w:val="28"/>
          <w:szCs w:val="28"/>
          <w:rtl/>
        </w:rPr>
        <w:t>عيادات ،</w:t>
      </w:r>
      <w:proofErr w:type="gramEnd"/>
      <w:r w:rsidR="00150B87" w:rsidRPr="00150B87">
        <w:rPr>
          <w:rFonts w:asciiTheme="majorBidi" w:hAnsiTheme="majorBidi" w:cstheme="majorBidi"/>
          <w:b/>
          <w:bCs/>
          <w:sz w:val="28"/>
          <w:szCs w:val="28"/>
          <w:rtl/>
        </w:rPr>
        <w:t xml:space="preserve"> انتظار ، غرفة استقبال ، مختبر ، غرفة طوارئ ، قاعة تعليمية رئيسية ، كافيتريا ومحل هدايا وغرف إجراءات بمساحة 2088 متر مربع. بالإضافة إلى </w:t>
      </w:r>
      <w:proofErr w:type="gramStart"/>
      <w:r w:rsidR="00150B87" w:rsidRPr="00150B87">
        <w:rPr>
          <w:rFonts w:asciiTheme="majorBidi" w:hAnsiTheme="majorBidi" w:cstheme="majorBidi"/>
          <w:b/>
          <w:bCs/>
          <w:sz w:val="28"/>
          <w:szCs w:val="28"/>
          <w:rtl/>
        </w:rPr>
        <w:t>ذلك ،</w:t>
      </w:r>
      <w:proofErr w:type="gramEnd"/>
      <w:r w:rsidR="00150B87" w:rsidRPr="00150B87">
        <w:rPr>
          <w:rFonts w:asciiTheme="majorBidi" w:hAnsiTheme="majorBidi" w:cstheme="majorBidi"/>
          <w:b/>
          <w:bCs/>
          <w:sz w:val="28"/>
          <w:szCs w:val="28"/>
          <w:rtl/>
        </w:rPr>
        <w:t xml:space="preserve"> يحتوي الطابق الأول على صالة طعام وغرف نوم ومكاتب ومطبخ بمساحة أرضية تبلغ 1920 متر مربع. الدور الثاني يحتوي على غرف استراحة وغرف نوم ومكاتب وغرف عمليات بمساحة 1918 متر مربع.</w:t>
      </w:r>
      <w:r w:rsidRPr="00150B87">
        <w:rPr>
          <w:rFonts w:asciiTheme="majorBidi" w:hAnsiTheme="majorBidi" w:cstheme="majorBidi"/>
          <w:b/>
          <w:bCs/>
          <w:sz w:val="28"/>
          <w:szCs w:val="28"/>
          <w:rtl/>
        </w:rPr>
        <w:t xml:space="preserve"> </w:t>
      </w:r>
    </w:p>
    <w:p w14:paraId="5203E29A" w14:textId="14CC790C" w:rsidR="003936BC" w:rsidRPr="00150B87" w:rsidRDefault="00150B87" w:rsidP="00150B8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hAnsiTheme="majorBidi" w:cstheme="majorBidi"/>
          <w:b/>
          <w:bCs/>
          <w:sz w:val="28"/>
          <w:szCs w:val="28"/>
          <w:rtl/>
        </w:rPr>
      </w:pPr>
      <w:r w:rsidRPr="00150B87">
        <w:rPr>
          <w:rFonts w:asciiTheme="majorBidi" w:hAnsiTheme="majorBidi" w:cstheme="majorBidi"/>
          <w:b/>
          <w:bCs/>
          <w:sz w:val="28"/>
          <w:szCs w:val="28"/>
          <w:rtl/>
        </w:rPr>
        <w:t>سيتم تحليل وتصميم النماذج الهيكلية باستخدام برامج الكمبيوتر (</w:t>
      </w:r>
      <w:r w:rsidRPr="00150B87">
        <w:rPr>
          <w:rFonts w:asciiTheme="majorBidi" w:hAnsiTheme="majorBidi" w:cstheme="majorBidi"/>
          <w:b/>
          <w:bCs/>
          <w:sz w:val="28"/>
          <w:szCs w:val="28"/>
        </w:rPr>
        <w:t>ETABS 2017</w:t>
      </w:r>
      <w:r w:rsidRPr="00150B87">
        <w:rPr>
          <w:rFonts w:asciiTheme="majorBidi" w:hAnsiTheme="majorBidi" w:cstheme="majorBidi"/>
          <w:b/>
          <w:bCs/>
          <w:sz w:val="28"/>
          <w:szCs w:val="28"/>
          <w:rtl/>
        </w:rPr>
        <w:t xml:space="preserve">) </w:t>
      </w:r>
      <w:proofErr w:type="gramStart"/>
      <w:r w:rsidRPr="00150B87">
        <w:rPr>
          <w:rFonts w:asciiTheme="majorBidi" w:hAnsiTheme="majorBidi" w:cstheme="majorBidi"/>
          <w:b/>
          <w:bCs/>
          <w:sz w:val="28"/>
          <w:szCs w:val="28"/>
          <w:rtl/>
        </w:rPr>
        <w:t>و</w:t>
      </w:r>
      <w:r w:rsidR="00A87724">
        <w:rPr>
          <w:rFonts w:asciiTheme="majorBidi" w:hAnsiTheme="majorBidi" w:cstheme="majorBidi" w:hint="cs"/>
          <w:b/>
          <w:bCs/>
          <w:sz w:val="28"/>
          <w:szCs w:val="28"/>
          <w:rtl/>
        </w:rPr>
        <w:t>(</w:t>
      </w:r>
      <w:r w:rsidRPr="00150B87">
        <w:rPr>
          <w:rFonts w:asciiTheme="majorBidi" w:hAnsiTheme="majorBidi" w:cstheme="majorBidi"/>
          <w:b/>
          <w:bCs/>
          <w:sz w:val="28"/>
          <w:szCs w:val="28"/>
          <w:rtl/>
        </w:rPr>
        <w:t xml:space="preserve"> </w:t>
      </w:r>
      <w:r w:rsidRPr="00150B87">
        <w:rPr>
          <w:rFonts w:asciiTheme="majorBidi" w:hAnsiTheme="majorBidi" w:cstheme="majorBidi"/>
          <w:b/>
          <w:bCs/>
          <w:sz w:val="28"/>
          <w:szCs w:val="28"/>
        </w:rPr>
        <w:t>SAP</w:t>
      </w:r>
      <w:proofErr w:type="gramEnd"/>
      <w:r w:rsidRPr="00150B87">
        <w:rPr>
          <w:rFonts w:asciiTheme="majorBidi" w:hAnsiTheme="majorBidi" w:cstheme="majorBidi"/>
          <w:b/>
          <w:bCs/>
          <w:sz w:val="28"/>
          <w:szCs w:val="28"/>
        </w:rPr>
        <w:t>2000</w:t>
      </w:r>
      <w:r w:rsidR="00A87724">
        <w:rPr>
          <w:rFonts w:asciiTheme="majorBidi" w:hAnsiTheme="majorBidi" w:cstheme="majorBidi" w:hint="cs"/>
          <w:b/>
          <w:bCs/>
          <w:sz w:val="28"/>
          <w:szCs w:val="28"/>
          <w:rtl/>
        </w:rPr>
        <w:t xml:space="preserve"> )</w:t>
      </w:r>
      <w:r w:rsidRPr="00150B87">
        <w:rPr>
          <w:rFonts w:asciiTheme="majorBidi" w:hAnsiTheme="majorBidi" w:cstheme="majorBidi"/>
          <w:b/>
          <w:bCs/>
          <w:sz w:val="28"/>
          <w:szCs w:val="28"/>
          <w:rtl/>
        </w:rPr>
        <w:t xml:space="preserve"> ، وسيتم التحقق من النتائج عن طريق الحسابات اليدوية. بالإضافة إلى </w:t>
      </w:r>
      <w:proofErr w:type="gramStart"/>
      <w:r w:rsidRPr="00150B87">
        <w:rPr>
          <w:rFonts w:asciiTheme="majorBidi" w:hAnsiTheme="majorBidi" w:cstheme="majorBidi"/>
          <w:b/>
          <w:bCs/>
          <w:sz w:val="28"/>
          <w:szCs w:val="28"/>
          <w:rtl/>
        </w:rPr>
        <w:t>ذلك ،</w:t>
      </w:r>
      <w:proofErr w:type="gramEnd"/>
      <w:r w:rsidRPr="00150B87">
        <w:rPr>
          <w:rFonts w:asciiTheme="majorBidi" w:hAnsiTheme="majorBidi" w:cstheme="majorBidi"/>
          <w:b/>
          <w:bCs/>
          <w:sz w:val="28"/>
          <w:szCs w:val="28"/>
          <w:rtl/>
        </w:rPr>
        <w:t xml:space="preserve"> سيتم استخدام </w:t>
      </w:r>
      <w:r w:rsidRPr="00150B87">
        <w:rPr>
          <w:rFonts w:asciiTheme="majorBidi" w:hAnsiTheme="majorBidi" w:cstheme="majorBidi"/>
          <w:b/>
          <w:bCs/>
          <w:sz w:val="28"/>
          <w:szCs w:val="28"/>
        </w:rPr>
        <w:t>AutoCAD</w:t>
      </w:r>
      <w:r w:rsidRPr="00150B87">
        <w:rPr>
          <w:rFonts w:asciiTheme="majorBidi" w:hAnsiTheme="majorBidi" w:cstheme="majorBidi"/>
          <w:b/>
          <w:bCs/>
          <w:sz w:val="28"/>
          <w:szCs w:val="28"/>
          <w:rtl/>
        </w:rPr>
        <w:t xml:space="preserve"> في رسم المقاطع والتفاصيل. العناصر الإنشائية سيتم تصميمها كخرسانة مسلحة وفق معايير الكودات التصميم العالمية </w:t>
      </w:r>
      <w:proofErr w:type="gramStart"/>
      <w:r w:rsidRPr="00150B87">
        <w:rPr>
          <w:rFonts w:asciiTheme="majorBidi" w:hAnsiTheme="majorBidi" w:cstheme="majorBidi"/>
          <w:b/>
          <w:bCs/>
          <w:sz w:val="28"/>
          <w:szCs w:val="28"/>
          <w:rtl/>
        </w:rPr>
        <w:t xml:space="preserve">( </w:t>
      </w:r>
      <w:r w:rsidRPr="00150B87">
        <w:rPr>
          <w:rFonts w:asciiTheme="majorBidi" w:hAnsiTheme="majorBidi" w:cstheme="majorBidi"/>
          <w:b/>
          <w:bCs/>
          <w:sz w:val="28"/>
          <w:szCs w:val="28"/>
        </w:rPr>
        <w:t>ACI</w:t>
      </w:r>
      <w:proofErr w:type="gramEnd"/>
      <w:r w:rsidRPr="00150B87">
        <w:rPr>
          <w:rFonts w:asciiTheme="majorBidi" w:hAnsiTheme="majorBidi" w:cstheme="majorBidi"/>
          <w:b/>
          <w:bCs/>
          <w:sz w:val="28"/>
          <w:szCs w:val="28"/>
        </w:rPr>
        <w:t>-Code 318-14 , UBC-97</w:t>
      </w:r>
      <w:r w:rsidRPr="00150B87">
        <w:rPr>
          <w:rFonts w:asciiTheme="majorBidi" w:hAnsiTheme="majorBidi" w:cstheme="majorBidi"/>
          <w:b/>
          <w:bCs/>
          <w:sz w:val="28"/>
          <w:szCs w:val="28"/>
          <w:rtl/>
        </w:rPr>
        <w:t xml:space="preserve"> ) </w:t>
      </w:r>
      <w:bookmarkStart w:id="0" w:name="_GoBack"/>
      <w:bookmarkEnd w:id="0"/>
    </w:p>
    <w:sectPr w:rsidR="003936BC" w:rsidRPr="00150B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81D"/>
    <w:rsid w:val="0012581D"/>
    <w:rsid w:val="00150B87"/>
    <w:rsid w:val="003936BC"/>
    <w:rsid w:val="005A3500"/>
    <w:rsid w:val="00A877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21C09"/>
  <w15:chartTrackingRefBased/>
  <w15:docId w15:val="{F865050A-B0E1-4A93-8299-5F287ADCF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150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50B87"/>
    <w:rPr>
      <w:rFonts w:ascii="Courier New" w:eastAsia="Times New Roman" w:hAnsi="Courier New" w:cs="Courier New"/>
      <w:sz w:val="20"/>
      <w:szCs w:val="20"/>
    </w:rPr>
  </w:style>
  <w:style w:type="character" w:customStyle="1" w:styleId="y2iqfc">
    <w:name w:val="y2iqfc"/>
    <w:basedOn w:val="DefaultParagraphFont"/>
    <w:rsid w:val="00150B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5891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164</Words>
  <Characters>940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2021-06-20T08:14:00Z</dcterms:created>
  <dcterms:modified xsi:type="dcterms:W3CDTF">2021-06-20T08:36:00Z</dcterms:modified>
</cp:coreProperties>
</file>