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F4101" w14:textId="60FF4EE4" w:rsidR="001F68F1" w:rsidRPr="006B3495" w:rsidRDefault="00E6249E" w:rsidP="001F68F1">
      <w:pPr>
        <w:tabs>
          <w:tab w:val="left" w:pos="6450"/>
        </w:tabs>
        <w:autoSpaceDE w:val="0"/>
        <w:autoSpaceDN w:val="0"/>
        <w:adjustRightInd w:val="0"/>
        <w:spacing w:after="0" w:line="560" w:lineRule="atLeast"/>
        <w:jc w:val="center"/>
        <w:rPr>
          <w:rFonts w:ascii="Times New Roman" w:eastAsia="inherit" w:hAnsi="Times New Roman" w:cs="Times New Roman"/>
          <w:b/>
          <w:sz w:val="32"/>
          <w:szCs w:val="32"/>
          <w:shd w:val="clear" w:color="auto" w:fill="FFFFFF"/>
        </w:rPr>
      </w:pPr>
      <w:r w:rsidRPr="006B3495">
        <w:rPr>
          <w:b/>
          <w:bCs/>
          <w:noProof/>
          <w:sz w:val="32"/>
          <w:szCs w:val="32"/>
          <w:lang w:val="en-US"/>
        </w:rPr>
        <w:drawing>
          <wp:anchor distT="0" distB="0" distL="114300" distR="114300" simplePos="0" relativeHeight="251664384" behindDoc="1" locked="0" layoutInCell="1" allowOverlap="1" wp14:anchorId="34BFA2AC" wp14:editId="6D85DBE0">
            <wp:simplePos x="0" y="0"/>
            <wp:positionH relativeFrom="margin">
              <wp:posOffset>1894840</wp:posOffset>
            </wp:positionH>
            <wp:positionV relativeFrom="margin">
              <wp:posOffset>-193040</wp:posOffset>
            </wp:positionV>
            <wp:extent cx="1388745" cy="1388745"/>
            <wp:effectExtent l="0" t="0" r="1905"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8745" cy="1388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3DC1FE" w14:textId="7753B2CD" w:rsidR="001F68F1" w:rsidRPr="006B3495" w:rsidRDefault="001F68F1" w:rsidP="001F68F1">
      <w:pPr>
        <w:tabs>
          <w:tab w:val="left" w:pos="6450"/>
        </w:tabs>
        <w:autoSpaceDE w:val="0"/>
        <w:autoSpaceDN w:val="0"/>
        <w:adjustRightInd w:val="0"/>
        <w:spacing w:after="0" w:line="560" w:lineRule="atLeast"/>
        <w:jc w:val="center"/>
        <w:rPr>
          <w:rFonts w:ascii="Times New Roman" w:eastAsia="inherit" w:hAnsi="Times New Roman" w:cs="Times New Roman"/>
          <w:b/>
          <w:sz w:val="32"/>
          <w:szCs w:val="32"/>
          <w:shd w:val="clear" w:color="auto" w:fill="FFFFFF"/>
        </w:rPr>
      </w:pPr>
      <w:bookmarkStart w:id="0" w:name="_Hlk98031981"/>
      <w:bookmarkEnd w:id="0"/>
    </w:p>
    <w:p w14:paraId="6B480610" w14:textId="77777777" w:rsidR="001F68F1" w:rsidRPr="006B3495" w:rsidRDefault="001F68F1" w:rsidP="001F68F1">
      <w:pPr>
        <w:tabs>
          <w:tab w:val="left" w:pos="6450"/>
        </w:tabs>
        <w:autoSpaceDE w:val="0"/>
        <w:autoSpaceDN w:val="0"/>
        <w:adjustRightInd w:val="0"/>
        <w:spacing w:after="0" w:line="560" w:lineRule="atLeast"/>
        <w:jc w:val="center"/>
        <w:rPr>
          <w:rFonts w:ascii="Times New Roman" w:eastAsia="inherit" w:hAnsi="Times New Roman" w:cs="Times New Roman"/>
          <w:b/>
          <w:sz w:val="32"/>
          <w:szCs w:val="32"/>
          <w:shd w:val="clear" w:color="auto" w:fill="FFFFFF"/>
        </w:rPr>
      </w:pPr>
    </w:p>
    <w:p w14:paraId="451D7704" w14:textId="77777777" w:rsidR="001F68F1" w:rsidRPr="006B3495" w:rsidRDefault="001F68F1" w:rsidP="001F68F1">
      <w:pPr>
        <w:tabs>
          <w:tab w:val="left" w:pos="6450"/>
        </w:tabs>
        <w:autoSpaceDE w:val="0"/>
        <w:autoSpaceDN w:val="0"/>
        <w:adjustRightInd w:val="0"/>
        <w:spacing w:after="0" w:line="560" w:lineRule="atLeast"/>
        <w:jc w:val="center"/>
        <w:rPr>
          <w:rFonts w:ascii="Times New Roman" w:eastAsia="inherit" w:hAnsi="Times New Roman" w:cs="Times New Roman"/>
          <w:b/>
          <w:sz w:val="32"/>
          <w:szCs w:val="32"/>
          <w:shd w:val="clear" w:color="auto" w:fill="FFFFFF"/>
        </w:rPr>
      </w:pPr>
    </w:p>
    <w:p w14:paraId="02F7C884" w14:textId="77777777" w:rsidR="001F68F1" w:rsidRPr="006B3495" w:rsidRDefault="001F68F1" w:rsidP="001F68F1">
      <w:pPr>
        <w:tabs>
          <w:tab w:val="left" w:pos="6450"/>
        </w:tabs>
        <w:autoSpaceDE w:val="0"/>
        <w:autoSpaceDN w:val="0"/>
        <w:adjustRightInd w:val="0"/>
        <w:spacing w:after="0" w:line="560" w:lineRule="atLeast"/>
        <w:jc w:val="center"/>
        <w:rPr>
          <w:rFonts w:ascii="Times New Roman" w:eastAsia="inherit" w:hAnsi="Times New Roman" w:cs="Times New Roman"/>
          <w:b/>
          <w:sz w:val="32"/>
          <w:szCs w:val="32"/>
          <w:shd w:val="clear" w:color="auto" w:fill="FFFFFF"/>
        </w:rPr>
      </w:pPr>
    </w:p>
    <w:p w14:paraId="76D41DE2" w14:textId="77777777" w:rsidR="001F68F1" w:rsidRPr="006B3495" w:rsidRDefault="001F68F1" w:rsidP="001F68F1">
      <w:pPr>
        <w:tabs>
          <w:tab w:val="left" w:pos="6450"/>
        </w:tabs>
        <w:autoSpaceDE w:val="0"/>
        <w:autoSpaceDN w:val="0"/>
        <w:adjustRightInd w:val="0"/>
        <w:spacing w:after="0" w:line="560" w:lineRule="atLeast"/>
        <w:jc w:val="center"/>
        <w:rPr>
          <w:rFonts w:ascii="Times New Roman" w:eastAsia="inherit" w:hAnsi="Times New Roman" w:cs="Times New Roman"/>
          <w:b/>
          <w:sz w:val="32"/>
          <w:szCs w:val="32"/>
          <w:shd w:val="clear" w:color="auto" w:fill="FFFFFF"/>
        </w:rPr>
      </w:pPr>
    </w:p>
    <w:p w14:paraId="21F88CE7" w14:textId="77777777" w:rsidR="001F68F1" w:rsidRPr="006B3495" w:rsidRDefault="001F68F1" w:rsidP="001F68F1">
      <w:pPr>
        <w:tabs>
          <w:tab w:val="left" w:pos="6450"/>
        </w:tabs>
        <w:autoSpaceDE w:val="0"/>
        <w:autoSpaceDN w:val="0"/>
        <w:adjustRightInd w:val="0"/>
        <w:spacing w:after="0" w:line="560" w:lineRule="atLeast"/>
        <w:jc w:val="center"/>
        <w:rPr>
          <w:sz w:val="32"/>
          <w:szCs w:val="32"/>
        </w:rPr>
      </w:pPr>
      <w:r w:rsidRPr="006B3495">
        <w:rPr>
          <w:rFonts w:ascii="Times New Roman" w:eastAsia="inherit" w:hAnsi="Times New Roman" w:cs="Times New Roman"/>
          <w:b/>
          <w:sz w:val="32"/>
          <w:szCs w:val="32"/>
          <w:shd w:val="clear" w:color="auto" w:fill="FFFFFF"/>
        </w:rPr>
        <w:t>An-Najah National University</w:t>
      </w:r>
    </w:p>
    <w:p w14:paraId="57423DE0" w14:textId="77777777" w:rsidR="001F68F1" w:rsidRPr="006B3495" w:rsidRDefault="001F68F1" w:rsidP="001F68F1">
      <w:pPr>
        <w:autoSpaceDE w:val="0"/>
        <w:autoSpaceDN w:val="0"/>
        <w:adjustRightInd w:val="0"/>
        <w:spacing w:after="0" w:line="560" w:lineRule="atLeast"/>
        <w:jc w:val="center"/>
        <w:rPr>
          <w:rFonts w:ascii="Times New Roman" w:eastAsia="inherit" w:hAnsi="Times New Roman" w:cs="Times New Roman"/>
          <w:b/>
          <w:sz w:val="32"/>
          <w:szCs w:val="32"/>
          <w:shd w:val="clear" w:color="auto" w:fill="FFFFFF"/>
        </w:rPr>
      </w:pPr>
      <w:r w:rsidRPr="006B3495">
        <w:rPr>
          <w:rFonts w:ascii="Times New Roman" w:eastAsia="inherit" w:hAnsi="Times New Roman" w:cs="Times New Roman"/>
          <w:b/>
          <w:sz w:val="32"/>
          <w:szCs w:val="32"/>
          <w:shd w:val="clear" w:color="auto" w:fill="FFFFFF"/>
        </w:rPr>
        <w:t>Faculty of Graduate Studies</w:t>
      </w:r>
    </w:p>
    <w:p w14:paraId="234CB0EA" w14:textId="77777777" w:rsidR="001F68F1" w:rsidRPr="006B3495" w:rsidRDefault="001F68F1" w:rsidP="001F68F1">
      <w:pPr>
        <w:spacing w:before="120" w:after="240" w:line="560" w:lineRule="atLeast"/>
        <w:jc w:val="both"/>
        <w:rPr>
          <w:rFonts w:ascii="Times New Roman" w:eastAsia="inherit" w:hAnsi="Times New Roman" w:cs="Times New Roman"/>
          <w:b/>
          <w:sz w:val="28"/>
          <w:szCs w:val="28"/>
          <w:shd w:val="clear" w:color="auto" w:fill="FFFFFF"/>
        </w:rPr>
      </w:pPr>
    </w:p>
    <w:p w14:paraId="502BC21F" w14:textId="77777777" w:rsidR="001F68F1" w:rsidRPr="006B3495" w:rsidRDefault="001F68F1" w:rsidP="001F68F1">
      <w:pPr>
        <w:jc w:val="center"/>
        <w:rPr>
          <w:rFonts w:asciiTheme="majorBidi" w:hAnsiTheme="majorBidi" w:cstheme="majorBidi"/>
          <w:b/>
          <w:bCs/>
          <w:sz w:val="40"/>
          <w:szCs w:val="40"/>
          <w:shd w:val="clear" w:color="auto" w:fill="FFFFFF"/>
        </w:rPr>
      </w:pPr>
      <w:bookmarkStart w:id="1" w:name="_Hlk169094780"/>
      <w:bookmarkStart w:id="2" w:name="_Hlk126936171"/>
      <w:r w:rsidRPr="006B3495">
        <w:rPr>
          <w:rFonts w:asciiTheme="majorBidi" w:hAnsiTheme="majorBidi" w:cstheme="majorBidi"/>
          <w:b/>
          <w:bCs/>
          <w:sz w:val="40"/>
          <w:szCs w:val="40"/>
          <w:shd w:val="clear" w:color="auto" w:fill="FFFFFF"/>
        </w:rPr>
        <w:t xml:space="preserve">Comparison of Radial Access Versus Femoral Access </w:t>
      </w:r>
      <w:proofErr w:type="gramStart"/>
      <w:r w:rsidRPr="006B3495">
        <w:rPr>
          <w:rFonts w:asciiTheme="majorBidi" w:hAnsiTheme="majorBidi" w:cstheme="majorBidi"/>
          <w:b/>
          <w:bCs/>
          <w:sz w:val="40"/>
          <w:szCs w:val="40"/>
          <w:shd w:val="clear" w:color="auto" w:fill="FFFFFF"/>
        </w:rPr>
        <w:t>With</w:t>
      </w:r>
      <w:proofErr w:type="gramEnd"/>
      <w:r w:rsidRPr="006B3495">
        <w:rPr>
          <w:rFonts w:asciiTheme="majorBidi" w:hAnsiTheme="majorBidi" w:cstheme="majorBidi"/>
          <w:b/>
          <w:bCs/>
          <w:sz w:val="40"/>
          <w:szCs w:val="40"/>
          <w:shd w:val="clear" w:color="auto" w:fill="FFFFFF"/>
        </w:rPr>
        <w:t xml:space="preserve"> </w:t>
      </w:r>
      <w:proofErr w:type="gramStart"/>
      <w:r w:rsidRPr="006B3495">
        <w:rPr>
          <w:rFonts w:asciiTheme="majorBidi" w:hAnsiTheme="majorBidi" w:cstheme="majorBidi"/>
          <w:b/>
          <w:bCs/>
          <w:sz w:val="40"/>
          <w:szCs w:val="40"/>
          <w:shd w:val="clear" w:color="auto" w:fill="FFFFFF"/>
        </w:rPr>
        <w:t>The</w:t>
      </w:r>
      <w:proofErr w:type="gramEnd"/>
      <w:r w:rsidRPr="006B3495">
        <w:rPr>
          <w:rFonts w:asciiTheme="majorBidi" w:hAnsiTheme="majorBidi" w:cstheme="majorBidi"/>
          <w:b/>
          <w:bCs/>
          <w:sz w:val="40"/>
          <w:szCs w:val="40"/>
          <w:shd w:val="clear" w:color="auto" w:fill="FFFFFF"/>
        </w:rPr>
        <w:t xml:space="preserve"> Use </w:t>
      </w:r>
      <w:proofErr w:type="gramStart"/>
      <w:r w:rsidRPr="006B3495">
        <w:rPr>
          <w:rFonts w:asciiTheme="majorBidi" w:hAnsiTheme="majorBidi" w:cstheme="majorBidi"/>
          <w:b/>
          <w:bCs/>
          <w:sz w:val="40"/>
          <w:szCs w:val="40"/>
          <w:shd w:val="clear" w:color="auto" w:fill="FFFFFF"/>
        </w:rPr>
        <w:t>Of</w:t>
      </w:r>
      <w:proofErr w:type="gramEnd"/>
      <w:r w:rsidRPr="006B3495">
        <w:rPr>
          <w:rFonts w:asciiTheme="majorBidi" w:hAnsiTheme="majorBidi" w:cstheme="majorBidi"/>
          <w:b/>
          <w:bCs/>
          <w:sz w:val="40"/>
          <w:szCs w:val="40"/>
          <w:shd w:val="clear" w:color="auto" w:fill="FFFFFF"/>
        </w:rPr>
        <w:t xml:space="preserve"> </w:t>
      </w:r>
      <w:proofErr w:type="gramStart"/>
      <w:r w:rsidRPr="006B3495">
        <w:rPr>
          <w:rFonts w:asciiTheme="majorBidi" w:hAnsiTheme="majorBidi" w:cstheme="majorBidi"/>
          <w:b/>
          <w:bCs/>
          <w:sz w:val="40"/>
          <w:szCs w:val="40"/>
          <w:shd w:val="clear" w:color="auto" w:fill="FFFFFF"/>
        </w:rPr>
        <w:t>A</w:t>
      </w:r>
      <w:proofErr w:type="gramEnd"/>
      <w:r w:rsidRPr="006B3495">
        <w:rPr>
          <w:rFonts w:asciiTheme="majorBidi" w:hAnsiTheme="majorBidi" w:cstheme="majorBidi"/>
          <w:b/>
          <w:bCs/>
          <w:sz w:val="40"/>
          <w:szCs w:val="40"/>
          <w:shd w:val="clear" w:color="auto" w:fill="FFFFFF"/>
        </w:rPr>
        <w:t xml:space="preserve"> Vascular Closure Device </w:t>
      </w:r>
      <w:proofErr w:type="gramStart"/>
      <w:r w:rsidRPr="006B3495">
        <w:rPr>
          <w:rFonts w:asciiTheme="majorBidi" w:hAnsiTheme="majorBidi" w:cstheme="majorBidi"/>
          <w:b/>
          <w:bCs/>
          <w:sz w:val="40"/>
          <w:szCs w:val="40"/>
          <w:shd w:val="clear" w:color="auto" w:fill="FFFFFF"/>
        </w:rPr>
        <w:t>For</w:t>
      </w:r>
      <w:proofErr w:type="gramEnd"/>
      <w:r w:rsidRPr="006B3495">
        <w:rPr>
          <w:rFonts w:asciiTheme="majorBidi" w:hAnsiTheme="majorBidi" w:cstheme="majorBidi"/>
          <w:b/>
          <w:bCs/>
          <w:sz w:val="40"/>
          <w:szCs w:val="40"/>
          <w:shd w:val="clear" w:color="auto" w:fill="FFFFFF"/>
        </w:rPr>
        <w:t xml:space="preserve"> Ease OF Operation, Procedure Time, And Vascular Complications </w:t>
      </w:r>
      <w:proofErr w:type="gramStart"/>
      <w:r w:rsidRPr="006B3495">
        <w:rPr>
          <w:rFonts w:asciiTheme="majorBidi" w:hAnsiTheme="majorBidi" w:cstheme="majorBidi"/>
          <w:b/>
          <w:bCs/>
          <w:sz w:val="40"/>
          <w:szCs w:val="40"/>
          <w:shd w:val="clear" w:color="auto" w:fill="FFFFFF"/>
        </w:rPr>
        <w:t>In</w:t>
      </w:r>
      <w:proofErr w:type="gramEnd"/>
      <w:r w:rsidRPr="006B3495">
        <w:rPr>
          <w:rFonts w:asciiTheme="majorBidi" w:hAnsiTheme="majorBidi" w:cstheme="majorBidi"/>
          <w:b/>
          <w:bCs/>
          <w:sz w:val="40"/>
          <w:szCs w:val="40"/>
          <w:shd w:val="clear" w:color="auto" w:fill="FFFFFF"/>
        </w:rPr>
        <w:t xml:space="preserve"> Patients Undergoing Percutaneous Coronary Intervention - A Retrospective Study</w:t>
      </w:r>
      <w:bookmarkEnd w:id="1"/>
    </w:p>
    <w:bookmarkEnd w:id="2"/>
    <w:p w14:paraId="39C2F32F" w14:textId="77777777" w:rsidR="001F68F1" w:rsidRPr="006B3495" w:rsidRDefault="001F68F1" w:rsidP="001F68F1">
      <w:pPr>
        <w:rPr>
          <w:rtl/>
        </w:rPr>
      </w:pPr>
    </w:p>
    <w:p w14:paraId="06F81656" w14:textId="77777777" w:rsidR="001F68F1" w:rsidRPr="006B3495" w:rsidRDefault="001F68F1" w:rsidP="001F68F1">
      <w:pPr>
        <w:jc w:val="center"/>
        <w:rPr>
          <w:rFonts w:asciiTheme="majorBidi" w:hAnsiTheme="majorBidi" w:cstheme="majorBidi"/>
          <w:b/>
          <w:bCs/>
          <w:sz w:val="28"/>
          <w:szCs w:val="28"/>
        </w:rPr>
      </w:pPr>
      <w:r w:rsidRPr="006B3495">
        <w:rPr>
          <w:rFonts w:asciiTheme="majorBidi" w:hAnsiTheme="majorBidi" w:cstheme="majorBidi"/>
          <w:b/>
          <w:bCs/>
          <w:sz w:val="28"/>
          <w:szCs w:val="28"/>
        </w:rPr>
        <w:t>By</w:t>
      </w:r>
    </w:p>
    <w:p w14:paraId="767DA6EC" w14:textId="77777777" w:rsidR="001F68F1" w:rsidRPr="006B3495" w:rsidRDefault="001F68F1" w:rsidP="001F68F1">
      <w:pPr>
        <w:jc w:val="center"/>
        <w:rPr>
          <w:rFonts w:asciiTheme="majorBidi" w:hAnsiTheme="majorBidi" w:cstheme="majorBidi"/>
          <w:b/>
          <w:bCs/>
          <w:sz w:val="28"/>
          <w:szCs w:val="28"/>
        </w:rPr>
      </w:pPr>
      <w:r w:rsidRPr="006B3495">
        <w:rPr>
          <w:rFonts w:asciiTheme="majorBidi" w:hAnsiTheme="majorBidi" w:cstheme="majorBidi"/>
          <w:b/>
          <w:bCs/>
          <w:sz w:val="28"/>
          <w:szCs w:val="28"/>
        </w:rPr>
        <w:t xml:space="preserve">Aya Yaseen </w:t>
      </w:r>
    </w:p>
    <w:p w14:paraId="4D79A917" w14:textId="77777777" w:rsidR="001F68F1" w:rsidRPr="006B3495" w:rsidRDefault="001F68F1" w:rsidP="001F68F1">
      <w:pPr>
        <w:jc w:val="center"/>
        <w:rPr>
          <w:rFonts w:asciiTheme="majorBidi" w:hAnsiTheme="majorBidi" w:cstheme="majorBidi"/>
          <w:b/>
          <w:bCs/>
          <w:sz w:val="28"/>
          <w:szCs w:val="28"/>
        </w:rPr>
      </w:pPr>
    </w:p>
    <w:p w14:paraId="4F58ACD9" w14:textId="77777777" w:rsidR="001F68F1" w:rsidRPr="006B3495" w:rsidRDefault="001F68F1" w:rsidP="001F68F1">
      <w:pPr>
        <w:jc w:val="center"/>
        <w:rPr>
          <w:rFonts w:ascii="Times New Roman" w:hAnsi="Times New Roman" w:cs="Times New Roman"/>
          <w:b/>
          <w:bCs/>
          <w:sz w:val="28"/>
          <w:szCs w:val="28"/>
          <w:rtl/>
        </w:rPr>
      </w:pPr>
    </w:p>
    <w:p w14:paraId="17EBE457" w14:textId="77777777" w:rsidR="001F68F1" w:rsidRPr="006B3495" w:rsidRDefault="001F68F1" w:rsidP="001F68F1">
      <w:pPr>
        <w:jc w:val="center"/>
        <w:rPr>
          <w:rFonts w:ascii="Times New Roman" w:hAnsi="Times New Roman" w:cs="Times New Roman"/>
          <w:b/>
          <w:bCs/>
          <w:sz w:val="28"/>
          <w:szCs w:val="28"/>
        </w:rPr>
      </w:pPr>
      <w:r w:rsidRPr="006B3495">
        <w:rPr>
          <w:rFonts w:ascii="Times New Roman" w:hAnsi="Times New Roman" w:cs="Times New Roman"/>
          <w:b/>
          <w:bCs/>
          <w:sz w:val="28"/>
          <w:szCs w:val="28"/>
        </w:rPr>
        <w:t>Supervisor</w:t>
      </w:r>
    </w:p>
    <w:p w14:paraId="4FA39979" w14:textId="77777777" w:rsidR="001F68F1" w:rsidRPr="006B3495" w:rsidRDefault="001F68F1" w:rsidP="001F68F1">
      <w:pPr>
        <w:jc w:val="center"/>
        <w:rPr>
          <w:rFonts w:ascii="Times New Roman" w:hAnsi="Times New Roman" w:cs="Times New Roman"/>
          <w:b/>
          <w:bCs/>
          <w:sz w:val="28"/>
          <w:szCs w:val="28"/>
          <w:rtl/>
        </w:rPr>
      </w:pPr>
      <w:r w:rsidRPr="006B3495">
        <w:rPr>
          <w:rFonts w:ascii="Times New Roman" w:hAnsi="Times New Roman" w:cs="Times New Roman"/>
          <w:b/>
          <w:bCs/>
          <w:sz w:val="28"/>
          <w:szCs w:val="28"/>
        </w:rPr>
        <w:t>Dr. Fatima Hirzallah</w:t>
      </w:r>
    </w:p>
    <w:p w14:paraId="524395D1" w14:textId="77777777" w:rsidR="001F68F1" w:rsidRPr="006B3495" w:rsidRDefault="001F68F1" w:rsidP="001F68F1">
      <w:pPr>
        <w:spacing w:after="240"/>
        <w:jc w:val="center"/>
        <w:rPr>
          <w:rFonts w:ascii="Times New Roman" w:hAnsi="Times New Roman" w:cs="Times New Roman"/>
          <w:b/>
          <w:bCs/>
          <w:sz w:val="28"/>
          <w:szCs w:val="28"/>
        </w:rPr>
      </w:pPr>
    </w:p>
    <w:p w14:paraId="05D74B1F" w14:textId="4AB6F659" w:rsidR="001F68F1" w:rsidRPr="006B3495" w:rsidRDefault="001F68F1" w:rsidP="001F68F1">
      <w:pPr>
        <w:autoSpaceDE w:val="0"/>
        <w:autoSpaceDN w:val="0"/>
        <w:adjustRightInd w:val="0"/>
        <w:spacing w:after="240"/>
        <w:jc w:val="center"/>
        <w:rPr>
          <w:rFonts w:asciiTheme="majorBidi" w:hAnsiTheme="majorBidi" w:cstheme="majorBidi"/>
          <w:b/>
          <w:bCs/>
        </w:rPr>
      </w:pPr>
      <w:r w:rsidRPr="006B3495">
        <w:rPr>
          <w:rFonts w:asciiTheme="majorBidi" w:eastAsiaTheme="minorEastAsia" w:hAnsiTheme="majorBidi" w:cstheme="majorBidi"/>
          <w:b/>
          <w:bCs/>
        </w:rPr>
        <w:t xml:space="preserve">This Thesis is Submitted in Partial </w:t>
      </w:r>
      <w:r w:rsidR="00387C0F" w:rsidRPr="006B3495">
        <w:rPr>
          <w:rFonts w:asciiTheme="majorBidi" w:eastAsiaTheme="minorEastAsia" w:hAnsiTheme="majorBidi" w:cstheme="majorBidi"/>
          <w:b/>
          <w:bCs/>
        </w:rPr>
        <w:t>Fulfilment</w:t>
      </w:r>
      <w:r w:rsidRPr="006B3495">
        <w:rPr>
          <w:rFonts w:asciiTheme="majorBidi" w:eastAsiaTheme="minorEastAsia" w:hAnsiTheme="majorBidi" w:cstheme="majorBidi"/>
          <w:b/>
          <w:bCs/>
        </w:rPr>
        <w:t xml:space="preserve"> of the Requirements for the Degree of Master of Critical Care Nursing, Faculty of Graduate Studies, An-Najah National University, Nablus - Palestine</w:t>
      </w:r>
      <w:r w:rsidRPr="006B3495">
        <w:rPr>
          <w:rFonts w:asciiTheme="majorBidi" w:hAnsiTheme="majorBidi" w:cstheme="majorBidi"/>
          <w:b/>
          <w:bCs/>
        </w:rPr>
        <w:t>.</w:t>
      </w:r>
    </w:p>
    <w:p w14:paraId="2F698FB9" w14:textId="6EE925CC" w:rsidR="001F68F1" w:rsidRPr="006B3495" w:rsidRDefault="001F68F1" w:rsidP="001F68F1">
      <w:pPr>
        <w:jc w:val="center"/>
        <w:rPr>
          <w:rFonts w:ascii="Times New Roman" w:hAnsi="Times New Roman" w:cs="Times New Roman"/>
          <w:b/>
          <w:bCs/>
          <w:sz w:val="28"/>
          <w:szCs w:val="28"/>
        </w:rPr>
      </w:pPr>
      <w:r w:rsidRPr="006B3495">
        <w:rPr>
          <w:rFonts w:ascii="Times New Roman" w:hAnsi="Times New Roman" w:cs="Times New Roman"/>
          <w:b/>
          <w:bCs/>
          <w:sz w:val="28"/>
          <w:szCs w:val="28"/>
        </w:rPr>
        <w:t>202</w:t>
      </w:r>
      <w:r w:rsidR="00A11B6B">
        <w:rPr>
          <w:rFonts w:ascii="Times New Roman" w:hAnsi="Times New Roman" w:cs="Times New Roman"/>
          <w:b/>
          <w:bCs/>
          <w:sz w:val="28"/>
          <w:szCs w:val="28"/>
        </w:rPr>
        <w:t>5</w:t>
      </w:r>
    </w:p>
    <w:p w14:paraId="7FBB6D2B" w14:textId="77777777" w:rsidR="001F68F1" w:rsidRPr="006B3495" w:rsidRDefault="001F68F1" w:rsidP="001F68F1">
      <w:pPr>
        <w:spacing w:after="0" w:line="240" w:lineRule="auto"/>
        <w:rPr>
          <w:rFonts w:asciiTheme="majorBidi" w:hAnsiTheme="majorBidi" w:cstheme="majorBidi"/>
          <w:b/>
          <w:bCs/>
          <w:sz w:val="28"/>
          <w:szCs w:val="28"/>
        </w:rPr>
      </w:pPr>
      <w:bookmarkStart w:id="3" w:name="_Toc443078053"/>
      <w:bookmarkStart w:id="4" w:name="_Toc80474667"/>
      <w:bookmarkStart w:id="5" w:name="_Toc80474918"/>
      <w:bookmarkStart w:id="6" w:name="_Toc80475370"/>
      <w:r w:rsidRPr="006B3495">
        <w:rPr>
          <w:rFonts w:asciiTheme="majorBidi" w:hAnsiTheme="majorBidi" w:cstheme="majorBidi"/>
          <w:b/>
          <w:bCs/>
          <w:sz w:val="28"/>
          <w:szCs w:val="28"/>
        </w:rPr>
        <w:lastRenderedPageBreak/>
        <w:t xml:space="preserve"> </w:t>
      </w:r>
    </w:p>
    <w:p w14:paraId="5457F6F7" w14:textId="77777777" w:rsidR="001F68F1" w:rsidRPr="006B3495" w:rsidRDefault="001F68F1" w:rsidP="001F68F1">
      <w:pPr>
        <w:autoSpaceDE w:val="0"/>
        <w:autoSpaceDN w:val="0"/>
        <w:adjustRightInd w:val="0"/>
        <w:spacing w:after="0"/>
        <w:jc w:val="both"/>
        <w:rPr>
          <w:rFonts w:asciiTheme="majorBidi" w:hAnsiTheme="majorBidi" w:cstheme="majorBidi"/>
          <w:b/>
          <w:bCs/>
          <w:sz w:val="28"/>
          <w:szCs w:val="28"/>
        </w:rPr>
      </w:pPr>
    </w:p>
    <w:p w14:paraId="4DAA54BF" w14:textId="77777777" w:rsidR="001F68F1" w:rsidRPr="006B3495" w:rsidRDefault="001F68F1" w:rsidP="001F68F1">
      <w:pPr>
        <w:jc w:val="center"/>
        <w:rPr>
          <w:rFonts w:asciiTheme="majorBidi" w:hAnsiTheme="majorBidi" w:cstheme="majorBidi"/>
          <w:b/>
          <w:bCs/>
          <w:sz w:val="40"/>
          <w:szCs w:val="40"/>
          <w:shd w:val="clear" w:color="auto" w:fill="FFFFFF"/>
        </w:rPr>
      </w:pPr>
      <w:r w:rsidRPr="006B3495">
        <w:rPr>
          <w:rFonts w:asciiTheme="majorBidi" w:hAnsiTheme="majorBidi" w:cstheme="majorBidi"/>
          <w:b/>
          <w:bCs/>
          <w:sz w:val="40"/>
          <w:szCs w:val="40"/>
          <w:shd w:val="clear" w:color="auto" w:fill="FFFFFF"/>
        </w:rPr>
        <w:t xml:space="preserve">Comparison OF Radial Access Versus Femoral Access </w:t>
      </w:r>
      <w:proofErr w:type="gramStart"/>
      <w:r w:rsidRPr="006B3495">
        <w:rPr>
          <w:rFonts w:asciiTheme="majorBidi" w:hAnsiTheme="majorBidi" w:cstheme="majorBidi"/>
          <w:b/>
          <w:bCs/>
          <w:sz w:val="40"/>
          <w:szCs w:val="40"/>
          <w:shd w:val="clear" w:color="auto" w:fill="FFFFFF"/>
        </w:rPr>
        <w:t>With</w:t>
      </w:r>
      <w:proofErr w:type="gramEnd"/>
      <w:r w:rsidRPr="006B3495">
        <w:rPr>
          <w:rFonts w:asciiTheme="majorBidi" w:hAnsiTheme="majorBidi" w:cstheme="majorBidi"/>
          <w:b/>
          <w:bCs/>
          <w:sz w:val="40"/>
          <w:szCs w:val="40"/>
          <w:shd w:val="clear" w:color="auto" w:fill="FFFFFF"/>
        </w:rPr>
        <w:t xml:space="preserve"> </w:t>
      </w:r>
      <w:proofErr w:type="gramStart"/>
      <w:r w:rsidRPr="006B3495">
        <w:rPr>
          <w:rFonts w:asciiTheme="majorBidi" w:hAnsiTheme="majorBidi" w:cstheme="majorBidi"/>
          <w:b/>
          <w:bCs/>
          <w:sz w:val="40"/>
          <w:szCs w:val="40"/>
          <w:shd w:val="clear" w:color="auto" w:fill="FFFFFF"/>
        </w:rPr>
        <w:t>The</w:t>
      </w:r>
      <w:proofErr w:type="gramEnd"/>
      <w:r w:rsidRPr="006B3495">
        <w:rPr>
          <w:rFonts w:asciiTheme="majorBidi" w:hAnsiTheme="majorBidi" w:cstheme="majorBidi"/>
          <w:b/>
          <w:bCs/>
          <w:sz w:val="40"/>
          <w:szCs w:val="40"/>
          <w:shd w:val="clear" w:color="auto" w:fill="FFFFFF"/>
        </w:rPr>
        <w:t xml:space="preserve"> Use </w:t>
      </w:r>
      <w:proofErr w:type="gramStart"/>
      <w:r w:rsidRPr="006B3495">
        <w:rPr>
          <w:rFonts w:asciiTheme="majorBidi" w:hAnsiTheme="majorBidi" w:cstheme="majorBidi"/>
          <w:b/>
          <w:bCs/>
          <w:sz w:val="40"/>
          <w:szCs w:val="40"/>
          <w:shd w:val="clear" w:color="auto" w:fill="FFFFFF"/>
        </w:rPr>
        <w:t>Of</w:t>
      </w:r>
      <w:proofErr w:type="gramEnd"/>
      <w:r w:rsidRPr="006B3495">
        <w:rPr>
          <w:rFonts w:asciiTheme="majorBidi" w:hAnsiTheme="majorBidi" w:cstheme="majorBidi"/>
          <w:b/>
          <w:bCs/>
          <w:sz w:val="40"/>
          <w:szCs w:val="40"/>
          <w:shd w:val="clear" w:color="auto" w:fill="FFFFFF"/>
        </w:rPr>
        <w:t xml:space="preserve"> </w:t>
      </w:r>
      <w:proofErr w:type="gramStart"/>
      <w:r w:rsidRPr="006B3495">
        <w:rPr>
          <w:rFonts w:asciiTheme="majorBidi" w:hAnsiTheme="majorBidi" w:cstheme="majorBidi"/>
          <w:b/>
          <w:bCs/>
          <w:sz w:val="40"/>
          <w:szCs w:val="40"/>
          <w:shd w:val="clear" w:color="auto" w:fill="FFFFFF"/>
        </w:rPr>
        <w:t>A</w:t>
      </w:r>
      <w:proofErr w:type="gramEnd"/>
      <w:r w:rsidRPr="006B3495">
        <w:rPr>
          <w:rFonts w:asciiTheme="majorBidi" w:hAnsiTheme="majorBidi" w:cstheme="majorBidi"/>
          <w:b/>
          <w:bCs/>
          <w:sz w:val="40"/>
          <w:szCs w:val="40"/>
          <w:shd w:val="clear" w:color="auto" w:fill="FFFFFF"/>
        </w:rPr>
        <w:t xml:space="preserve"> Vascular Closure Device </w:t>
      </w:r>
      <w:proofErr w:type="gramStart"/>
      <w:r w:rsidRPr="006B3495">
        <w:rPr>
          <w:rFonts w:asciiTheme="majorBidi" w:hAnsiTheme="majorBidi" w:cstheme="majorBidi"/>
          <w:b/>
          <w:bCs/>
          <w:sz w:val="40"/>
          <w:szCs w:val="40"/>
          <w:shd w:val="clear" w:color="auto" w:fill="FFFFFF"/>
        </w:rPr>
        <w:t>For</w:t>
      </w:r>
      <w:proofErr w:type="gramEnd"/>
      <w:r w:rsidRPr="006B3495">
        <w:rPr>
          <w:rFonts w:asciiTheme="majorBidi" w:hAnsiTheme="majorBidi" w:cstheme="majorBidi"/>
          <w:b/>
          <w:bCs/>
          <w:sz w:val="40"/>
          <w:szCs w:val="40"/>
          <w:shd w:val="clear" w:color="auto" w:fill="FFFFFF"/>
        </w:rPr>
        <w:t xml:space="preserve"> Ease OF Operation, Procedure Time, And Vascular Complications </w:t>
      </w:r>
      <w:proofErr w:type="gramStart"/>
      <w:r w:rsidRPr="006B3495">
        <w:rPr>
          <w:rFonts w:asciiTheme="majorBidi" w:hAnsiTheme="majorBidi" w:cstheme="majorBidi"/>
          <w:b/>
          <w:bCs/>
          <w:sz w:val="40"/>
          <w:szCs w:val="40"/>
          <w:shd w:val="clear" w:color="auto" w:fill="FFFFFF"/>
        </w:rPr>
        <w:t>In</w:t>
      </w:r>
      <w:proofErr w:type="gramEnd"/>
      <w:r w:rsidRPr="006B3495">
        <w:rPr>
          <w:rFonts w:asciiTheme="majorBidi" w:hAnsiTheme="majorBidi" w:cstheme="majorBidi"/>
          <w:b/>
          <w:bCs/>
          <w:sz w:val="40"/>
          <w:szCs w:val="40"/>
          <w:shd w:val="clear" w:color="auto" w:fill="FFFFFF"/>
        </w:rPr>
        <w:t xml:space="preserve"> Patients Undergoing Percutaneous Coronary Intervention - A Retrospective Study</w:t>
      </w:r>
    </w:p>
    <w:p w14:paraId="1A81F643" w14:textId="77777777" w:rsidR="001F68F1" w:rsidRPr="006B3495" w:rsidRDefault="001F68F1" w:rsidP="001F68F1">
      <w:pPr>
        <w:autoSpaceDE w:val="0"/>
        <w:autoSpaceDN w:val="0"/>
        <w:adjustRightInd w:val="0"/>
        <w:spacing w:after="0"/>
        <w:jc w:val="both"/>
        <w:rPr>
          <w:rFonts w:asciiTheme="majorBidi" w:hAnsiTheme="majorBidi" w:cstheme="majorBidi"/>
          <w:b/>
          <w:bCs/>
          <w:sz w:val="28"/>
          <w:szCs w:val="28"/>
          <w:rtl/>
        </w:rPr>
      </w:pPr>
    </w:p>
    <w:p w14:paraId="06D117C6" w14:textId="77777777" w:rsidR="001F68F1" w:rsidRPr="006B3495" w:rsidRDefault="001F68F1" w:rsidP="001F68F1">
      <w:pPr>
        <w:autoSpaceDE w:val="0"/>
        <w:autoSpaceDN w:val="0"/>
        <w:adjustRightInd w:val="0"/>
        <w:spacing w:after="0"/>
        <w:jc w:val="both"/>
        <w:rPr>
          <w:rFonts w:asciiTheme="majorBidi" w:hAnsiTheme="majorBidi" w:cstheme="majorBidi"/>
          <w:b/>
          <w:bCs/>
          <w:sz w:val="28"/>
          <w:szCs w:val="28"/>
        </w:rPr>
      </w:pPr>
    </w:p>
    <w:p w14:paraId="1E89B995" w14:textId="77777777" w:rsidR="001F68F1" w:rsidRPr="006B3495" w:rsidRDefault="001F68F1" w:rsidP="001F68F1">
      <w:pPr>
        <w:autoSpaceDE w:val="0"/>
        <w:autoSpaceDN w:val="0"/>
        <w:adjustRightInd w:val="0"/>
        <w:spacing w:after="0"/>
        <w:jc w:val="both"/>
        <w:rPr>
          <w:rFonts w:asciiTheme="majorBidi" w:hAnsiTheme="majorBidi" w:cstheme="majorBidi"/>
          <w:b/>
          <w:bCs/>
          <w:sz w:val="28"/>
          <w:szCs w:val="28"/>
        </w:rPr>
      </w:pPr>
    </w:p>
    <w:p w14:paraId="24A15AE1" w14:textId="77777777" w:rsidR="001F68F1" w:rsidRPr="006B3495" w:rsidRDefault="001F68F1" w:rsidP="001F68F1">
      <w:pPr>
        <w:autoSpaceDE w:val="0"/>
        <w:autoSpaceDN w:val="0"/>
        <w:adjustRightInd w:val="0"/>
        <w:spacing w:after="0"/>
        <w:jc w:val="both"/>
        <w:rPr>
          <w:rFonts w:asciiTheme="majorBidi" w:hAnsiTheme="majorBidi" w:cstheme="majorBidi"/>
          <w:b/>
          <w:bCs/>
          <w:sz w:val="28"/>
          <w:szCs w:val="28"/>
        </w:rPr>
      </w:pPr>
    </w:p>
    <w:p w14:paraId="5D2823BB" w14:textId="77777777" w:rsidR="001F68F1" w:rsidRPr="006B3495" w:rsidRDefault="001F68F1" w:rsidP="001F68F1">
      <w:pPr>
        <w:autoSpaceDE w:val="0"/>
        <w:autoSpaceDN w:val="0"/>
        <w:adjustRightInd w:val="0"/>
        <w:spacing w:after="0"/>
        <w:jc w:val="both"/>
        <w:rPr>
          <w:rFonts w:asciiTheme="majorBidi" w:hAnsiTheme="majorBidi" w:cstheme="majorBidi"/>
          <w:b/>
          <w:bCs/>
          <w:sz w:val="28"/>
          <w:szCs w:val="28"/>
        </w:rPr>
      </w:pPr>
    </w:p>
    <w:p w14:paraId="67EFAD66" w14:textId="77777777" w:rsidR="001F68F1" w:rsidRPr="006B3495" w:rsidRDefault="001F68F1" w:rsidP="001F68F1">
      <w:pPr>
        <w:autoSpaceDE w:val="0"/>
        <w:autoSpaceDN w:val="0"/>
        <w:adjustRightInd w:val="0"/>
        <w:spacing w:after="0"/>
        <w:jc w:val="both"/>
        <w:rPr>
          <w:rFonts w:asciiTheme="majorBidi" w:hAnsiTheme="majorBidi" w:cstheme="majorBidi"/>
          <w:b/>
          <w:bCs/>
          <w:sz w:val="14"/>
          <w:szCs w:val="14"/>
        </w:rPr>
      </w:pPr>
    </w:p>
    <w:p w14:paraId="70DC148B" w14:textId="77777777" w:rsidR="001F68F1" w:rsidRPr="006B3495" w:rsidRDefault="001F68F1" w:rsidP="001F68F1">
      <w:pPr>
        <w:rPr>
          <w:rFonts w:asciiTheme="majorBidi" w:hAnsiTheme="majorBidi" w:cstheme="majorBidi"/>
          <w:sz w:val="28"/>
          <w:szCs w:val="28"/>
        </w:rPr>
      </w:pPr>
    </w:p>
    <w:p w14:paraId="460D0751" w14:textId="77777777" w:rsidR="001F68F1" w:rsidRPr="006B3495" w:rsidRDefault="001F68F1" w:rsidP="001F68F1">
      <w:pPr>
        <w:spacing w:after="240"/>
        <w:jc w:val="center"/>
        <w:rPr>
          <w:rFonts w:asciiTheme="majorBidi" w:eastAsia="Times New Roman" w:hAnsiTheme="majorBidi" w:cstheme="majorBidi"/>
          <w:bCs/>
          <w:sz w:val="24"/>
          <w:szCs w:val="24"/>
        </w:rPr>
      </w:pPr>
      <w:r w:rsidRPr="006B3495">
        <w:rPr>
          <w:rFonts w:asciiTheme="majorBidi" w:eastAsia="Times New Roman" w:hAnsiTheme="majorBidi" w:cstheme="majorBidi"/>
          <w:bCs/>
          <w:sz w:val="24"/>
          <w:szCs w:val="24"/>
        </w:rPr>
        <w:t xml:space="preserve">By </w:t>
      </w:r>
    </w:p>
    <w:p w14:paraId="7CDE7AC6" w14:textId="77777777" w:rsidR="001F68F1" w:rsidRPr="006B3495" w:rsidRDefault="001F68F1" w:rsidP="001F68F1">
      <w:pPr>
        <w:jc w:val="center"/>
        <w:rPr>
          <w:rFonts w:asciiTheme="majorBidi" w:hAnsiTheme="majorBidi" w:cstheme="majorBidi"/>
          <w:sz w:val="24"/>
          <w:szCs w:val="24"/>
        </w:rPr>
      </w:pPr>
      <w:r w:rsidRPr="006B3495">
        <w:rPr>
          <w:rFonts w:ascii="Times New Roman" w:hAnsi="Times New Roman" w:cs="Times New Roman"/>
          <w:sz w:val="24"/>
          <w:szCs w:val="24"/>
        </w:rPr>
        <w:t xml:space="preserve">Aya Yaseen </w:t>
      </w:r>
    </w:p>
    <w:p w14:paraId="7E1901A6" w14:textId="77777777" w:rsidR="001F68F1" w:rsidRPr="006B3495" w:rsidRDefault="001F68F1" w:rsidP="001F68F1">
      <w:pPr>
        <w:rPr>
          <w:rFonts w:asciiTheme="majorBidi" w:hAnsiTheme="majorBidi" w:cstheme="majorBidi"/>
          <w:sz w:val="24"/>
          <w:szCs w:val="24"/>
        </w:rPr>
      </w:pPr>
    </w:p>
    <w:tbl>
      <w:tblPr>
        <w:tblStyle w:val="TableGrid2"/>
        <w:tblW w:w="8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8"/>
        <w:gridCol w:w="4441"/>
      </w:tblGrid>
      <w:tr w:rsidR="004A617A" w:rsidRPr="006B3495" w14:paraId="2D907A07" w14:textId="77777777" w:rsidTr="00212183">
        <w:trPr>
          <w:trHeight w:val="847"/>
        </w:trPr>
        <w:tc>
          <w:tcPr>
            <w:tcW w:w="4338" w:type="dxa"/>
          </w:tcPr>
          <w:p w14:paraId="20614A19" w14:textId="77777777" w:rsidR="001F68F1" w:rsidRPr="006B3495" w:rsidRDefault="001F68F1" w:rsidP="00212183">
            <w:pPr>
              <w:tabs>
                <w:tab w:val="left" w:pos="923"/>
                <w:tab w:val="left" w:pos="1146"/>
              </w:tabs>
              <w:rPr>
                <w:rFonts w:asciiTheme="majorBidi" w:eastAsia="Times New Roman" w:hAnsiTheme="majorBidi" w:cstheme="majorBidi"/>
              </w:rPr>
            </w:pPr>
            <w:r w:rsidRPr="006B3495">
              <w:rPr>
                <w:rFonts w:asciiTheme="majorBidi" w:eastAsia="Times New Roman" w:hAnsiTheme="majorBidi" w:cstheme="majorBidi"/>
                <w:noProof/>
                <w:lang w:val="en-US"/>
              </w:rPr>
              <mc:AlternateContent>
                <mc:Choice Requires="wps">
                  <w:drawing>
                    <wp:anchor distT="0" distB="0" distL="114300" distR="114300" simplePos="0" relativeHeight="251653632" behindDoc="0" locked="0" layoutInCell="1" allowOverlap="1" wp14:anchorId="52B1F3DE" wp14:editId="0FE55A8D">
                      <wp:simplePos x="0" y="0"/>
                      <wp:positionH relativeFrom="column">
                        <wp:posOffset>-17133</wp:posOffset>
                      </wp:positionH>
                      <wp:positionV relativeFrom="paragraph">
                        <wp:posOffset>165100</wp:posOffset>
                      </wp:positionV>
                      <wp:extent cx="2086253"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20862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5077D59" id="Straight Connector 7" o:spid="_x0000_s1026" style="position:absolute;z-index:251653632;visibility:visible;mso-wrap-style:square;mso-wrap-distance-left:9pt;mso-wrap-distance-top:0;mso-wrap-distance-right:9pt;mso-wrap-distance-bottom:0;mso-position-horizontal:absolute;mso-position-horizontal-relative:text;mso-position-vertical:absolute;mso-position-vertical-relative:text" from="-1.35pt,13pt" to="162.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" strokecolor="black [3200]" strokeweight=".5pt">
                      <v:stroke joinstyle="miter"/>
                    </v:line>
                  </w:pict>
                </mc:Fallback>
              </mc:AlternateContent>
            </w:r>
            <w:r w:rsidRPr="006B3495">
              <w:t xml:space="preserve"> </w:t>
            </w:r>
            <w:r w:rsidRPr="006B3495">
              <w:rPr>
                <w:rFonts w:asciiTheme="majorBidi" w:eastAsia="Times New Roman" w:hAnsiTheme="majorBidi" w:cstheme="majorBidi"/>
              </w:rPr>
              <w:t>Dr. Fatima Hirzallah</w:t>
            </w:r>
          </w:p>
          <w:p w14:paraId="4F64603F" w14:textId="77777777" w:rsidR="001F68F1" w:rsidRPr="006B3495" w:rsidRDefault="001F68F1" w:rsidP="00212183">
            <w:pPr>
              <w:tabs>
                <w:tab w:val="left" w:pos="923"/>
                <w:tab w:val="left" w:pos="1146"/>
              </w:tabs>
              <w:rPr>
                <w:rFonts w:asciiTheme="majorBidi" w:eastAsia="Times New Roman" w:hAnsiTheme="majorBidi" w:cstheme="majorBidi"/>
              </w:rPr>
            </w:pPr>
            <w:r w:rsidRPr="006B3495">
              <w:rPr>
                <w:rFonts w:asciiTheme="majorBidi" w:eastAsia="Times New Roman" w:hAnsiTheme="majorBidi" w:cstheme="majorBidi"/>
              </w:rPr>
              <w:t>Supervisor</w:t>
            </w:r>
          </w:p>
        </w:tc>
        <w:tc>
          <w:tcPr>
            <w:tcW w:w="4441" w:type="dxa"/>
          </w:tcPr>
          <w:p w14:paraId="58CD2F72" w14:textId="77777777" w:rsidR="001F68F1" w:rsidRPr="006B3495" w:rsidRDefault="001F68F1" w:rsidP="00212183">
            <w:pPr>
              <w:tabs>
                <w:tab w:val="left" w:pos="923"/>
                <w:tab w:val="left" w:pos="1146"/>
              </w:tabs>
              <w:jc w:val="center"/>
              <w:rPr>
                <w:rFonts w:asciiTheme="majorBidi" w:eastAsia="Times New Roman" w:hAnsiTheme="majorBidi" w:cstheme="majorBidi"/>
              </w:rPr>
            </w:pPr>
            <w:r w:rsidRPr="006B3495">
              <w:rPr>
                <w:rFonts w:asciiTheme="majorBidi" w:eastAsia="Times New Roman" w:hAnsiTheme="majorBidi" w:cstheme="majorBidi"/>
                <w:noProof/>
                <w:lang w:val="en-US"/>
              </w:rPr>
              <mc:AlternateContent>
                <mc:Choice Requires="wps">
                  <w:drawing>
                    <wp:anchor distT="0" distB="0" distL="114300" distR="114300" simplePos="0" relativeHeight="251658752" behindDoc="0" locked="0" layoutInCell="1" allowOverlap="1" wp14:anchorId="6CCF90F6" wp14:editId="71F920FB">
                      <wp:simplePos x="0" y="0"/>
                      <wp:positionH relativeFrom="column">
                        <wp:posOffset>314337</wp:posOffset>
                      </wp:positionH>
                      <wp:positionV relativeFrom="paragraph">
                        <wp:posOffset>165100</wp:posOffset>
                      </wp:positionV>
                      <wp:extent cx="2086253" cy="0"/>
                      <wp:effectExtent l="0" t="0" r="28575" b="19050"/>
                      <wp:wrapNone/>
                      <wp:docPr id="16" name="Straight Connector 16"/>
                      <wp:cNvGraphicFramePr/>
                      <a:graphic xmlns:a="http://schemas.openxmlformats.org/drawingml/2006/main">
                        <a:graphicData uri="http://schemas.microsoft.com/office/word/2010/wordprocessingShape">
                          <wps:wsp>
                            <wps:cNvCnPr/>
                            <wps:spPr>
                              <a:xfrm>
                                <a:off x="0" y="0"/>
                                <a:ext cx="20862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E4DCEE" id="Straight Connector 16"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24.75pt,13pt" to="18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" strokecolor="black [3200]" strokeweight=".5pt">
                      <v:stroke joinstyle="miter"/>
                    </v:line>
                  </w:pict>
                </mc:Fallback>
              </mc:AlternateContent>
            </w:r>
          </w:p>
          <w:p w14:paraId="52A20B18" w14:textId="77777777" w:rsidR="001F68F1" w:rsidRPr="006B3495" w:rsidRDefault="001F68F1" w:rsidP="00212183">
            <w:pPr>
              <w:tabs>
                <w:tab w:val="left" w:pos="923"/>
                <w:tab w:val="left" w:pos="1146"/>
              </w:tabs>
              <w:jc w:val="center"/>
              <w:rPr>
                <w:rFonts w:asciiTheme="majorBidi" w:eastAsia="Times New Roman" w:hAnsiTheme="majorBidi" w:cstheme="majorBidi"/>
              </w:rPr>
            </w:pPr>
            <w:r w:rsidRPr="006B3495">
              <w:rPr>
                <w:rFonts w:asciiTheme="majorBidi" w:eastAsia="Times New Roman" w:hAnsiTheme="majorBidi" w:cstheme="majorBidi"/>
              </w:rPr>
              <w:t>Signature</w:t>
            </w:r>
          </w:p>
        </w:tc>
      </w:tr>
      <w:tr w:rsidR="004A617A" w:rsidRPr="006B3495" w14:paraId="12D282B1" w14:textId="77777777" w:rsidTr="00212183">
        <w:trPr>
          <w:trHeight w:val="847"/>
        </w:trPr>
        <w:tc>
          <w:tcPr>
            <w:tcW w:w="4338" w:type="dxa"/>
          </w:tcPr>
          <w:p w14:paraId="1AA61E03" w14:textId="77777777" w:rsidR="001F68F1" w:rsidRPr="007F19D0" w:rsidRDefault="001F68F1" w:rsidP="00212183">
            <w:pPr>
              <w:tabs>
                <w:tab w:val="left" w:pos="923"/>
                <w:tab w:val="left" w:pos="1146"/>
              </w:tabs>
              <w:rPr>
                <w:rFonts w:asciiTheme="majorBidi" w:eastAsia="Times New Roman" w:hAnsiTheme="majorBidi" w:cstheme="majorBidi"/>
                <w:color w:val="EE0000"/>
              </w:rPr>
            </w:pPr>
            <w:r w:rsidRPr="007F19D0">
              <w:rPr>
                <w:rFonts w:asciiTheme="majorBidi" w:eastAsia="Times New Roman" w:hAnsiTheme="majorBidi" w:cstheme="majorBidi"/>
                <w:noProof/>
                <w:color w:val="EE0000"/>
                <w:lang w:val="en-US"/>
              </w:rPr>
              <mc:AlternateContent>
                <mc:Choice Requires="wps">
                  <w:drawing>
                    <wp:anchor distT="0" distB="0" distL="114300" distR="114300" simplePos="0" relativeHeight="251654656" behindDoc="0" locked="0" layoutInCell="1" allowOverlap="1" wp14:anchorId="7D732182" wp14:editId="44D980D2">
                      <wp:simplePos x="0" y="0"/>
                      <wp:positionH relativeFrom="column">
                        <wp:posOffset>-17133</wp:posOffset>
                      </wp:positionH>
                      <wp:positionV relativeFrom="paragraph">
                        <wp:posOffset>165100</wp:posOffset>
                      </wp:positionV>
                      <wp:extent cx="2086253" cy="0"/>
                      <wp:effectExtent l="0" t="0" r="28575" b="19050"/>
                      <wp:wrapNone/>
                      <wp:docPr id="10" name="Straight Connector 10"/>
                      <wp:cNvGraphicFramePr/>
                      <a:graphic xmlns:a="http://schemas.openxmlformats.org/drawingml/2006/main">
                        <a:graphicData uri="http://schemas.microsoft.com/office/word/2010/wordprocessingShape">
                          <wps:wsp>
                            <wps:cNvCnPr/>
                            <wps:spPr>
                              <a:xfrm>
                                <a:off x="0" y="0"/>
                                <a:ext cx="20862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FF26CF" id="Straight Connector 10" o:spid="_x0000_s1026" style="position:absolute;z-index:251654656;visibility:visible;mso-wrap-style:square;mso-wrap-distance-left:9pt;mso-wrap-distance-top:0;mso-wrap-distance-right:9pt;mso-wrap-distance-bottom:0;mso-position-horizontal:absolute;mso-position-horizontal-relative:text;mso-position-vertical:absolute;mso-position-vertical-relative:text" from="-1.35pt,13pt" to="162.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" strokecolor="black [3200]" strokeweight=".5pt">
                      <v:stroke joinstyle="miter"/>
                    </v:line>
                  </w:pict>
                </mc:Fallback>
              </mc:AlternateContent>
            </w:r>
            <w:r w:rsidRPr="007F19D0">
              <w:rPr>
                <w:rFonts w:asciiTheme="majorBidi" w:eastAsia="Times New Roman" w:hAnsiTheme="majorBidi" w:cstheme="majorBidi"/>
                <w:color w:val="EE0000"/>
              </w:rPr>
              <w:t>Insert Name</w:t>
            </w:r>
          </w:p>
          <w:p w14:paraId="71DA06CB" w14:textId="77777777" w:rsidR="001F68F1" w:rsidRPr="007F19D0" w:rsidRDefault="001F68F1" w:rsidP="00212183">
            <w:pPr>
              <w:tabs>
                <w:tab w:val="left" w:pos="923"/>
                <w:tab w:val="left" w:pos="1146"/>
              </w:tabs>
              <w:rPr>
                <w:rFonts w:asciiTheme="majorBidi" w:eastAsia="Times New Roman" w:hAnsiTheme="majorBidi" w:cstheme="majorBidi"/>
                <w:color w:val="EE0000"/>
              </w:rPr>
            </w:pPr>
            <w:r w:rsidRPr="007F19D0">
              <w:rPr>
                <w:rFonts w:asciiTheme="majorBidi" w:eastAsia="Times New Roman" w:hAnsiTheme="majorBidi" w:cstheme="majorBidi"/>
                <w:color w:val="EE0000"/>
              </w:rPr>
              <w:t>External Examiner</w:t>
            </w:r>
          </w:p>
        </w:tc>
        <w:tc>
          <w:tcPr>
            <w:tcW w:w="4441" w:type="dxa"/>
          </w:tcPr>
          <w:p w14:paraId="5443924E" w14:textId="77777777" w:rsidR="001F68F1" w:rsidRPr="006B3495" w:rsidRDefault="001F68F1" w:rsidP="00212183">
            <w:pPr>
              <w:tabs>
                <w:tab w:val="left" w:pos="923"/>
                <w:tab w:val="left" w:pos="1146"/>
              </w:tabs>
              <w:jc w:val="center"/>
              <w:rPr>
                <w:rFonts w:asciiTheme="majorBidi" w:eastAsia="Times New Roman" w:hAnsiTheme="majorBidi" w:cstheme="majorBidi"/>
              </w:rPr>
            </w:pPr>
            <w:r w:rsidRPr="006B3495">
              <w:rPr>
                <w:rFonts w:asciiTheme="majorBidi" w:eastAsia="Times New Roman" w:hAnsiTheme="majorBidi" w:cstheme="majorBidi"/>
                <w:noProof/>
                <w:lang w:val="en-US"/>
              </w:rPr>
              <mc:AlternateContent>
                <mc:Choice Requires="wps">
                  <w:drawing>
                    <wp:anchor distT="0" distB="0" distL="114300" distR="114300" simplePos="0" relativeHeight="251659776" behindDoc="0" locked="0" layoutInCell="1" allowOverlap="1" wp14:anchorId="672FD739" wp14:editId="316084DE">
                      <wp:simplePos x="0" y="0"/>
                      <wp:positionH relativeFrom="column">
                        <wp:posOffset>314337</wp:posOffset>
                      </wp:positionH>
                      <wp:positionV relativeFrom="paragraph">
                        <wp:posOffset>165100</wp:posOffset>
                      </wp:positionV>
                      <wp:extent cx="2086253" cy="0"/>
                      <wp:effectExtent l="0" t="0" r="28575" b="19050"/>
                      <wp:wrapNone/>
                      <wp:docPr id="18" name="Straight Connector 18"/>
                      <wp:cNvGraphicFramePr/>
                      <a:graphic xmlns:a="http://schemas.openxmlformats.org/drawingml/2006/main">
                        <a:graphicData uri="http://schemas.microsoft.com/office/word/2010/wordprocessingShape">
                          <wps:wsp>
                            <wps:cNvCnPr/>
                            <wps:spPr>
                              <a:xfrm>
                                <a:off x="0" y="0"/>
                                <a:ext cx="20862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5E2AB9" id="Straight Connector 18"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24.75pt,13pt" to="18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" strokecolor="black [3200]" strokeweight=".5pt">
                      <v:stroke joinstyle="miter"/>
                    </v:line>
                  </w:pict>
                </mc:Fallback>
              </mc:AlternateContent>
            </w:r>
          </w:p>
          <w:p w14:paraId="3F509E37" w14:textId="77777777" w:rsidR="001F68F1" w:rsidRPr="006B3495" w:rsidRDefault="001F68F1" w:rsidP="00212183">
            <w:pPr>
              <w:tabs>
                <w:tab w:val="left" w:pos="3840"/>
                <w:tab w:val="center" w:pos="4680"/>
              </w:tabs>
              <w:spacing w:line="480" w:lineRule="auto"/>
              <w:jc w:val="center"/>
              <w:rPr>
                <w:rFonts w:asciiTheme="majorBidi" w:eastAsia="Times New Roman" w:hAnsiTheme="majorBidi" w:cstheme="majorBidi"/>
              </w:rPr>
            </w:pPr>
            <w:r w:rsidRPr="006B3495">
              <w:rPr>
                <w:rFonts w:asciiTheme="majorBidi" w:eastAsia="Times New Roman" w:hAnsiTheme="majorBidi" w:cstheme="majorBidi"/>
              </w:rPr>
              <w:t>Signature</w:t>
            </w:r>
          </w:p>
        </w:tc>
      </w:tr>
      <w:tr w:rsidR="001F68F1" w:rsidRPr="006B3495" w14:paraId="17568536" w14:textId="77777777" w:rsidTr="00212183">
        <w:trPr>
          <w:trHeight w:val="847"/>
        </w:trPr>
        <w:tc>
          <w:tcPr>
            <w:tcW w:w="4338" w:type="dxa"/>
          </w:tcPr>
          <w:p w14:paraId="30EC8A8E" w14:textId="77777777" w:rsidR="001F68F1" w:rsidRPr="007F19D0" w:rsidRDefault="001F68F1" w:rsidP="00212183">
            <w:pPr>
              <w:tabs>
                <w:tab w:val="left" w:pos="923"/>
                <w:tab w:val="left" w:pos="1146"/>
              </w:tabs>
              <w:rPr>
                <w:rFonts w:asciiTheme="majorBidi" w:eastAsia="Times New Roman" w:hAnsiTheme="majorBidi" w:cstheme="majorBidi"/>
                <w:color w:val="EE0000"/>
              </w:rPr>
            </w:pPr>
            <w:r w:rsidRPr="007F19D0">
              <w:rPr>
                <w:rFonts w:asciiTheme="majorBidi" w:eastAsia="Times New Roman" w:hAnsiTheme="majorBidi" w:cstheme="majorBidi"/>
                <w:noProof/>
                <w:color w:val="EE0000"/>
                <w:lang w:val="en-US"/>
              </w:rPr>
              <mc:AlternateContent>
                <mc:Choice Requires="wps">
                  <w:drawing>
                    <wp:anchor distT="0" distB="0" distL="114300" distR="114300" simplePos="0" relativeHeight="251656704" behindDoc="0" locked="0" layoutInCell="1" allowOverlap="1" wp14:anchorId="5ED60659" wp14:editId="53BE6C08">
                      <wp:simplePos x="0" y="0"/>
                      <wp:positionH relativeFrom="column">
                        <wp:posOffset>-17133</wp:posOffset>
                      </wp:positionH>
                      <wp:positionV relativeFrom="paragraph">
                        <wp:posOffset>165100</wp:posOffset>
                      </wp:positionV>
                      <wp:extent cx="2086253" cy="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20862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7790CB7" id="Straight Connector 11"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1.35pt,13pt" to="162.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" strokecolor="black [3200]" strokeweight=".5pt">
                      <v:stroke joinstyle="miter"/>
                    </v:line>
                  </w:pict>
                </mc:Fallback>
              </mc:AlternateContent>
            </w:r>
            <w:r w:rsidRPr="007F19D0">
              <w:rPr>
                <w:rFonts w:asciiTheme="majorBidi" w:eastAsia="Times New Roman" w:hAnsiTheme="majorBidi" w:cstheme="majorBidi"/>
                <w:color w:val="EE0000"/>
              </w:rPr>
              <w:t>Insert Name</w:t>
            </w:r>
          </w:p>
          <w:p w14:paraId="7D8C43A5" w14:textId="77777777" w:rsidR="001F68F1" w:rsidRPr="007F19D0" w:rsidRDefault="001F68F1" w:rsidP="00212183">
            <w:pPr>
              <w:tabs>
                <w:tab w:val="left" w:pos="923"/>
                <w:tab w:val="left" w:pos="1146"/>
              </w:tabs>
              <w:rPr>
                <w:rFonts w:asciiTheme="majorBidi" w:eastAsia="Times New Roman" w:hAnsiTheme="majorBidi" w:cstheme="majorBidi"/>
                <w:color w:val="EE0000"/>
              </w:rPr>
            </w:pPr>
            <w:r w:rsidRPr="007F19D0">
              <w:rPr>
                <w:rFonts w:asciiTheme="majorBidi" w:eastAsia="Times New Roman" w:hAnsiTheme="majorBidi" w:cstheme="majorBidi"/>
                <w:color w:val="EE0000"/>
              </w:rPr>
              <w:t>Internal Examiner</w:t>
            </w:r>
          </w:p>
        </w:tc>
        <w:tc>
          <w:tcPr>
            <w:tcW w:w="4441" w:type="dxa"/>
          </w:tcPr>
          <w:p w14:paraId="090C1DE3" w14:textId="77777777" w:rsidR="001F68F1" w:rsidRPr="006B3495" w:rsidRDefault="001F68F1" w:rsidP="00212183">
            <w:pPr>
              <w:tabs>
                <w:tab w:val="left" w:pos="923"/>
                <w:tab w:val="left" w:pos="1146"/>
              </w:tabs>
              <w:jc w:val="center"/>
              <w:rPr>
                <w:rFonts w:asciiTheme="majorBidi" w:eastAsia="Times New Roman" w:hAnsiTheme="majorBidi" w:cstheme="majorBidi"/>
              </w:rPr>
            </w:pPr>
            <w:r w:rsidRPr="006B3495">
              <w:rPr>
                <w:rFonts w:asciiTheme="majorBidi" w:eastAsia="Times New Roman" w:hAnsiTheme="majorBidi" w:cstheme="majorBidi"/>
                <w:noProof/>
                <w:lang w:val="en-US"/>
              </w:rPr>
              <mc:AlternateContent>
                <mc:Choice Requires="wps">
                  <w:drawing>
                    <wp:anchor distT="0" distB="0" distL="114300" distR="114300" simplePos="0" relativeHeight="251661824" behindDoc="0" locked="0" layoutInCell="1" allowOverlap="1" wp14:anchorId="4B4357BB" wp14:editId="71897F31">
                      <wp:simplePos x="0" y="0"/>
                      <wp:positionH relativeFrom="column">
                        <wp:posOffset>314337</wp:posOffset>
                      </wp:positionH>
                      <wp:positionV relativeFrom="paragraph">
                        <wp:posOffset>165100</wp:posOffset>
                      </wp:positionV>
                      <wp:extent cx="2086253" cy="0"/>
                      <wp:effectExtent l="0" t="0" r="28575" b="19050"/>
                      <wp:wrapNone/>
                      <wp:docPr id="19" name="Straight Connector 19"/>
                      <wp:cNvGraphicFramePr/>
                      <a:graphic xmlns:a="http://schemas.openxmlformats.org/drawingml/2006/main">
                        <a:graphicData uri="http://schemas.microsoft.com/office/word/2010/wordprocessingShape">
                          <wps:wsp>
                            <wps:cNvCnPr/>
                            <wps:spPr>
                              <a:xfrm>
                                <a:off x="0" y="0"/>
                                <a:ext cx="20862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664E56" id="Straight Connector 19"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24.75pt,13pt" to="18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" strokecolor="black [3200]" strokeweight=".5pt">
                      <v:stroke joinstyle="miter"/>
                    </v:line>
                  </w:pict>
                </mc:Fallback>
              </mc:AlternateContent>
            </w:r>
          </w:p>
          <w:p w14:paraId="30E33434" w14:textId="77777777" w:rsidR="001F68F1" w:rsidRPr="006B3495" w:rsidRDefault="001F68F1" w:rsidP="00212183">
            <w:pPr>
              <w:tabs>
                <w:tab w:val="left" w:pos="3840"/>
                <w:tab w:val="center" w:pos="4680"/>
              </w:tabs>
              <w:spacing w:line="480" w:lineRule="auto"/>
              <w:jc w:val="center"/>
              <w:rPr>
                <w:rFonts w:asciiTheme="majorBidi" w:eastAsia="Times New Roman" w:hAnsiTheme="majorBidi" w:cstheme="majorBidi"/>
              </w:rPr>
            </w:pPr>
            <w:r w:rsidRPr="006B3495">
              <w:rPr>
                <w:rFonts w:asciiTheme="majorBidi" w:eastAsia="Times New Roman" w:hAnsiTheme="majorBidi" w:cstheme="majorBidi"/>
              </w:rPr>
              <w:t>Signature</w:t>
            </w:r>
          </w:p>
        </w:tc>
      </w:tr>
    </w:tbl>
    <w:p w14:paraId="6D4125AE" w14:textId="77777777" w:rsidR="001F68F1" w:rsidRPr="006B3495" w:rsidRDefault="001F68F1" w:rsidP="00A11B6B">
      <w:pPr>
        <w:pStyle w:val="a"/>
      </w:pPr>
      <w:bookmarkStart w:id="7" w:name="_Toc90472896"/>
    </w:p>
    <w:p w14:paraId="774F85D5" w14:textId="77777777" w:rsidR="001F68F1" w:rsidRPr="006B3495" w:rsidRDefault="001F68F1" w:rsidP="001F68F1">
      <w:pPr>
        <w:spacing w:after="200" w:line="276" w:lineRule="auto"/>
        <w:rPr>
          <w:rFonts w:ascii="Times New Roman" w:eastAsia="Times New Roman" w:hAnsi="Times New Roman" w:cs="Times New Roman"/>
          <w:b/>
          <w:bCs/>
          <w:w w:val="110"/>
          <w:sz w:val="24"/>
          <w:szCs w:val="24"/>
        </w:rPr>
      </w:pPr>
      <w:r w:rsidRPr="006B3495">
        <w:br w:type="page"/>
      </w:r>
    </w:p>
    <w:p w14:paraId="40CE45DF" w14:textId="77777777" w:rsidR="001F68F1" w:rsidRPr="006B3495" w:rsidRDefault="001F68F1" w:rsidP="001F68F1">
      <w:pPr>
        <w:pStyle w:val="a1"/>
        <w:jc w:val="both"/>
        <w:rPr>
          <w:rFonts w:ascii="Times New Roman" w:hAnsi="Times New Roman" w:cs="Times New Roman"/>
          <w:b/>
          <w:bCs/>
          <w:color w:val="auto"/>
          <w:w w:val="110"/>
        </w:rPr>
      </w:pPr>
      <w:bookmarkStart w:id="8" w:name="_Toc90472898"/>
      <w:bookmarkEnd w:id="3"/>
      <w:bookmarkEnd w:id="4"/>
      <w:bookmarkEnd w:id="5"/>
      <w:bookmarkEnd w:id="6"/>
      <w:bookmarkEnd w:id="7"/>
      <w:r w:rsidRPr="006B3495">
        <w:rPr>
          <w:rFonts w:ascii="Times New Roman" w:hAnsi="Times New Roman" w:cs="Times New Roman"/>
          <w:b/>
          <w:bCs/>
          <w:color w:val="auto"/>
          <w:w w:val="110"/>
        </w:rPr>
        <w:lastRenderedPageBreak/>
        <w:t>Acknowledgment</w:t>
      </w:r>
    </w:p>
    <w:p w14:paraId="445B61D7" w14:textId="320F9100" w:rsidR="001F68F1" w:rsidRPr="006B3495" w:rsidRDefault="001F68F1" w:rsidP="001F68F1">
      <w:pPr>
        <w:pStyle w:val="a1"/>
        <w:jc w:val="both"/>
        <w:rPr>
          <w:rStyle w:val="y2iqfc"/>
          <w:rFonts w:eastAsia="Calibri"/>
          <w:color w:val="auto"/>
          <w:sz w:val="28"/>
          <w:szCs w:val="28"/>
        </w:rPr>
      </w:pPr>
      <w:r w:rsidRPr="006B3495">
        <w:rPr>
          <w:rStyle w:val="y2iqfc"/>
          <w:rFonts w:eastAsia="Calibri"/>
          <w:color w:val="auto"/>
          <w:sz w:val="28"/>
          <w:szCs w:val="28"/>
        </w:rPr>
        <w:t xml:space="preserve">I dedicate this work to my parents, </w:t>
      </w:r>
      <w:r w:rsidR="00142A76">
        <w:rPr>
          <w:rStyle w:val="y2iqfc"/>
          <w:rFonts w:eastAsia="Calibri"/>
          <w:color w:val="auto"/>
          <w:sz w:val="28"/>
          <w:szCs w:val="28"/>
        </w:rPr>
        <w:t>Wafa</w:t>
      </w:r>
      <w:r w:rsidRPr="006B3495">
        <w:rPr>
          <w:rStyle w:val="y2iqfc"/>
          <w:rFonts w:eastAsia="Calibri"/>
          <w:color w:val="auto"/>
          <w:sz w:val="28"/>
          <w:szCs w:val="28"/>
        </w:rPr>
        <w:t xml:space="preserve"> and </w:t>
      </w:r>
      <w:r w:rsidR="00142A76">
        <w:rPr>
          <w:rStyle w:val="y2iqfc"/>
          <w:rFonts w:eastAsia="Calibri"/>
          <w:color w:val="auto"/>
          <w:sz w:val="28"/>
          <w:szCs w:val="28"/>
        </w:rPr>
        <w:t>Sobhe Yaseen,</w:t>
      </w:r>
      <w:r w:rsidRPr="006B3495">
        <w:rPr>
          <w:rStyle w:val="y2iqfc"/>
          <w:rFonts w:eastAsia="Calibri"/>
          <w:color w:val="auto"/>
          <w:sz w:val="28"/>
          <w:szCs w:val="28"/>
        </w:rPr>
        <w:t xml:space="preserve"> whose love, support, and sacrifices have shaped me into the person I am today. Your encouragement, wisdom, and belief in me have been the pillars of my success. I am forever grateful for your unwavering faith in my abilities.</w:t>
      </w:r>
    </w:p>
    <w:p w14:paraId="00C5492E" w14:textId="7CA3F37D" w:rsidR="001F68F1" w:rsidRPr="006B3495" w:rsidRDefault="001F68F1" w:rsidP="001F68F1">
      <w:pPr>
        <w:pStyle w:val="a1"/>
        <w:jc w:val="both"/>
        <w:rPr>
          <w:rStyle w:val="y2iqfc"/>
          <w:rFonts w:eastAsia="Calibri"/>
          <w:color w:val="auto"/>
          <w:sz w:val="28"/>
          <w:szCs w:val="28"/>
        </w:rPr>
      </w:pPr>
      <w:r w:rsidRPr="006B3495">
        <w:rPr>
          <w:rStyle w:val="y2iqfc"/>
          <w:rFonts w:eastAsia="Calibri"/>
          <w:color w:val="auto"/>
          <w:sz w:val="28"/>
          <w:szCs w:val="28"/>
        </w:rPr>
        <w:t xml:space="preserve">To my advisor, </w:t>
      </w:r>
      <w:r w:rsidR="00142A76">
        <w:rPr>
          <w:rStyle w:val="y2iqfc"/>
          <w:rFonts w:eastAsia="Calibri"/>
          <w:color w:val="auto"/>
          <w:sz w:val="28"/>
          <w:szCs w:val="28"/>
        </w:rPr>
        <w:t>Dr</w:t>
      </w:r>
      <w:r w:rsidR="005B0009" w:rsidRPr="006B3495">
        <w:rPr>
          <w:rStyle w:val="y2iqfc"/>
          <w:rFonts w:eastAsia="Calibri"/>
          <w:color w:val="auto"/>
          <w:sz w:val="28"/>
          <w:szCs w:val="28"/>
        </w:rPr>
        <w:t xml:space="preserve"> </w:t>
      </w:r>
      <w:r w:rsidRPr="006B3495">
        <w:rPr>
          <w:rStyle w:val="y2iqfc"/>
          <w:rFonts w:eastAsia="Calibri"/>
          <w:color w:val="auto"/>
          <w:sz w:val="28"/>
          <w:szCs w:val="28"/>
        </w:rPr>
        <w:t>Fatima Hirzallah, for their guidance, patience, and mentorship throughout this journey. Your expertise and insightful feedback were instrumental in the completion of this work. I am deeply thankful for your support in navigating this challenging process.</w:t>
      </w:r>
    </w:p>
    <w:p w14:paraId="2B95158C" w14:textId="3735CE44" w:rsidR="001F68F1" w:rsidRPr="006B3495" w:rsidRDefault="001F68F1" w:rsidP="001F68F1">
      <w:pPr>
        <w:pStyle w:val="a1"/>
        <w:jc w:val="both"/>
        <w:rPr>
          <w:rStyle w:val="y2iqfc"/>
          <w:rFonts w:eastAsia="Calibri"/>
          <w:color w:val="auto"/>
          <w:sz w:val="28"/>
          <w:szCs w:val="28"/>
        </w:rPr>
      </w:pPr>
      <w:r w:rsidRPr="006B3495">
        <w:rPr>
          <w:rStyle w:val="y2iqfc"/>
          <w:rFonts w:eastAsia="Calibri"/>
          <w:color w:val="auto"/>
          <w:sz w:val="28"/>
          <w:szCs w:val="28"/>
        </w:rPr>
        <w:t xml:space="preserve">To my </w:t>
      </w:r>
      <w:r w:rsidR="00142A76">
        <w:rPr>
          <w:rStyle w:val="y2iqfc"/>
          <w:rFonts w:eastAsia="Calibri"/>
          <w:color w:val="auto"/>
          <w:sz w:val="28"/>
          <w:szCs w:val="28"/>
        </w:rPr>
        <w:t>family,</w:t>
      </w:r>
      <w:r w:rsidRPr="006B3495">
        <w:rPr>
          <w:rStyle w:val="y2iqfc"/>
          <w:rFonts w:eastAsia="Calibri"/>
          <w:color w:val="auto"/>
          <w:sz w:val="28"/>
          <w:szCs w:val="28"/>
        </w:rPr>
        <w:t xml:space="preserve"> whose constant motivation and sacrifices have been the driving force behind my academic achievements. You have been my anchor, and I dedicate this work to you.</w:t>
      </w:r>
    </w:p>
    <w:p w14:paraId="1168594E" w14:textId="77777777" w:rsidR="001F68F1" w:rsidRPr="006B3495" w:rsidRDefault="001F68F1" w:rsidP="001F68F1">
      <w:pPr>
        <w:pStyle w:val="a1"/>
        <w:jc w:val="both"/>
        <w:rPr>
          <w:rStyle w:val="y2iqfc"/>
          <w:rFonts w:eastAsia="Calibri"/>
          <w:color w:val="auto"/>
          <w:sz w:val="28"/>
          <w:szCs w:val="28"/>
        </w:rPr>
      </w:pPr>
      <w:r w:rsidRPr="006B3495">
        <w:rPr>
          <w:rStyle w:val="y2iqfc"/>
          <w:rFonts w:eastAsia="Calibri"/>
          <w:color w:val="auto"/>
          <w:sz w:val="28"/>
          <w:szCs w:val="28"/>
        </w:rPr>
        <w:t>To my friends and colleagues, for their constant companionship, encouragement, and emotional support. Your laughter and camaraderie made this journey both meaningful and memorable.</w:t>
      </w:r>
    </w:p>
    <w:p w14:paraId="6B36C236" w14:textId="77777777" w:rsidR="001F68F1" w:rsidRPr="006B3495" w:rsidRDefault="001F68F1" w:rsidP="001F68F1">
      <w:pPr>
        <w:pStyle w:val="a1"/>
        <w:jc w:val="both"/>
        <w:rPr>
          <w:rStyle w:val="y2iqfc"/>
          <w:rFonts w:eastAsia="Calibri"/>
          <w:color w:val="auto"/>
          <w:sz w:val="28"/>
          <w:szCs w:val="28"/>
        </w:rPr>
      </w:pPr>
      <w:r w:rsidRPr="006B3495">
        <w:rPr>
          <w:rStyle w:val="y2iqfc"/>
          <w:rFonts w:eastAsia="Calibri"/>
          <w:color w:val="auto"/>
          <w:sz w:val="28"/>
          <w:szCs w:val="28"/>
        </w:rPr>
        <w:t>And finally, to all those who have been a part of my academic and personal journey, whether near or far. Your contributions, both big and small, have shaped the person I am and the work I have completed.</w:t>
      </w:r>
    </w:p>
    <w:p w14:paraId="2EC59501" w14:textId="77777777" w:rsidR="001F68F1" w:rsidRPr="006B3495" w:rsidRDefault="001F68F1" w:rsidP="001F68F1">
      <w:pPr>
        <w:spacing w:after="200" w:line="276" w:lineRule="auto"/>
        <w:rPr>
          <w:rFonts w:ascii="Times New Roman" w:eastAsia="Times New Roman" w:hAnsi="Times New Roman" w:cs="Times New Roman"/>
          <w:b/>
          <w:bCs/>
          <w:w w:val="110"/>
          <w:sz w:val="24"/>
          <w:szCs w:val="24"/>
        </w:rPr>
      </w:pPr>
      <w:r w:rsidRPr="006B3495">
        <w:br w:type="page"/>
      </w:r>
    </w:p>
    <w:p w14:paraId="6CF22180" w14:textId="77777777" w:rsidR="001F68F1" w:rsidRPr="006B3495" w:rsidRDefault="001F68F1" w:rsidP="00A11B6B">
      <w:pPr>
        <w:pStyle w:val="a"/>
        <w:rPr>
          <w:rStyle w:val="y2iqfc"/>
        </w:rPr>
      </w:pPr>
      <w:bookmarkStart w:id="9" w:name="_Toc212871495"/>
      <w:r w:rsidRPr="006B3495">
        <w:lastRenderedPageBreak/>
        <w:t>Abbreviations</w:t>
      </w:r>
      <w:bookmarkEnd w:id="9"/>
      <w:r w:rsidRPr="006B3495">
        <w:t xml:space="preserve"> </w:t>
      </w:r>
    </w:p>
    <w:tbl>
      <w:tblPr>
        <w:tblStyle w:val="TableGrid"/>
        <w:tblW w:w="0" w:type="auto"/>
        <w:tblLook w:val="04A0" w:firstRow="1" w:lastRow="0" w:firstColumn="1" w:lastColumn="0" w:noHBand="0" w:noVBand="1"/>
      </w:tblPr>
      <w:tblGrid>
        <w:gridCol w:w="2830"/>
        <w:gridCol w:w="5466"/>
      </w:tblGrid>
      <w:tr w:rsidR="0084251B" w:rsidRPr="0052538F" w14:paraId="11A8682A" w14:textId="77777777" w:rsidTr="00235FA1">
        <w:trPr>
          <w:trHeight w:val="529"/>
        </w:trPr>
        <w:tc>
          <w:tcPr>
            <w:tcW w:w="2830" w:type="dxa"/>
          </w:tcPr>
          <w:p w14:paraId="2D08E278" w14:textId="77777777" w:rsidR="0084251B" w:rsidRPr="006B3495" w:rsidRDefault="0084251B" w:rsidP="00235FA1">
            <w:pPr>
              <w:pStyle w:val="a1"/>
              <w:spacing w:line="276" w:lineRule="auto"/>
              <w:jc w:val="both"/>
              <w:rPr>
                <w:rStyle w:val="y2iqfc"/>
                <w:rFonts w:eastAsia="Calibri"/>
                <w:color w:val="auto"/>
              </w:rPr>
            </w:pPr>
            <w:bookmarkStart w:id="10" w:name="_Hlk181814483"/>
            <w:r w:rsidRPr="0052538F">
              <w:rPr>
                <w:rStyle w:val="y2iqfc"/>
                <w:rFonts w:eastAsia="Calibri"/>
                <w:color w:val="auto"/>
              </w:rPr>
              <w:t>Acei</w:t>
            </w:r>
          </w:p>
        </w:tc>
        <w:tc>
          <w:tcPr>
            <w:tcW w:w="5466" w:type="dxa"/>
          </w:tcPr>
          <w:p w14:paraId="48E4EEC2" w14:textId="77777777" w:rsidR="0084251B" w:rsidRPr="006B3495" w:rsidRDefault="0084251B" w:rsidP="00235FA1">
            <w:pPr>
              <w:pStyle w:val="a1"/>
              <w:spacing w:line="276" w:lineRule="auto"/>
              <w:jc w:val="both"/>
              <w:rPr>
                <w:rStyle w:val="y2iqfc"/>
                <w:rFonts w:eastAsia="Calibri"/>
                <w:color w:val="auto"/>
              </w:rPr>
            </w:pPr>
            <w:r w:rsidRPr="0052538F">
              <w:rPr>
                <w:rStyle w:val="y2iqfc"/>
                <w:rFonts w:eastAsia="Calibri"/>
                <w:color w:val="auto"/>
              </w:rPr>
              <w:t>Angiotensin-Converting Enzyme Inhibitors.</w:t>
            </w:r>
          </w:p>
        </w:tc>
      </w:tr>
      <w:tr w:rsidR="0084251B" w:rsidRPr="0052538F" w14:paraId="1149DF00" w14:textId="77777777" w:rsidTr="00235FA1">
        <w:trPr>
          <w:trHeight w:val="529"/>
        </w:trPr>
        <w:tc>
          <w:tcPr>
            <w:tcW w:w="2830" w:type="dxa"/>
          </w:tcPr>
          <w:p w14:paraId="04B0C504" w14:textId="77777777" w:rsidR="0084251B" w:rsidRPr="006B3495" w:rsidRDefault="0084251B" w:rsidP="00235FA1">
            <w:pPr>
              <w:pStyle w:val="a1"/>
              <w:spacing w:line="276" w:lineRule="auto"/>
              <w:jc w:val="both"/>
              <w:rPr>
                <w:rStyle w:val="y2iqfc"/>
                <w:rFonts w:eastAsia="Calibri"/>
                <w:color w:val="auto"/>
              </w:rPr>
            </w:pPr>
            <w:r w:rsidRPr="0052538F">
              <w:rPr>
                <w:rStyle w:val="y2iqfc"/>
                <w:rFonts w:eastAsia="Calibri"/>
                <w:color w:val="auto"/>
              </w:rPr>
              <w:t>Arb's</w:t>
            </w:r>
          </w:p>
        </w:tc>
        <w:tc>
          <w:tcPr>
            <w:tcW w:w="5466" w:type="dxa"/>
          </w:tcPr>
          <w:p w14:paraId="0C82CEF2" w14:textId="77777777" w:rsidR="0084251B" w:rsidRPr="006B3495" w:rsidRDefault="0084251B" w:rsidP="00235FA1">
            <w:pPr>
              <w:pStyle w:val="a1"/>
              <w:spacing w:line="276" w:lineRule="auto"/>
              <w:jc w:val="both"/>
              <w:rPr>
                <w:rStyle w:val="y2iqfc"/>
                <w:rFonts w:eastAsia="Calibri"/>
                <w:color w:val="auto"/>
              </w:rPr>
            </w:pPr>
            <w:r w:rsidRPr="0052538F">
              <w:rPr>
                <w:rStyle w:val="y2iqfc"/>
                <w:rFonts w:eastAsia="Calibri"/>
                <w:color w:val="auto"/>
              </w:rPr>
              <w:t>Angiotensin Receptor Blockers.</w:t>
            </w:r>
          </w:p>
        </w:tc>
      </w:tr>
      <w:tr w:rsidR="0084251B" w:rsidRPr="0052538F" w14:paraId="558DFE34" w14:textId="77777777" w:rsidTr="00235FA1">
        <w:trPr>
          <w:trHeight w:val="529"/>
        </w:trPr>
        <w:tc>
          <w:tcPr>
            <w:tcW w:w="2830" w:type="dxa"/>
          </w:tcPr>
          <w:p w14:paraId="59FCC89B" w14:textId="424B41FC" w:rsidR="0084251B" w:rsidRPr="006B3495" w:rsidRDefault="00A11B6B" w:rsidP="00235FA1">
            <w:pPr>
              <w:pStyle w:val="a1"/>
              <w:spacing w:line="276" w:lineRule="auto"/>
              <w:jc w:val="both"/>
              <w:rPr>
                <w:rStyle w:val="y2iqfc"/>
                <w:rFonts w:eastAsia="Calibri"/>
                <w:color w:val="auto"/>
              </w:rPr>
            </w:pPr>
            <w:r w:rsidRPr="0052538F">
              <w:rPr>
                <w:rStyle w:val="y2iqfc"/>
                <w:rFonts w:eastAsia="Calibri"/>
                <w:color w:val="auto"/>
                <w:lang w:val="en-US"/>
              </w:rPr>
              <w:t>B</w:t>
            </w:r>
            <w:r w:rsidR="0084251B" w:rsidRPr="0052538F">
              <w:rPr>
                <w:rStyle w:val="y2iqfc"/>
                <w:rFonts w:eastAsia="Calibri"/>
                <w:color w:val="auto"/>
                <w:lang w:val="en-US"/>
              </w:rPr>
              <w:t>pm</w:t>
            </w:r>
          </w:p>
        </w:tc>
        <w:tc>
          <w:tcPr>
            <w:tcW w:w="5466" w:type="dxa"/>
          </w:tcPr>
          <w:p w14:paraId="51A8D8B2" w14:textId="77777777" w:rsidR="0084251B" w:rsidRPr="006B3495" w:rsidRDefault="0084251B" w:rsidP="00235FA1">
            <w:pPr>
              <w:pStyle w:val="a1"/>
              <w:spacing w:line="276" w:lineRule="auto"/>
              <w:jc w:val="both"/>
              <w:rPr>
                <w:rStyle w:val="y2iqfc"/>
                <w:rFonts w:eastAsia="Calibri"/>
                <w:color w:val="auto"/>
              </w:rPr>
            </w:pPr>
            <w:r>
              <w:rPr>
                <w:rStyle w:val="y2iqfc"/>
                <w:rFonts w:eastAsia="Calibri"/>
                <w:color w:val="auto"/>
              </w:rPr>
              <w:t>B</w:t>
            </w:r>
            <w:r w:rsidRPr="0052538F">
              <w:rPr>
                <w:rStyle w:val="y2iqfc"/>
                <w:rFonts w:eastAsia="Calibri"/>
                <w:color w:val="auto"/>
              </w:rPr>
              <w:t>eats per minute.</w:t>
            </w:r>
          </w:p>
        </w:tc>
      </w:tr>
      <w:tr w:rsidR="0084251B" w:rsidRPr="0052538F" w14:paraId="33E9BB4F" w14:textId="77777777" w:rsidTr="00235FA1">
        <w:trPr>
          <w:trHeight w:val="529"/>
        </w:trPr>
        <w:tc>
          <w:tcPr>
            <w:tcW w:w="2830" w:type="dxa"/>
          </w:tcPr>
          <w:p w14:paraId="435DED0D" w14:textId="77777777" w:rsidR="0084251B" w:rsidRPr="006B3495" w:rsidRDefault="0084251B" w:rsidP="00235FA1">
            <w:pPr>
              <w:pStyle w:val="a1"/>
              <w:spacing w:line="276" w:lineRule="auto"/>
              <w:jc w:val="both"/>
              <w:rPr>
                <w:rStyle w:val="y2iqfc"/>
                <w:rFonts w:eastAsia="Calibri"/>
                <w:color w:val="auto"/>
              </w:rPr>
            </w:pPr>
            <w:r w:rsidRPr="006B3495">
              <w:rPr>
                <w:rStyle w:val="y2iqfc"/>
                <w:rFonts w:eastAsia="Calibri"/>
                <w:color w:val="auto"/>
              </w:rPr>
              <w:t>CABG</w:t>
            </w:r>
          </w:p>
        </w:tc>
        <w:tc>
          <w:tcPr>
            <w:tcW w:w="5466" w:type="dxa"/>
          </w:tcPr>
          <w:p w14:paraId="055BF59A" w14:textId="77777777" w:rsidR="0084251B" w:rsidRPr="006B3495" w:rsidRDefault="0084251B" w:rsidP="00235FA1">
            <w:pPr>
              <w:pStyle w:val="a1"/>
              <w:tabs>
                <w:tab w:val="left" w:pos="3000"/>
              </w:tabs>
              <w:spacing w:line="276" w:lineRule="auto"/>
              <w:jc w:val="both"/>
              <w:rPr>
                <w:rStyle w:val="y2iqfc"/>
                <w:rFonts w:eastAsia="Calibri"/>
                <w:color w:val="auto"/>
              </w:rPr>
            </w:pPr>
            <w:r w:rsidRPr="006B3495">
              <w:rPr>
                <w:rStyle w:val="y2iqfc"/>
                <w:rFonts w:eastAsia="Calibri"/>
                <w:color w:val="auto"/>
              </w:rPr>
              <w:t>Coronary Artery Bypass Graft</w:t>
            </w:r>
            <w:r>
              <w:rPr>
                <w:rStyle w:val="y2iqfc"/>
                <w:rFonts w:eastAsia="Calibri"/>
                <w:color w:val="auto"/>
              </w:rPr>
              <w:t>.</w:t>
            </w:r>
          </w:p>
        </w:tc>
      </w:tr>
      <w:bookmarkEnd w:id="10"/>
      <w:tr w:rsidR="0084251B" w:rsidRPr="0052538F" w14:paraId="7E2BB239" w14:textId="77777777" w:rsidTr="00235FA1">
        <w:tc>
          <w:tcPr>
            <w:tcW w:w="2830" w:type="dxa"/>
          </w:tcPr>
          <w:p w14:paraId="28C39F8A" w14:textId="77777777" w:rsidR="0084251B" w:rsidRPr="006B3495" w:rsidRDefault="0084251B" w:rsidP="00235FA1">
            <w:pPr>
              <w:pStyle w:val="a1"/>
              <w:spacing w:line="276" w:lineRule="auto"/>
              <w:jc w:val="both"/>
              <w:rPr>
                <w:rStyle w:val="y2iqfc"/>
                <w:rFonts w:eastAsia="Calibri"/>
                <w:color w:val="auto"/>
              </w:rPr>
            </w:pPr>
            <w:r w:rsidRPr="006B3495">
              <w:rPr>
                <w:rStyle w:val="y2iqfc"/>
                <w:rFonts w:eastAsia="Calibri"/>
                <w:color w:val="auto"/>
              </w:rPr>
              <w:t>CAD</w:t>
            </w:r>
          </w:p>
        </w:tc>
        <w:tc>
          <w:tcPr>
            <w:tcW w:w="5466" w:type="dxa"/>
          </w:tcPr>
          <w:p w14:paraId="73CC42CD" w14:textId="77777777" w:rsidR="0084251B" w:rsidRPr="006B3495" w:rsidRDefault="0084251B" w:rsidP="00235FA1">
            <w:pPr>
              <w:pStyle w:val="a1"/>
              <w:spacing w:line="276" w:lineRule="auto"/>
              <w:jc w:val="both"/>
              <w:rPr>
                <w:rStyle w:val="y2iqfc"/>
                <w:rFonts w:eastAsia="Calibri"/>
                <w:color w:val="auto"/>
              </w:rPr>
            </w:pPr>
            <w:r w:rsidRPr="006B3495">
              <w:rPr>
                <w:rStyle w:val="y2iqfc"/>
                <w:rFonts w:eastAsia="Calibri"/>
                <w:color w:val="auto"/>
              </w:rPr>
              <w:t xml:space="preserve">Coronary Artery </w:t>
            </w:r>
            <w:r>
              <w:rPr>
                <w:rStyle w:val="y2iqfc"/>
                <w:rFonts w:eastAsia="Calibri"/>
                <w:color w:val="auto"/>
              </w:rPr>
              <w:t>Disease.</w:t>
            </w:r>
          </w:p>
        </w:tc>
      </w:tr>
      <w:tr w:rsidR="0084251B" w:rsidRPr="0052538F" w14:paraId="2BB5499A" w14:textId="77777777" w:rsidTr="00235FA1">
        <w:tc>
          <w:tcPr>
            <w:tcW w:w="2830" w:type="dxa"/>
          </w:tcPr>
          <w:p w14:paraId="6D61295E" w14:textId="77777777" w:rsidR="0084251B" w:rsidRPr="006B3495" w:rsidRDefault="0084251B" w:rsidP="00235FA1">
            <w:pPr>
              <w:pStyle w:val="a1"/>
              <w:spacing w:line="276" w:lineRule="auto"/>
              <w:jc w:val="both"/>
              <w:rPr>
                <w:rStyle w:val="y2iqfc"/>
                <w:rFonts w:eastAsia="Calibri"/>
                <w:color w:val="auto"/>
              </w:rPr>
            </w:pPr>
            <w:r w:rsidRPr="006B3495">
              <w:rPr>
                <w:rStyle w:val="y2iqfc"/>
                <w:rFonts w:eastAsia="Calibri"/>
                <w:color w:val="auto"/>
              </w:rPr>
              <w:t>CAG</w:t>
            </w:r>
          </w:p>
        </w:tc>
        <w:tc>
          <w:tcPr>
            <w:tcW w:w="5466" w:type="dxa"/>
          </w:tcPr>
          <w:p w14:paraId="437CF44F" w14:textId="77777777" w:rsidR="0084251B" w:rsidRPr="006B3495" w:rsidRDefault="0084251B" w:rsidP="00235FA1">
            <w:pPr>
              <w:pStyle w:val="a1"/>
              <w:spacing w:line="276" w:lineRule="auto"/>
              <w:jc w:val="both"/>
              <w:rPr>
                <w:rStyle w:val="y2iqfc"/>
                <w:rFonts w:eastAsia="Calibri"/>
                <w:color w:val="auto"/>
              </w:rPr>
            </w:pPr>
            <w:r w:rsidRPr="006B3495">
              <w:rPr>
                <w:rStyle w:val="y2iqfc"/>
                <w:rFonts w:eastAsia="Calibri"/>
                <w:color w:val="auto"/>
              </w:rPr>
              <w:t xml:space="preserve">Coronary </w:t>
            </w:r>
            <w:r>
              <w:rPr>
                <w:rStyle w:val="y2iqfc"/>
                <w:rFonts w:eastAsia="Calibri"/>
                <w:color w:val="auto"/>
              </w:rPr>
              <w:t>A</w:t>
            </w:r>
            <w:r w:rsidRPr="0052538F">
              <w:rPr>
                <w:rStyle w:val="y2iqfc"/>
                <w:rFonts w:eastAsia="Calibri"/>
                <w:color w:val="auto"/>
              </w:rPr>
              <w:t>ngiography.</w:t>
            </w:r>
          </w:p>
        </w:tc>
      </w:tr>
      <w:tr w:rsidR="0084251B" w:rsidRPr="0052538F" w14:paraId="1EFBF4B2" w14:textId="77777777" w:rsidTr="00235FA1">
        <w:tc>
          <w:tcPr>
            <w:tcW w:w="2830" w:type="dxa"/>
          </w:tcPr>
          <w:p w14:paraId="64D556AF" w14:textId="77777777" w:rsidR="0084251B" w:rsidRPr="006B3495" w:rsidRDefault="0084251B" w:rsidP="00235FA1">
            <w:pPr>
              <w:pStyle w:val="a1"/>
              <w:spacing w:line="276" w:lineRule="auto"/>
              <w:jc w:val="both"/>
              <w:rPr>
                <w:rStyle w:val="y2iqfc"/>
                <w:rFonts w:eastAsia="Calibri"/>
                <w:color w:val="auto"/>
              </w:rPr>
            </w:pPr>
            <w:r w:rsidRPr="006B3495">
              <w:rPr>
                <w:rStyle w:val="y2iqfc"/>
                <w:rFonts w:eastAsia="Calibri"/>
                <w:color w:val="auto"/>
              </w:rPr>
              <w:t>CK-MB</w:t>
            </w:r>
          </w:p>
        </w:tc>
        <w:tc>
          <w:tcPr>
            <w:tcW w:w="5466" w:type="dxa"/>
          </w:tcPr>
          <w:p w14:paraId="676B6B30" w14:textId="77777777" w:rsidR="0084251B" w:rsidRPr="006B3495" w:rsidRDefault="0084251B" w:rsidP="00235FA1">
            <w:pPr>
              <w:pStyle w:val="a1"/>
              <w:spacing w:line="276" w:lineRule="auto"/>
              <w:jc w:val="both"/>
              <w:rPr>
                <w:rStyle w:val="y2iqfc"/>
                <w:rFonts w:eastAsia="Calibri"/>
                <w:color w:val="auto"/>
              </w:rPr>
            </w:pPr>
            <w:r w:rsidRPr="006B3495">
              <w:rPr>
                <w:rStyle w:val="y2iqfc"/>
                <w:rFonts w:eastAsia="Calibri"/>
                <w:color w:val="auto"/>
              </w:rPr>
              <w:t xml:space="preserve">Creatine </w:t>
            </w:r>
            <w:r>
              <w:rPr>
                <w:rStyle w:val="y2iqfc"/>
                <w:rFonts w:eastAsia="Calibri"/>
                <w:color w:val="auto"/>
              </w:rPr>
              <w:t>Kinase</w:t>
            </w:r>
            <w:r w:rsidRPr="0052538F">
              <w:rPr>
                <w:rStyle w:val="y2iqfc"/>
                <w:rFonts w:eastAsia="Calibri"/>
                <w:color w:val="auto"/>
              </w:rPr>
              <w:t>.</w:t>
            </w:r>
          </w:p>
        </w:tc>
      </w:tr>
      <w:tr w:rsidR="0084251B" w:rsidRPr="0052538F" w14:paraId="7714D32B" w14:textId="77777777" w:rsidTr="00235FA1">
        <w:tc>
          <w:tcPr>
            <w:tcW w:w="2830" w:type="dxa"/>
          </w:tcPr>
          <w:p w14:paraId="42E7057D" w14:textId="77777777" w:rsidR="0084251B" w:rsidRPr="006B3495" w:rsidRDefault="0084251B" w:rsidP="00235FA1">
            <w:pPr>
              <w:pStyle w:val="a1"/>
              <w:spacing w:line="276" w:lineRule="auto"/>
              <w:jc w:val="both"/>
              <w:rPr>
                <w:rStyle w:val="y2iqfc"/>
                <w:rFonts w:eastAsia="Calibri"/>
                <w:color w:val="auto"/>
              </w:rPr>
            </w:pPr>
            <w:r w:rsidRPr="006B3495">
              <w:rPr>
                <w:rStyle w:val="y2iqfc"/>
                <w:rFonts w:eastAsia="Calibri"/>
                <w:color w:val="auto"/>
              </w:rPr>
              <w:t>COPD</w:t>
            </w:r>
          </w:p>
        </w:tc>
        <w:tc>
          <w:tcPr>
            <w:tcW w:w="5466" w:type="dxa"/>
          </w:tcPr>
          <w:p w14:paraId="33CA686C" w14:textId="77777777" w:rsidR="0084251B" w:rsidRPr="006B3495" w:rsidRDefault="0084251B" w:rsidP="00235FA1">
            <w:pPr>
              <w:pStyle w:val="a1"/>
              <w:spacing w:line="276" w:lineRule="auto"/>
              <w:jc w:val="both"/>
              <w:rPr>
                <w:rStyle w:val="y2iqfc"/>
                <w:rFonts w:eastAsia="Calibri"/>
                <w:color w:val="auto"/>
              </w:rPr>
            </w:pPr>
            <w:r w:rsidRPr="006B3495">
              <w:rPr>
                <w:rStyle w:val="y2iqfc"/>
                <w:rFonts w:eastAsia="Calibri"/>
                <w:color w:val="auto"/>
              </w:rPr>
              <w:t xml:space="preserve">Chronic Obstruction Pulmonary </w:t>
            </w:r>
            <w:r>
              <w:rPr>
                <w:rStyle w:val="y2iqfc"/>
                <w:rFonts w:eastAsia="Calibri"/>
                <w:color w:val="auto"/>
              </w:rPr>
              <w:t>D</w:t>
            </w:r>
            <w:r w:rsidRPr="0052538F">
              <w:rPr>
                <w:rStyle w:val="y2iqfc"/>
                <w:rFonts w:eastAsia="Calibri"/>
                <w:color w:val="auto"/>
              </w:rPr>
              <w:t>isease.</w:t>
            </w:r>
          </w:p>
        </w:tc>
      </w:tr>
      <w:tr w:rsidR="0084251B" w:rsidRPr="0052538F" w14:paraId="7FF3AE76" w14:textId="77777777" w:rsidTr="00235FA1">
        <w:trPr>
          <w:trHeight w:val="529"/>
        </w:trPr>
        <w:tc>
          <w:tcPr>
            <w:tcW w:w="2830" w:type="dxa"/>
          </w:tcPr>
          <w:p w14:paraId="74F613F3" w14:textId="77777777" w:rsidR="0084251B" w:rsidRPr="006B3495" w:rsidRDefault="0084251B" w:rsidP="00235FA1">
            <w:pPr>
              <w:pStyle w:val="a1"/>
              <w:spacing w:line="276" w:lineRule="auto"/>
              <w:jc w:val="both"/>
              <w:rPr>
                <w:rStyle w:val="y2iqfc"/>
                <w:rFonts w:eastAsia="Calibri"/>
                <w:color w:val="auto"/>
              </w:rPr>
            </w:pPr>
            <w:r w:rsidRPr="0052538F">
              <w:rPr>
                <w:rStyle w:val="y2iqfc"/>
                <w:rFonts w:eastAsia="Calibri"/>
                <w:color w:val="auto"/>
              </w:rPr>
              <w:t>CVDs</w:t>
            </w:r>
          </w:p>
        </w:tc>
        <w:tc>
          <w:tcPr>
            <w:tcW w:w="5466" w:type="dxa"/>
          </w:tcPr>
          <w:p w14:paraId="1F6850E2" w14:textId="77777777" w:rsidR="0084251B" w:rsidRPr="006B3495" w:rsidRDefault="0084251B" w:rsidP="00235FA1">
            <w:pPr>
              <w:pStyle w:val="a1"/>
              <w:spacing w:line="276" w:lineRule="auto"/>
              <w:jc w:val="both"/>
              <w:rPr>
                <w:rStyle w:val="y2iqfc"/>
                <w:rFonts w:eastAsia="Calibri"/>
                <w:color w:val="auto"/>
              </w:rPr>
            </w:pPr>
            <w:r w:rsidRPr="0052538F">
              <w:rPr>
                <w:rStyle w:val="y2iqfc"/>
                <w:rFonts w:eastAsia="Calibri"/>
                <w:color w:val="auto"/>
              </w:rPr>
              <w:t>Cardiovascular Diseases.</w:t>
            </w:r>
          </w:p>
        </w:tc>
      </w:tr>
      <w:tr w:rsidR="0084251B" w:rsidRPr="0052538F" w14:paraId="0072A61D" w14:textId="77777777" w:rsidTr="00235FA1">
        <w:tc>
          <w:tcPr>
            <w:tcW w:w="2830" w:type="dxa"/>
          </w:tcPr>
          <w:p w14:paraId="4278E632" w14:textId="77777777" w:rsidR="0084251B" w:rsidRPr="006B3495" w:rsidRDefault="0084251B" w:rsidP="00235FA1">
            <w:pPr>
              <w:pStyle w:val="a1"/>
              <w:spacing w:line="276" w:lineRule="auto"/>
              <w:jc w:val="both"/>
              <w:rPr>
                <w:rStyle w:val="y2iqfc"/>
                <w:rFonts w:eastAsia="Calibri"/>
                <w:color w:val="auto"/>
              </w:rPr>
            </w:pPr>
            <w:r w:rsidRPr="0052538F">
              <w:rPr>
                <w:rStyle w:val="y2iqfc"/>
                <w:rFonts w:eastAsia="Calibri"/>
                <w:color w:val="auto"/>
              </w:rPr>
              <w:t>DBP</w:t>
            </w:r>
          </w:p>
        </w:tc>
        <w:tc>
          <w:tcPr>
            <w:tcW w:w="5466" w:type="dxa"/>
          </w:tcPr>
          <w:p w14:paraId="3323D36C" w14:textId="77777777" w:rsidR="0084251B" w:rsidRPr="006B3495" w:rsidRDefault="0084251B" w:rsidP="00235FA1">
            <w:pPr>
              <w:pStyle w:val="a1"/>
              <w:spacing w:line="276" w:lineRule="auto"/>
              <w:jc w:val="both"/>
              <w:rPr>
                <w:rStyle w:val="y2iqfc"/>
                <w:rFonts w:eastAsia="Calibri"/>
                <w:color w:val="auto"/>
              </w:rPr>
            </w:pPr>
            <w:r w:rsidRPr="0052538F">
              <w:rPr>
                <w:rStyle w:val="y2iqfc"/>
                <w:rFonts w:eastAsia="Calibri"/>
                <w:color w:val="auto"/>
              </w:rPr>
              <w:t>Diastolic Blood Pressure.</w:t>
            </w:r>
          </w:p>
        </w:tc>
      </w:tr>
      <w:tr w:rsidR="0084251B" w:rsidRPr="0052538F" w14:paraId="3EFCE478" w14:textId="77777777" w:rsidTr="00235FA1">
        <w:tc>
          <w:tcPr>
            <w:tcW w:w="2830" w:type="dxa"/>
          </w:tcPr>
          <w:p w14:paraId="495B4BC6" w14:textId="77777777" w:rsidR="0084251B" w:rsidRPr="006B3495" w:rsidRDefault="0084251B" w:rsidP="00235FA1">
            <w:pPr>
              <w:pStyle w:val="a1"/>
              <w:spacing w:line="276" w:lineRule="auto"/>
              <w:jc w:val="both"/>
              <w:rPr>
                <w:rStyle w:val="y2iqfc"/>
                <w:rFonts w:eastAsia="Calibri"/>
                <w:color w:val="auto"/>
              </w:rPr>
            </w:pPr>
            <w:r w:rsidRPr="006B3495">
              <w:rPr>
                <w:rStyle w:val="y2iqfc"/>
                <w:rFonts w:eastAsia="Calibri"/>
                <w:color w:val="auto"/>
              </w:rPr>
              <w:t>ECG</w:t>
            </w:r>
          </w:p>
        </w:tc>
        <w:tc>
          <w:tcPr>
            <w:tcW w:w="5466" w:type="dxa"/>
          </w:tcPr>
          <w:p w14:paraId="4E76CF56" w14:textId="77777777" w:rsidR="0084251B" w:rsidRPr="006B3495" w:rsidRDefault="0084251B" w:rsidP="00235FA1">
            <w:pPr>
              <w:pStyle w:val="a1"/>
              <w:spacing w:line="276" w:lineRule="auto"/>
              <w:jc w:val="both"/>
              <w:rPr>
                <w:rStyle w:val="y2iqfc"/>
                <w:rFonts w:eastAsia="Calibri"/>
                <w:color w:val="auto"/>
              </w:rPr>
            </w:pPr>
            <w:r w:rsidRPr="006B3495">
              <w:rPr>
                <w:rStyle w:val="y2iqfc"/>
                <w:rFonts w:eastAsia="Calibri"/>
                <w:color w:val="auto"/>
              </w:rPr>
              <w:t>E</w:t>
            </w:r>
            <w:r>
              <w:rPr>
                <w:rStyle w:val="y2iqfc"/>
                <w:rFonts w:eastAsia="Calibri"/>
                <w:color w:val="auto"/>
              </w:rPr>
              <w:t>lectro</w:t>
            </w:r>
            <w:r w:rsidRPr="0052538F">
              <w:rPr>
                <w:rStyle w:val="y2iqfc"/>
                <w:rFonts w:eastAsia="Calibri"/>
                <w:color w:val="auto"/>
              </w:rPr>
              <w:t>cardiogram.</w:t>
            </w:r>
          </w:p>
        </w:tc>
      </w:tr>
      <w:tr w:rsidR="0084251B" w:rsidRPr="0052538F" w14:paraId="0AC8C496" w14:textId="77777777" w:rsidTr="00235FA1">
        <w:tc>
          <w:tcPr>
            <w:tcW w:w="2830" w:type="dxa"/>
          </w:tcPr>
          <w:p w14:paraId="06D59B5A" w14:textId="77777777" w:rsidR="0084251B" w:rsidRPr="0052538F" w:rsidRDefault="0084251B" w:rsidP="00235FA1">
            <w:pPr>
              <w:pStyle w:val="a1"/>
              <w:spacing w:line="276" w:lineRule="auto"/>
              <w:jc w:val="both"/>
              <w:rPr>
                <w:rStyle w:val="y2iqfc"/>
                <w:rFonts w:eastAsia="Calibri"/>
                <w:color w:val="auto"/>
              </w:rPr>
            </w:pPr>
            <w:r w:rsidRPr="0052538F">
              <w:rPr>
                <w:rStyle w:val="y2iqfc"/>
                <w:rFonts w:eastAsia="Calibri"/>
                <w:color w:val="auto"/>
              </w:rPr>
              <w:t>eGFR</w:t>
            </w:r>
          </w:p>
        </w:tc>
        <w:tc>
          <w:tcPr>
            <w:tcW w:w="5466" w:type="dxa"/>
          </w:tcPr>
          <w:p w14:paraId="4BB5714F" w14:textId="77777777" w:rsidR="0084251B" w:rsidRPr="0052538F" w:rsidRDefault="0084251B" w:rsidP="00235FA1">
            <w:pPr>
              <w:pStyle w:val="a1"/>
              <w:spacing w:line="276" w:lineRule="auto"/>
              <w:jc w:val="both"/>
              <w:rPr>
                <w:rStyle w:val="y2iqfc"/>
                <w:rFonts w:eastAsia="Calibri"/>
                <w:color w:val="auto"/>
              </w:rPr>
            </w:pPr>
            <w:r w:rsidRPr="0052538F">
              <w:rPr>
                <w:rStyle w:val="y2iqfc"/>
                <w:rFonts w:eastAsia="Calibri"/>
                <w:color w:val="auto"/>
              </w:rPr>
              <w:t>Estimated Glomerular Filtration Rate.</w:t>
            </w:r>
          </w:p>
        </w:tc>
      </w:tr>
      <w:tr w:rsidR="0084251B" w:rsidRPr="0052538F" w14:paraId="46F0325B" w14:textId="77777777" w:rsidTr="00235FA1">
        <w:tc>
          <w:tcPr>
            <w:tcW w:w="2830" w:type="dxa"/>
          </w:tcPr>
          <w:p w14:paraId="532A5CA6" w14:textId="77777777" w:rsidR="0084251B" w:rsidRPr="0052538F" w:rsidRDefault="0084251B" w:rsidP="00235FA1">
            <w:pPr>
              <w:pStyle w:val="a1"/>
              <w:spacing w:line="276" w:lineRule="auto"/>
              <w:jc w:val="both"/>
              <w:rPr>
                <w:rStyle w:val="y2iqfc"/>
                <w:rFonts w:eastAsia="Calibri"/>
                <w:color w:val="auto"/>
              </w:rPr>
            </w:pPr>
            <w:r w:rsidRPr="0052538F">
              <w:rPr>
                <w:rStyle w:val="y2iqfc"/>
                <w:rFonts w:eastAsia="Calibri"/>
                <w:color w:val="auto"/>
              </w:rPr>
              <w:t>EMR</w:t>
            </w:r>
          </w:p>
        </w:tc>
        <w:tc>
          <w:tcPr>
            <w:tcW w:w="5466" w:type="dxa"/>
          </w:tcPr>
          <w:p w14:paraId="1B3121F3" w14:textId="77777777" w:rsidR="0084251B" w:rsidRPr="0052538F" w:rsidRDefault="0084251B" w:rsidP="00235FA1">
            <w:pPr>
              <w:pStyle w:val="a1"/>
              <w:spacing w:line="276" w:lineRule="auto"/>
              <w:jc w:val="both"/>
              <w:rPr>
                <w:rStyle w:val="y2iqfc"/>
                <w:rFonts w:eastAsia="Calibri"/>
                <w:color w:val="auto"/>
              </w:rPr>
            </w:pPr>
            <w:r w:rsidRPr="0052538F">
              <w:rPr>
                <w:rStyle w:val="y2iqfc"/>
                <w:rFonts w:eastAsia="Calibri"/>
                <w:color w:val="auto"/>
              </w:rPr>
              <w:t>Electronic Medical Record.</w:t>
            </w:r>
          </w:p>
        </w:tc>
      </w:tr>
      <w:tr w:rsidR="0084251B" w:rsidRPr="0052538F" w14:paraId="75BE393D" w14:textId="77777777" w:rsidTr="00235FA1">
        <w:tc>
          <w:tcPr>
            <w:tcW w:w="2830" w:type="dxa"/>
          </w:tcPr>
          <w:p w14:paraId="07C8A70D" w14:textId="77777777" w:rsidR="0084251B" w:rsidRPr="0052538F" w:rsidRDefault="0084251B" w:rsidP="00235FA1">
            <w:pPr>
              <w:pStyle w:val="a1"/>
              <w:spacing w:line="276" w:lineRule="auto"/>
              <w:jc w:val="both"/>
              <w:rPr>
                <w:rStyle w:val="y2iqfc"/>
                <w:rFonts w:eastAsia="Calibri"/>
                <w:color w:val="auto"/>
              </w:rPr>
            </w:pPr>
            <w:r w:rsidRPr="0052538F">
              <w:rPr>
                <w:rStyle w:val="y2iqfc"/>
                <w:rFonts w:eastAsia="Calibri"/>
                <w:color w:val="auto"/>
              </w:rPr>
              <w:t>FA</w:t>
            </w:r>
          </w:p>
        </w:tc>
        <w:tc>
          <w:tcPr>
            <w:tcW w:w="5466" w:type="dxa"/>
          </w:tcPr>
          <w:p w14:paraId="37BD56F8" w14:textId="77777777" w:rsidR="0084251B" w:rsidRPr="0052538F" w:rsidRDefault="0084251B" w:rsidP="00235FA1">
            <w:pPr>
              <w:pStyle w:val="a1"/>
              <w:spacing w:line="276" w:lineRule="auto"/>
              <w:jc w:val="both"/>
              <w:rPr>
                <w:rStyle w:val="y2iqfc"/>
                <w:rFonts w:eastAsia="Calibri"/>
                <w:color w:val="auto"/>
              </w:rPr>
            </w:pPr>
            <w:r>
              <w:rPr>
                <w:rStyle w:val="y2iqfc"/>
                <w:rFonts w:eastAsia="Calibri"/>
                <w:color w:val="auto"/>
              </w:rPr>
              <w:t>F</w:t>
            </w:r>
            <w:r w:rsidRPr="0052538F">
              <w:rPr>
                <w:rStyle w:val="y2iqfc"/>
                <w:rFonts w:eastAsia="Calibri"/>
                <w:color w:val="auto"/>
              </w:rPr>
              <w:t xml:space="preserve">emoral </w:t>
            </w:r>
            <w:r>
              <w:rPr>
                <w:rStyle w:val="y2iqfc"/>
                <w:rFonts w:eastAsia="Calibri"/>
                <w:color w:val="auto"/>
              </w:rPr>
              <w:t>A</w:t>
            </w:r>
            <w:r w:rsidRPr="0052538F">
              <w:rPr>
                <w:rStyle w:val="y2iqfc"/>
                <w:rFonts w:eastAsia="Calibri"/>
                <w:color w:val="auto"/>
              </w:rPr>
              <w:t>pproach.</w:t>
            </w:r>
          </w:p>
        </w:tc>
      </w:tr>
      <w:tr w:rsidR="0084251B" w:rsidRPr="0052538F" w14:paraId="53D5A57D" w14:textId="77777777" w:rsidTr="00235FA1">
        <w:tc>
          <w:tcPr>
            <w:tcW w:w="2830" w:type="dxa"/>
          </w:tcPr>
          <w:p w14:paraId="1DA6CE80" w14:textId="77777777" w:rsidR="0084251B" w:rsidRPr="0052538F" w:rsidRDefault="0084251B" w:rsidP="00235FA1">
            <w:pPr>
              <w:rPr>
                <w:rStyle w:val="y2iqfc"/>
                <w:rFonts w:asciiTheme="majorBidi" w:hAnsiTheme="majorBidi" w:cstheme="majorBidi"/>
                <w:sz w:val="24"/>
                <w:szCs w:val="24"/>
                <w:lang w:val="en-US"/>
              </w:rPr>
            </w:pPr>
            <w:r w:rsidRPr="0052538F">
              <w:rPr>
                <w:rStyle w:val="y2iqfc"/>
                <w:rFonts w:asciiTheme="majorBidi" w:hAnsiTheme="majorBidi" w:cstheme="majorBidi"/>
                <w:sz w:val="24"/>
                <w:szCs w:val="24"/>
                <w:lang w:val="en-US"/>
              </w:rPr>
              <w:t>g/dl</w:t>
            </w:r>
          </w:p>
        </w:tc>
        <w:tc>
          <w:tcPr>
            <w:tcW w:w="5466" w:type="dxa"/>
          </w:tcPr>
          <w:p w14:paraId="234CC95C" w14:textId="1D582708" w:rsidR="0084251B" w:rsidRPr="006B3495" w:rsidRDefault="0084251B" w:rsidP="00235FA1">
            <w:pPr>
              <w:pStyle w:val="a1"/>
              <w:spacing w:line="276" w:lineRule="auto"/>
              <w:jc w:val="both"/>
              <w:rPr>
                <w:rStyle w:val="y2iqfc"/>
                <w:rFonts w:eastAsia="Calibri"/>
                <w:color w:val="auto"/>
              </w:rPr>
            </w:pPr>
            <w:r w:rsidRPr="0052538F">
              <w:rPr>
                <w:rStyle w:val="y2iqfc"/>
                <w:rFonts w:eastAsia="Calibri"/>
                <w:color w:val="auto"/>
              </w:rPr>
              <w:t>Gram/</w:t>
            </w:r>
            <w:r w:rsidR="00387C0F" w:rsidRPr="0052538F">
              <w:rPr>
                <w:rStyle w:val="y2iqfc"/>
                <w:rFonts w:eastAsia="Calibri"/>
                <w:color w:val="auto"/>
              </w:rPr>
              <w:t>decilitre</w:t>
            </w:r>
            <w:r w:rsidRPr="0052538F">
              <w:rPr>
                <w:rStyle w:val="y2iqfc"/>
                <w:rFonts w:eastAsia="Calibri"/>
                <w:color w:val="auto"/>
              </w:rPr>
              <w:t>.</w:t>
            </w:r>
          </w:p>
        </w:tc>
      </w:tr>
      <w:tr w:rsidR="0084251B" w:rsidRPr="0052538F" w14:paraId="3DFF4568" w14:textId="77777777" w:rsidTr="00235FA1">
        <w:tc>
          <w:tcPr>
            <w:tcW w:w="2830" w:type="dxa"/>
          </w:tcPr>
          <w:p w14:paraId="463A88CC" w14:textId="77777777" w:rsidR="0084251B" w:rsidRPr="006B3495" w:rsidRDefault="0084251B" w:rsidP="00235FA1">
            <w:pPr>
              <w:pStyle w:val="a1"/>
              <w:spacing w:line="276" w:lineRule="auto"/>
              <w:jc w:val="both"/>
              <w:rPr>
                <w:rStyle w:val="y2iqfc"/>
                <w:rFonts w:eastAsia="Calibri"/>
                <w:color w:val="auto"/>
              </w:rPr>
            </w:pPr>
            <w:r w:rsidRPr="006B3495">
              <w:rPr>
                <w:rStyle w:val="y2iqfc"/>
                <w:rFonts w:eastAsia="Calibri"/>
                <w:color w:val="auto"/>
              </w:rPr>
              <w:t>GPI</w:t>
            </w:r>
          </w:p>
        </w:tc>
        <w:tc>
          <w:tcPr>
            <w:tcW w:w="5466" w:type="dxa"/>
          </w:tcPr>
          <w:p w14:paraId="4E9ED286" w14:textId="77777777" w:rsidR="0084251B" w:rsidRPr="006B3495" w:rsidRDefault="0084251B" w:rsidP="00235FA1">
            <w:pPr>
              <w:pStyle w:val="a1"/>
              <w:spacing w:line="276" w:lineRule="auto"/>
              <w:jc w:val="both"/>
              <w:rPr>
                <w:rStyle w:val="y2iqfc"/>
                <w:rFonts w:eastAsia="Calibri"/>
                <w:color w:val="auto"/>
              </w:rPr>
            </w:pPr>
            <w:r w:rsidRPr="006B3495">
              <w:rPr>
                <w:rStyle w:val="y2iqfc"/>
                <w:rFonts w:eastAsia="Calibri"/>
                <w:color w:val="auto"/>
              </w:rPr>
              <w:t xml:space="preserve">Glycoprotein </w:t>
            </w:r>
            <w:r>
              <w:rPr>
                <w:rStyle w:val="y2iqfc"/>
                <w:rFonts w:eastAsia="Calibri"/>
                <w:color w:val="auto"/>
              </w:rPr>
              <w:t>Inh</w:t>
            </w:r>
            <w:r w:rsidRPr="0052538F">
              <w:rPr>
                <w:rStyle w:val="y2iqfc"/>
                <w:rFonts w:eastAsia="Calibri"/>
                <w:color w:val="auto"/>
              </w:rPr>
              <w:t xml:space="preserve">ibitors. </w:t>
            </w:r>
          </w:p>
        </w:tc>
      </w:tr>
      <w:tr w:rsidR="0084251B" w:rsidRPr="0052538F" w14:paraId="79362112" w14:textId="77777777" w:rsidTr="00235FA1">
        <w:tc>
          <w:tcPr>
            <w:tcW w:w="2830" w:type="dxa"/>
          </w:tcPr>
          <w:p w14:paraId="051681C0" w14:textId="77777777" w:rsidR="0084251B" w:rsidRPr="0052538F" w:rsidRDefault="0084251B" w:rsidP="00235FA1">
            <w:pPr>
              <w:rPr>
                <w:rStyle w:val="y2iqfc"/>
                <w:rFonts w:asciiTheme="majorBidi" w:hAnsiTheme="majorBidi" w:cstheme="majorBidi"/>
                <w:sz w:val="24"/>
                <w:szCs w:val="24"/>
              </w:rPr>
            </w:pPr>
            <w:r w:rsidRPr="0052538F">
              <w:rPr>
                <w:rStyle w:val="y2iqfc"/>
                <w:rFonts w:asciiTheme="majorBidi" w:hAnsiTheme="majorBidi" w:cstheme="majorBidi"/>
                <w:sz w:val="24"/>
                <w:szCs w:val="24"/>
              </w:rPr>
              <w:t>IABP</w:t>
            </w:r>
          </w:p>
        </w:tc>
        <w:tc>
          <w:tcPr>
            <w:tcW w:w="5466" w:type="dxa"/>
          </w:tcPr>
          <w:p w14:paraId="4B7C437E" w14:textId="77777777" w:rsidR="0084251B" w:rsidRPr="0052538F" w:rsidRDefault="0084251B" w:rsidP="00235FA1">
            <w:pPr>
              <w:pStyle w:val="a1"/>
              <w:spacing w:line="276" w:lineRule="auto"/>
              <w:jc w:val="both"/>
              <w:rPr>
                <w:rStyle w:val="y2iqfc"/>
                <w:rFonts w:eastAsia="Calibri"/>
                <w:color w:val="auto"/>
              </w:rPr>
            </w:pPr>
            <w:r w:rsidRPr="0052538F">
              <w:rPr>
                <w:rStyle w:val="y2iqfc"/>
                <w:rFonts w:eastAsia="Calibri"/>
                <w:color w:val="auto"/>
              </w:rPr>
              <w:t>Intra-Aortic Balloon Pump.</w:t>
            </w:r>
          </w:p>
        </w:tc>
      </w:tr>
      <w:tr w:rsidR="0084251B" w:rsidRPr="0052538F" w14:paraId="22B897AC" w14:textId="77777777" w:rsidTr="00235FA1">
        <w:tc>
          <w:tcPr>
            <w:tcW w:w="2830" w:type="dxa"/>
          </w:tcPr>
          <w:p w14:paraId="2C9FA9C0" w14:textId="77777777" w:rsidR="0084251B" w:rsidRPr="0052538F" w:rsidRDefault="0084251B" w:rsidP="00235FA1">
            <w:pPr>
              <w:rPr>
                <w:rStyle w:val="y2iqfc"/>
                <w:rFonts w:asciiTheme="majorBidi" w:hAnsiTheme="majorBidi" w:cstheme="majorBidi"/>
                <w:sz w:val="24"/>
                <w:szCs w:val="24"/>
              </w:rPr>
            </w:pPr>
            <w:r w:rsidRPr="0052538F">
              <w:rPr>
                <w:rStyle w:val="y2iqfc"/>
                <w:rFonts w:asciiTheme="majorBidi" w:hAnsiTheme="majorBidi" w:cstheme="majorBidi"/>
                <w:sz w:val="24"/>
                <w:szCs w:val="24"/>
              </w:rPr>
              <w:t>IRB</w:t>
            </w:r>
          </w:p>
        </w:tc>
        <w:tc>
          <w:tcPr>
            <w:tcW w:w="5466" w:type="dxa"/>
          </w:tcPr>
          <w:p w14:paraId="043FE81F" w14:textId="77777777" w:rsidR="0084251B" w:rsidRPr="0052538F" w:rsidRDefault="0084251B" w:rsidP="00235FA1">
            <w:pPr>
              <w:pStyle w:val="a1"/>
              <w:spacing w:line="276" w:lineRule="auto"/>
              <w:jc w:val="both"/>
              <w:rPr>
                <w:rStyle w:val="y2iqfc"/>
                <w:rFonts w:eastAsia="Calibri"/>
                <w:color w:val="auto"/>
              </w:rPr>
            </w:pPr>
            <w:r w:rsidRPr="0052538F">
              <w:rPr>
                <w:rStyle w:val="y2iqfc"/>
                <w:rFonts w:eastAsia="Calibri"/>
                <w:color w:val="auto"/>
              </w:rPr>
              <w:t>Institutional Review Board.</w:t>
            </w:r>
          </w:p>
        </w:tc>
      </w:tr>
      <w:tr w:rsidR="0084251B" w:rsidRPr="0052538F" w14:paraId="0A111EC3" w14:textId="77777777" w:rsidTr="00235FA1">
        <w:tc>
          <w:tcPr>
            <w:tcW w:w="2830" w:type="dxa"/>
          </w:tcPr>
          <w:p w14:paraId="1E9F73FC" w14:textId="77777777" w:rsidR="0084251B" w:rsidRPr="0052538F" w:rsidRDefault="0084251B" w:rsidP="00235FA1">
            <w:pPr>
              <w:rPr>
                <w:rStyle w:val="y2iqfc"/>
                <w:rFonts w:asciiTheme="majorBidi" w:hAnsiTheme="majorBidi" w:cstheme="majorBidi"/>
                <w:sz w:val="24"/>
                <w:szCs w:val="24"/>
              </w:rPr>
            </w:pPr>
            <w:r w:rsidRPr="0052538F">
              <w:rPr>
                <w:rStyle w:val="y2iqfc"/>
                <w:rFonts w:asciiTheme="majorBidi" w:hAnsiTheme="majorBidi" w:cstheme="majorBidi"/>
                <w:sz w:val="24"/>
                <w:szCs w:val="24"/>
              </w:rPr>
              <w:t>LOS</w:t>
            </w:r>
          </w:p>
        </w:tc>
        <w:tc>
          <w:tcPr>
            <w:tcW w:w="5466" w:type="dxa"/>
          </w:tcPr>
          <w:p w14:paraId="66313D7F" w14:textId="77777777" w:rsidR="0084251B" w:rsidRPr="0052538F" w:rsidRDefault="0084251B" w:rsidP="00235FA1">
            <w:pPr>
              <w:pStyle w:val="a1"/>
              <w:spacing w:line="276" w:lineRule="auto"/>
              <w:jc w:val="both"/>
              <w:rPr>
                <w:rStyle w:val="y2iqfc"/>
                <w:rFonts w:eastAsia="Calibri"/>
                <w:color w:val="auto"/>
              </w:rPr>
            </w:pPr>
            <w:r w:rsidRPr="0052538F">
              <w:rPr>
                <w:rStyle w:val="y2iqfc"/>
                <w:rFonts w:eastAsia="Calibri"/>
                <w:color w:val="auto"/>
              </w:rPr>
              <w:t>Length Of Stay.</w:t>
            </w:r>
          </w:p>
        </w:tc>
      </w:tr>
      <w:tr w:rsidR="0084251B" w:rsidRPr="0052538F" w14:paraId="03D67804" w14:textId="77777777" w:rsidTr="00235FA1">
        <w:tc>
          <w:tcPr>
            <w:tcW w:w="2830" w:type="dxa"/>
          </w:tcPr>
          <w:p w14:paraId="4DD5C859" w14:textId="77777777" w:rsidR="0084251B" w:rsidRPr="006B3495" w:rsidRDefault="0084251B" w:rsidP="00235FA1">
            <w:pPr>
              <w:pStyle w:val="a1"/>
              <w:spacing w:line="276" w:lineRule="auto"/>
              <w:jc w:val="both"/>
              <w:rPr>
                <w:rStyle w:val="y2iqfc"/>
                <w:rFonts w:eastAsia="Calibri"/>
                <w:color w:val="auto"/>
              </w:rPr>
            </w:pPr>
            <w:r w:rsidRPr="006B3495">
              <w:rPr>
                <w:rStyle w:val="y2iqfc"/>
                <w:rFonts w:eastAsia="Calibri"/>
                <w:color w:val="auto"/>
              </w:rPr>
              <w:t>MACE</w:t>
            </w:r>
          </w:p>
        </w:tc>
        <w:tc>
          <w:tcPr>
            <w:tcW w:w="5466" w:type="dxa"/>
          </w:tcPr>
          <w:p w14:paraId="1D73F04D" w14:textId="77777777" w:rsidR="0084251B" w:rsidRPr="006B3495" w:rsidRDefault="0084251B" w:rsidP="00235FA1">
            <w:pPr>
              <w:pStyle w:val="a1"/>
              <w:spacing w:line="276" w:lineRule="auto"/>
              <w:jc w:val="both"/>
              <w:rPr>
                <w:rStyle w:val="y2iqfc"/>
                <w:rFonts w:eastAsia="Calibri"/>
                <w:color w:val="auto"/>
              </w:rPr>
            </w:pPr>
            <w:r w:rsidRPr="006B3495">
              <w:rPr>
                <w:rStyle w:val="y2iqfc"/>
                <w:rFonts w:eastAsia="Calibri"/>
                <w:color w:val="auto"/>
              </w:rPr>
              <w:t xml:space="preserve">Major Adverse Cardiovascular </w:t>
            </w:r>
            <w:r>
              <w:rPr>
                <w:rStyle w:val="y2iqfc"/>
                <w:rFonts w:eastAsia="Calibri"/>
                <w:color w:val="auto"/>
              </w:rPr>
              <w:t>E</w:t>
            </w:r>
            <w:r w:rsidRPr="0052538F">
              <w:rPr>
                <w:rStyle w:val="y2iqfc"/>
                <w:rFonts w:eastAsia="Calibri"/>
                <w:color w:val="auto"/>
              </w:rPr>
              <w:t>vents.</w:t>
            </w:r>
          </w:p>
        </w:tc>
      </w:tr>
      <w:tr w:rsidR="0084251B" w:rsidRPr="0052538F" w14:paraId="59B0636F" w14:textId="77777777" w:rsidTr="00235FA1">
        <w:tc>
          <w:tcPr>
            <w:tcW w:w="2830" w:type="dxa"/>
          </w:tcPr>
          <w:p w14:paraId="55C6F437" w14:textId="77777777" w:rsidR="0084251B" w:rsidRPr="006B3495" w:rsidRDefault="0084251B" w:rsidP="00235FA1">
            <w:pPr>
              <w:pStyle w:val="a1"/>
              <w:spacing w:line="276" w:lineRule="auto"/>
              <w:jc w:val="both"/>
              <w:rPr>
                <w:rStyle w:val="y2iqfc"/>
                <w:rFonts w:eastAsia="Calibri"/>
                <w:color w:val="auto"/>
              </w:rPr>
            </w:pPr>
            <w:r w:rsidRPr="006B3495">
              <w:rPr>
                <w:rStyle w:val="y2iqfc"/>
                <w:rFonts w:eastAsia="Calibri"/>
                <w:color w:val="auto"/>
              </w:rPr>
              <w:t>MI</w:t>
            </w:r>
          </w:p>
        </w:tc>
        <w:tc>
          <w:tcPr>
            <w:tcW w:w="5466" w:type="dxa"/>
          </w:tcPr>
          <w:p w14:paraId="4C93B5C0" w14:textId="77777777" w:rsidR="0084251B" w:rsidRPr="006B3495" w:rsidRDefault="0084251B" w:rsidP="00235FA1">
            <w:pPr>
              <w:pStyle w:val="a1"/>
              <w:spacing w:line="276" w:lineRule="auto"/>
              <w:jc w:val="both"/>
              <w:rPr>
                <w:rStyle w:val="y2iqfc"/>
                <w:rFonts w:eastAsia="Calibri"/>
                <w:color w:val="auto"/>
              </w:rPr>
            </w:pPr>
            <w:r w:rsidRPr="006B3495">
              <w:rPr>
                <w:rStyle w:val="y2iqfc"/>
                <w:rFonts w:eastAsia="Calibri"/>
                <w:color w:val="auto"/>
              </w:rPr>
              <w:t>Myocardial Infarction</w:t>
            </w:r>
            <w:r>
              <w:rPr>
                <w:rStyle w:val="y2iqfc"/>
                <w:rFonts w:eastAsia="Calibri"/>
                <w:color w:val="auto"/>
              </w:rPr>
              <w:t>.</w:t>
            </w:r>
          </w:p>
        </w:tc>
      </w:tr>
      <w:tr w:rsidR="0084251B" w:rsidRPr="0052538F" w14:paraId="0FDDFE42" w14:textId="77777777" w:rsidTr="00235FA1">
        <w:tc>
          <w:tcPr>
            <w:tcW w:w="2830" w:type="dxa"/>
          </w:tcPr>
          <w:p w14:paraId="5EE38D9D" w14:textId="77777777" w:rsidR="0084251B" w:rsidRPr="0052538F" w:rsidRDefault="0084251B" w:rsidP="00235FA1">
            <w:pPr>
              <w:rPr>
                <w:rStyle w:val="y2iqfc"/>
                <w:rFonts w:asciiTheme="majorBidi" w:hAnsiTheme="majorBidi" w:cstheme="majorBidi"/>
                <w:sz w:val="24"/>
                <w:szCs w:val="24"/>
              </w:rPr>
            </w:pPr>
            <w:r w:rsidRPr="0052538F">
              <w:rPr>
                <w:rStyle w:val="y2iqfc"/>
                <w:rFonts w:asciiTheme="majorBidi" w:hAnsiTheme="majorBidi" w:cstheme="majorBidi"/>
                <w:sz w:val="24"/>
                <w:szCs w:val="24"/>
              </w:rPr>
              <w:t xml:space="preserve">ml </w:t>
            </w:r>
          </w:p>
        </w:tc>
        <w:tc>
          <w:tcPr>
            <w:tcW w:w="5466" w:type="dxa"/>
          </w:tcPr>
          <w:p w14:paraId="5ABC9647" w14:textId="37F186E7" w:rsidR="0084251B" w:rsidRPr="0052538F" w:rsidRDefault="00387C0F" w:rsidP="00235FA1">
            <w:pPr>
              <w:pStyle w:val="a1"/>
              <w:spacing w:line="276" w:lineRule="auto"/>
              <w:jc w:val="both"/>
              <w:rPr>
                <w:rStyle w:val="y2iqfc"/>
                <w:rFonts w:eastAsia="Calibri"/>
                <w:color w:val="auto"/>
              </w:rPr>
            </w:pPr>
            <w:r>
              <w:rPr>
                <w:rStyle w:val="y2iqfc"/>
                <w:rFonts w:eastAsia="Calibri"/>
                <w:color w:val="auto"/>
              </w:rPr>
              <w:t>Millilitre</w:t>
            </w:r>
            <w:r w:rsidR="0084251B">
              <w:rPr>
                <w:rStyle w:val="y2iqfc"/>
                <w:rFonts w:eastAsia="Calibri"/>
                <w:color w:val="auto"/>
              </w:rPr>
              <w:t>.</w:t>
            </w:r>
          </w:p>
        </w:tc>
      </w:tr>
      <w:tr w:rsidR="0084251B" w:rsidRPr="0052538F" w14:paraId="040EACDD" w14:textId="77777777" w:rsidTr="00235FA1">
        <w:tc>
          <w:tcPr>
            <w:tcW w:w="2830" w:type="dxa"/>
          </w:tcPr>
          <w:p w14:paraId="526FE2FF" w14:textId="77777777" w:rsidR="0084251B" w:rsidRPr="0052538F" w:rsidRDefault="0084251B" w:rsidP="00235FA1">
            <w:pPr>
              <w:rPr>
                <w:rStyle w:val="y2iqfc"/>
                <w:rFonts w:asciiTheme="majorBidi" w:hAnsiTheme="majorBidi" w:cstheme="majorBidi"/>
                <w:sz w:val="24"/>
                <w:szCs w:val="24"/>
              </w:rPr>
            </w:pPr>
            <w:r w:rsidRPr="0052538F">
              <w:rPr>
                <w:rStyle w:val="y2iqfc"/>
                <w:rFonts w:asciiTheme="majorBidi" w:hAnsiTheme="majorBidi" w:cstheme="majorBidi"/>
                <w:sz w:val="24"/>
                <w:szCs w:val="24"/>
                <w:lang w:val="en-US"/>
              </w:rPr>
              <w:t>ml/kg/min</w:t>
            </w:r>
          </w:p>
        </w:tc>
        <w:tc>
          <w:tcPr>
            <w:tcW w:w="5466" w:type="dxa"/>
          </w:tcPr>
          <w:p w14:paraId="2964333E" w14:textId="3CDBFE13" w:rsidR="0084251B" w:rsidRPr="0052538F" w:rsidRDefault="00387C0F" w:rsidP="00235FA1">
            <w:pPr>
              <w:pStyle w:val="a1"/>
              <w:spacing w:line="276" w:lineRule="auto"/>
              <w:jc w:val="both"/>
              <w:rPr>
                <w:rStyle w:val="y2iqfc"/>
                <w:rFonts w:eastAsia="Calibri"/>
                <w:color w:val="auto"/>
              </w:rPr>
            </w:pPr>
            <w:r>
              <w:rPr>
                <w:rStyle w:val="y2iqfc"/>
                <w:rFonts w:eastAsia="Calibri"/>
                <w:color w:val="auto"/>
              </w:rPr>
              <w:t>Millilitre</w:t>
            </w:r>
            <w:r w:rsidR="0084251B">
              <w:rPr>
                <w:rStyle w:val="y2iqfc"/>
                <w:rFonts w:eastAsia="Calibri"/>
                <w:color w:val="auto"/>
              </w:rPr>
              <w:t>/kilogram/minute.</w:t>
            </w:r>
          </w:p>
        </w:tc>
      </w:tr>
      <w:tr w:rsidR="00201A43" w:rsidRPr="00201A43" w14:paraId="3BF48079" w14:textId="77777777" w:rsidTr="00235FA1">
        <w:tc>
          <w:tcPr>
            <w:tcW w:w="2830" w:type="dxa"/>
          </w:tcPr>
          <w:p w14:paraId="420A5DDF" w14:textId="77777777" w:rsidR="0084251B" w:rsidRPr="001659D7" w:rsidRDefault="0084251B" w:rsidP="001659D7">
            <w:pPr>
              <w:pStyle w:val="a1"/>
              <w:spacing w:line="276" w:lineRule="auto"/>
              <w:jc w:val="both"/>
              <w:rPr>
                <w:rStyle w:val="y2iqfc"/>
                <w:rFonts w:eastAsia="Calibri"/>
                <w:color w:val="auto"/>
              </w:rPr>
            </w:pPr>
            <w:r w:rsidRPr="001659D7">
              <w:rPr>
                <w:rStyle w:val="y2iqfc"/>
                <w:rFonts w:eastAsia="Calibri"/>
                <w:color w:val="auto"/>
              </w:rPr>
              <w:lastRenderedPageBreak/>
              <w:t>mmHg</w:t>
            </w:r>
          </w:p>
        </w:tc>
        <w:tc>
          <w:tcPr>
            <w:tcW w:w="5466" w:type="dxa"/>
          </w:tcPr>
          <w:p w14:paraId="22C007B5" w14:textId="55909324" w:rsidR="0084251B" w:rsidRPr="001659D7" w:rsidRDefault="001659D7" w:rsidP="001659D7">
            <w:pPr>
              <w:pStyle w:val="a1"/>
              <w:spacing w:line="276" w:lineRule="auto"/>
              <w:jc w:val="both"/>
              <w:rPr>
                <w:rStyle w:val="y2iqfc"/>
                <w:rFonts w:eastAsia="Calibri"/>
                <w:color w:val="auto"/>
              </w:rPr>
            </w:pPr>
            <w:r>
              <w:rPr>
                <w:rStyle w:val="y2iqfc"/>
                <w:rFonts w:eastAsia="Calibri"/>
                <w:b/>
                <w:bCs/>
                <w:color w:val="auto"/>
              </w:rPr>
              <w:t>m</w:t>
            </w:r>
            <w:r w:rsidR="004A5C67" w:rsidRPr="001659D7">
              <w:rPr>
                <w:rStyle w:val="y2iqfc"/>
                <w:rFonts w:eastAsia="Calibri"/>
                <w:b/>
                <w:bCs/>
                <w:color w:val="auto"/>
              </w:rPr>
              <w:t xml:space="preserve">illimetres of </w:t>
            </w:r>
            <w:r w:rsidRPr="001659D7">
              <w:rPr>
                <w:rStyle w:val="y2iqfc"/>
                <w:rFonts w:eastAsia="Calibri"/>
                <w:b/>
                <w:bCs/>
                <w:color w:val="auto"/>
              </w:rPr>
              <w:t>M</w:t>
            </w:r>
            <w:r w:rsidR="004A5C67" w:rsidRPr="001659D7">
              <w:rPr>
                <w:rStyle w:val="y2iqfc"/>
                <w:rFonts w:eastAsia="Calibri"/>
                <w:b/>
                <w:bCs/>
                <w:color w:val="auto"/>
              </w:rPr>
              <w:t>ercury</w:t>
            </w:r>
            <w:r w:rsidR="004A5C67" w:rsidRPr="001659D7">
              <w:rPr>
                <w:rStyle w:val="y2iqfc"/>
                <w:rFonts w:eastAsia="Calibri"/>
                <w:color w:val="auto"/>
              </w:rPr>
              <w:t>.</w:t>
            </w:r>
          </w:p>
        </w:tc>
      </w:tr>
      <w:tr w:rsidR="0084251B" w:rsidRPr="0052538F" w14:paraId="3D6D576B" w14:textId="77777777" w:rsidTr="00235FA1">
        <w:trPr>
          <w:trHeight w:val="529"/>
        </w:trPr>
        <w:tc>
          <w:tcPr>
            <w:tcW w:w="2830" w:type="dxa"/>
          </w:tcPr>
          <w:p w14:paraId="2DF17401" w14:textId="77777777" w:rsidR="0084251B" w:rsidRPr="006B3495" w:rsidRDefault="0084251B" w:rsidP="00235FA1">
            <w:pPr>
              <w:pStyle w:val="a1"/>
              <w:spacing w:line="276" w:lineRule="auto"/>
              <w:jc w:val="both"/>
              <w:rPr>
                <w:rStyle w:val="y2iqfc"/>
                <w:rFonts w:eastAsia="Calibri"/>
                <w:color w:val="auto"/>
              </w:rPr>
            </w:pPr>
            <w:r w:rsidRPr="0052538F">
              <w:rPr>
                <w:rStyle w:val="y2iqfc"/>
                <w:rFonts w:eastAsia="Calibri"/>
                <w:color w:val="auto"/>
              </w:rPr>
              <w:t>NNUH</w:t>
            </w:r>
          </w:p>
        </w:tc>
        <w:tc>
          <w:tcPr>
            <w:tcW w:w="5466" w:type="dxa"/>
          </w:tcPr>
          <w:p w14:paraId="22FC203C" w14:textId="77777777" w:rsidR="0084251B" w:rsidRPr="006B3495" w:rsidRDefault="0084251B" w:rsidP="00235FA1">
            <w:pPr>
              <w:pStyle w:val="a1"/>
              <w:spacing w:line="276" w:lineRule="auto"/>
              <w:jc w:val="both"/>
              <w:rPr>
                <w:rStyle w:val="y2iqfc"/>
                <w:rFonts w:eastAsia="Calibri"/>
                <w:color w:val="auto"/>
              </w:rPr>
            </w:pPr>
            <w:r w:rsidRPr="0052538F">
              <w:rPr>
                <w:rStyle w:val="y2iqfc"/>
                <w:rFonts w:eastAsia="Calibri"/>
                <w:color w:val="auto"/>
              </w:rPr>
              <w:t>An-Najah National University Hospital.</w:t>
            </w:r>
          </w:p>
        </w:tc>
      </w:tr>
      <w:tr w:rsidR="0084251B" w:rsidRPr="0052538F" w14:paraId="43F23298" w14:textId="77777777" w:rsidTr="00235FA1">
        <w:tc>
          <w:tcPr>
            <w:tcW w:w="2830" w:type="dxa"/>
          </w:tcPr>
          <w:p w14:paraId="26BF7180" w14:textId="77777777" w:rsidR="0084251B" w:rsidRPr="0052538F" w:rsidRDefault="0084251B" w:rsidP="00235FA1">
            <w:pPr>
              <w:rPr>
                <w:rStyle w:val="y2iqfc"/>
                <w:rFonts w:asciiTheme="majorBidi" w:hAnsiTheme="majorBidi" w:cstheme="majorBidi"/>
                <w:sz w:val="24"/>
                <w:szCs w:val="24"/>
              </w:rPr>
            </w:pPr>
            <w:r w:rsidRPr="0052538F">
              <w:rPr>
                <w:rStyle w:val="y2iqfc"/>
                <w:rFonts w:asciiTheme="majorBidi" w:hAnsiTheme="majorBidi" w:cstheme="majorBidi"/>
                <w:sz w:val="24"/>
                <w:szCs w:val="24"/>
              </w:rPr>
              <w:t>non-CABG</w:t>
            </w:r>
          </w:p>
        </w:tc>
        <w:tc>
          <w:tcPr>
            <w:tcW w:w="5466" w:type="dxa"/>
          </w:tcPr>
          <w:p w14:paraId="1971F5DF" w14:textId="77777777" w:rsidR="0084251B" w:rsidRPr="0052538F" w:rsidRDefault="0084251B" w:rsidP="00235FA1">
            <w:pPr>
              <w:pStyle w:val="a1"/>
              <w:spacing w:line="276" w:lineRule="auto"/>
              <w:jc w:val="both"/>
              <w:rPr>
                <w:rStyle w:val="y2iqfc"/>
                <w:rFonts w:eastAsia="Calibri"/>
                <w:color w:val="auto"/>
              </w:rPr>
            </w:pPr>
            <w:r w:rsidRPr="0052538F">
              <w:rPr>
                <w:rStyle w:val="y2iqfc"/>
                <w:rFonts w:eastAsia="Calibri"/>
                <w:color w:val="auto"/>
              </w:rPr>
              <w:t>Non-Coronary Artery Bypass Graft.</w:t>
            </w:r>
          </w:p>
        </w:tc>
      </w:tr>
      <w:tr w:rsidR="0084251B" w:rsidRPr="0052538F" w14:paraId="6B8C64BF" w14:textId="77777777" w:rsidTr="00235FA1">
        <w:tc>
          <w:tcPr>
            <w:tcW w:w="2830" w:type="dxa"/>
          </w:tcPr>
          <w:p w14:paraId="3D8BCF1B" w14:textId="77777777" w:rsidR="0084251B" w:rsidRPr="0052538F" w:rsidRDefault="0084251B" w:rsidP="00235FA1">
            <w:pPr>
              <w:rPr>
                <w:rStyle w:val="y2iqfc"/>
                <w:rFonts w:asciiTheme="majorBidi" w:hAnsiTheme="majorBidi" w:cstheme="majorBidi"/>
                <w:sz w:val="24"/>
                <w:szCs w:val="24"/>
              </w:rPr>
            </w:pPr>
            <w:r w:rsidRPr="0052538F">
              <w:rPr>
                <w:rStyle w:val="y2iqfc"/>
                <w:rFonts w:asciiTheme="majorBidi" w:hAnsiTheme="majorBidi" w:cstheme="majorBidi"/>
                <w:sz w:val="24"/>
                <w:szCs w:val="24"/>
              </w:rPr>
              <w:t>NSTEMI</w:t>
            </w:r>
          </w:p>
        </w:tc>
        <w:tc>
          <w:tcPr>
            <w:tcW w:w="5466" w:type="dxa"/>
          </w:tcPr>
          <w:p w14:paraId="37950923" w14:textId="77777777" w:rsidR="0084251B" w:rsidRPr="0052538F" w:rsidRDefault="0084251B" w:rsidP="00235FA1">
            <w:pPr>
              <w:pStyle w:val="a1"/>
              <w:spacing w:line="276" w:lineRule="auto"/>
              <w:jc w:val="both"/>
              <w:rPr>
                <w:rStyle w:val="y2iqfc"/>
                <w:rFonts w:eastAsia="Calibri"/>
                <w:color w:val="auto"/>
              </w:rPr>
            </w:pPr>
            <w:r w:rsidRPr="0052538F">
              <w:rPr>
                <w:rStyle w:val="y2iqfc"/>
                <w:rFonts w:eastAsia="Calibri"/>
                <w:color w:val="auto"/>
              </w:rPr>
              <w:t>Non-ST-Segment Elevation Myocardial Infarction.</w:t>
            </w:r>
          </w:p>
        </w:tc>
      </w:tr>
      <w:tr w:rsidR="0084251B" w:rsidRPr="0052538F" w14:paraId="19AFD295" w14:textId="77777777" w:rsidTr="00235FA1">
        <w:tc>
          <w:tcPr>
            <w:tcW w:w="2830" w:type="dxa"/>
          </w:tcPr>
          <w:p w14:paraId="0401D5D9" w14:textId="77777777" w:rsidR="0084251B" w:rsidRPr="00235FA1" w:rsidRDefault="0084251B" w:rsidP="00235FA1">
            <w:pPr>
              <w:rPr>
                <w:rStyle w:val="y2iqfc"/>
                <w:rFonts w:asciiTheme="majorBidi" w:hAnsiTheme="majorBidi" w:cstheme="majorBidi"/>
                <w:color w:val="FF0000"/>
                <w:sz w:val="24"/>
                <w:szCs w:val="24"/>
              </w:rPr>
            </w:pPr>
            <w:r w:rsidRPr="007F19D0">
              <w:rPr>
                <w:rStyle w:val="y2iqfc"/>
                <w:rFonts w:asciiTheme="majorBidi" w:hAnsiTheme="majorBidi" w:cstheme="majorBidi"/>
                <w:color w:val="000000" w:themeColor="text1"/>
                <w:sz w:val="24"/>
                <w:szCs w:val="24"/>
              </w:rPr>
              <w:t>PCI</w:t>
            </w:r>
          </w:p>
        </w:tc>
        <w:tc>
          <w:tcPr>
            <w:tcW w:w="5466" w:type="dxa"/>
          </w:tcPr>
          <w:p w14:paraId="55758D05" w14:textId="77777777" w:rsidR="0084251B" w:rsidRPr="0052538F" w:rsidRDefault="0084251B" w:rsidP="00235FA1">
            <w:pPr>
              <w:pStyle w:val="a1"/>
              <w:spacing w:line="276" w:lineRule="auto"/>
              <w:jc w:val="both"/>
              <w:rPr>
                <w:rStyle w:val="y2iqfc"/>
                <w:rFonts w:eastAsia="Calibri"/>
                <w:color w:val="auto"/>
              </w:rPr>
            </w:pPr>
            <w:r w:rsidRPr="0052538F">
              <w:rPr>
                <w:rStyle w:val="y2iqfc"/>
                <w:rFonts w:eastAsia="Calibri"/>
                <w:color w:val="auto"/>
              </w:rPr>
              <w:t>Percutaneous Coronary Intervention.</w:t>
            </w:r>
          </w:p>
        </w:tc>
      </w:tr>
      <w:tr w:rsidR="0084251B" w:rsidRPr="0052538F" w14:paraId="305B48AE" w14:textId="77777777" w:rsidTr="00235FA1">
        <w:tc>
          <w:tcPr>
            <w:tcW w:w="2830" w:type="dxa"/>
          </w:tcPr>
          <w:p w14:paraId="092E68D6" w14:textId="77777777" w:rsidR="0084251B" w:rsidRPr="0052538F" w:rsidRDefault="0084251B" w:rsidP="00235FA1">
            <w:pPr>
              <w:rPr>
                <w:rStyle w:val="y2iqfc"/>
                <w:rFonts w:asciiTheme="majorBidi" w:hAnsiTheme="majorBidi" w:cstheme="majorBidi"/>
                <w:sz w:val="24"/>
                <w:szCs w:val="24"/>
              </w:rPr>
            </w:pPr>
            <w:r w:rsidRPr="0052538F">
              <w:rPr>
                <w:rStyle w:val="y2iqfc"/>
                <w:rFonts w:asciiTheme="majorBidi" w:hAnsiTheme="majorBidi" w:cstheme="majorBidi"/>
                <w:sz w:val="24"/>
                <w:szCs w:val="24"/>
              </w:rPr>
              <w:t>PPCI</w:t>
            </w:r>
          </w:p>
        </w:tc>
        <w:tc>
          <w:tcPr>
            <w:tcW w:w="5466" w:type="dxa"/>
          </w:tcPr>
          <w:p w14:paraId="547890E3" w14:textId="77777777" w:rsidR="0084251B" w:rsidRPr="0052538F" w:rsidRDefault="0084251B" w:rsidP="00235FA1">
            <w:pPr>
              <w:pStyle w:val="a1"/>
              <w:spacing w:line="276" w:lineRule="auto"/>
              <w:jc w:val="both"/>
              <w:rPr>
                <w:rStyle w:val="y2iqfc"/>
                <w:rFonts w:eastAsia="Calibri"/>
                <w:color w:val="auto"/>
              </w:rPr>
            </w:pPr>
            <w:r w:rsidRPr="0052538F">
              <w:rPr>
                <w:rStyle w:val="y2iqfc"/>
                <w:rFonts w:eastAsia="Calibri"/>
                <w:color w:val="auto"/>
              </w:rPr>
              <w:t>Primary Percutaneous Coronary Intervention.</w:t>
            </w:r>
          </w:p>
        </w:tc>
      </w:tr>
      <w:tr w:rsidR="0084251B" w:rsidRPr="0052538F" w14:paraId="5F5A5A7F" w14:textId="77777777" w:rsidTr="00235FA1">
        <w:tc>
          <w:tcPr>
            <w:tcW w:w="2830" w:type="dxa"/>
          </w:tcPr>
          <w:p w14:paraId="39000A7C" w14:textId="77777777" w:rsidR="0084251B" w:rsidRPr="0052538F" w:rsidRDefault="0084251B" w:rsidP="00235FA1">
            <w:pPr>
              <w:rPr>
                <w:rStyle w:val="y2iqfc"/>
                <w:rFonts w:asciiTheme="majorBidi" w:hAnsiTheme="majorBidi" w:cstheme="majorBidi"/>
                <w:sz w:val="24"/>
                <w:szCs w:val="24"/>
              </w:rPr>
            </w:pPr>
            <w:r w:rsidRPr="0052538F">
              <w:rPr>
                <w:rStyle w:val="y2iqfc"/>
                <w:rFonts w:asciiTheme="majorBidi" w:hAnsiTheme="majorBidi" w:cstheme="majorBidi"/>
                <w:sz w:val="24"/>
                <w:szCs w:val="24"/>
              </w:rPr>
              <w:t>RA</w:t>
            </w:r>
          </w:p>
        </w:tc>
        <w:tc>
          <w:tcPr>
            <w:tcW w:w="5466" w:type="dxa"/>
          </w:tcPr>
          <w:p w14:paraId="519F17A1" w14:textId="77777777" w:rsidR="0084251B" w:rsidRPr="0052538F" w:rsidRDefault="0084251B" w:rsidP="00235FA1">
            <w:pPr>
              <w:pStyle w:val="a1"/>
              <w:spacing w:line="276" w:lineRule="auto"/>
              <w:jc w:val="both"/>
              <w:rPr>
                <w:rStyle w:val="y2iqfc"/>
                <w:rFonts w:eastAsia="Calibri"/>
                <w:color w:val="auto"/>
              </w:rPr>
            </w:pPr>
            <w:r>
              <w:rPr>
                <w:rStyle w:val="y2iqfc"/>
                <w:rFonts w:eastAsia="Calibri"/>
                <w:color w:val="auto"/>
              </w:rPr>
              <w:t>R</w:t>
            </w:r>
            <w:r w:rsidRPr="0052538F">
              <w:rPr>
                <w:rStyle w:val="y2iqfc"/>
                <w:rFonts w:eastAsia="Calibri"/>
                <w:color w:val="auto"/>
              </w:rPr>
              <w:t xml:space="preserve">adial </w:t>
            </w:r>
            <w:r>
              <w:rPr>
                <w:rStyle w:val="y2iqfc"/>
                <w:rFonts w:eastAsia="Calibri"/>
                <w:color w:val="auto"/>
              </w:rPr>
              <w:t>A</w:t>
            </w:r>
            <w:r w:rsidRPr="0052538F">
              <w:rPr>
                <w:rStyle w:val="y2iqfc"/>
                <w:rFonts w:eastAsia="Calibri"/>
                <w:color w:val="auto"/>
              </w:rPr>
              <w:t>pproach</w:t>
            </w:r>
            <w:r>
              <w:rPr>
                <w:rStyle w:val="y2iqfc"/>
                <w:rFonts w:eastAsia="Calibri"/>
                <w:color w:val="auto"/>
              </w:rPr>
              <w:t>.</w:t>
            </w:r>
          </w:p>
        </w:tc>
      </w:tr>
      <w:tr w:rsidR="0084251B" w:rsidRPr="0052538F" w14:paraId="6D68243B" w14:textId="77777777" w:rsidTr="00235FA1">
        <w:tc>
          <w:tcPr>
            <w:tcW w:w="2830" w:type="dxa"/>
          </w:tcPr>
          <w:p w14:paraId="284EA044" w14:textId="77777777" w:rsidR="0084251B" w:rsidRPr="0052538F" w:rsidRDefault="0084251B" w:rsidP="00235FA1">
            <w:pPr>
              <w:rPr>
                <w:rStyle w:val="y2iqfc"/>
                <w:rFonts w:asciiTheme="majorBidi" w:hAnsiTheme="majorBidi" w:cstheme="majorBidi"/>
                <w:sz w:val="24"/>
                <w:szCs w:val="24"/>
              </w:rPr>
            </w:pPr>
            <w:r w:rsidRPr="0052538F">
              <w:rPr>
                <w:rStyle w:val="y2iqfc"/>
                <w:rFonts w:asciiTheme="majorBidi" w:hAnsiTheme="majorBidi" w:cstheme="majorBidi"/>
                <w:sz w:val="24"/>
                <w:szCs w:val="24"/>
              </w:rPr>
              <w:t>SBP</w:t>
            </w:r>
          </w:p>
        </w:tc>
        <w:tc>
          <w:tcPr>
            <w:tcW w:w="5466" w:type="dxa"/>
          </w:tcPr>
          <w:p w14:paraId="6B671A48" w14:textId="77777777" w:rsidR="0084251B" w:rsidRPr="0052538F" w:rsidRDefault="0084251B" w:rsidP="00235FA1">
            <w:pPr>
              <w:pStyle w:val="a1"/>
              <w:spacing w:line="276" w:lineRule="auto"/>
              <w:jc w:val="both"/>
              <w:rPr>
                <w:rStyle w:val="y2iqfc"/>
                <w:rFonts w:eastAsia="Calibri"/>
                <w:color w:val="auto"/>
              </w:rPr>
            </w:pPr>
            <w:r w:rsidRPr="0052538F">
              <w:rPr>
                <w:rStyle w:val="y2iqfc"/>
                <w:rFonts w:eastAsia="Calibri"/>
                <w:color w:val="auto"/>
              </w:rPr>
              <w:t>Systolic Blood Pressure</w:t>
            </w:r>
            <w:r>
              <w:rPr>
                <w:rStyle w:val="y2iqfc"/>
                <w:rFonts w:eastAsia="Calibri"/>
                <w:color w:val="auto"/>
              </w:rPr>
              <w:t>.</w:t>
            </w:r>
          </w:p>
        </w:tc>
      </w:tr>
      <w:tr w:rsidR="0084251B" w:rsidRPr="0052538F" w14:paraId="36C515C5" w14:textId="77777777" w:rsidTr="00235FA1">
        <w:tc>
          <w:tcPr>
            <w:tcW w:w="2830" w:type="dxa"/>
          </w:tcPr>
          <w:p w14:paraId="577A6F15" w14:textId="77777777" w:rsidR="0084251B" w:rsidRPr="0052538F" w:rsidRDefault="0084251B" w:rsidP="00235FA1">
            <w:pPr>
              <w:rPr>
                <w:rStyle w:val="y2iqfc"/>
                <w:rFonts w:asciiTheme="majorBidi" w:hAnsiTheme="majorBidi" w:cstheme="majorBidi"/>
                <w:sz w:val="24"/>
                <w:szCs w:val="24"/>
              </w:rPr>
            </w:pPr>
            <w:r w:rsidRPr="0052538F">
              <w:rPr>
                <w:rStyle w:val="y2iqfc"/>
                <w:rFonts w:asciiTheme="majorBidi" w:hAnsiTheme="majorBidi" w:cstheme="majorBidi"/>
                <w:sz w:val="24"/>
                <w:szCs w:val="24"/>
              </w:rPr>
              <w:t>TFA</w:t>
            </w:r>
          </w:p>
        </w:tc>
        <w:tc>
          <w:tcPr>
            <w:tcW w:w="5466" w:type="dxa"/>
          </w:tcPr>
          <w:p w14:paraId="0F0465E1" w14:textId="77777777" w:rsidR="0084251B" w:rsidRPr="0052538F" w:rsidRDefault="0084251B" w:rsidP="00235FA1">
            <w:pPr>
              <w:pStyle w:val="a1"/>
              <w:spacing w:line="276" w:lineRule="auto"/>
              <w:jc w:val="both"/>
              <w:rPr>
                <w:rStyle w:val="y2iqfc"/>
                <w:rFonts w:eastAsia="Calibri"/>
                <w:color w:val="auto"/>
              </w:rPr>
            </w:pPr>
            <w:r>
              <w:rPr>
                <w:rStyle w:val="y2iqfc"/>
                <w:rFonts w:eastAsia="Calibri"/>
                <w:color w:val="auto"/>
              </w:rPr>
              <w:t>T</w:t>
            </w:r>
            <w:r w:rsidRPr="0052538F">
              <w:rPr>
                <w:rStyle w:val="y2iqfc"/>
                <w:rFonts w:eastAsia="Calibri"/>
                <w:color w:val="auto"/>
              </w:rPr>
              <w:t>ransfemoral access</w:t>
            </w:r>
            <w:r>
              <w:rPr>
                <w:rStyle w:val="y2iqfc"/>
                <w:rFonts w:eastAsia="Calibri"/>
                <w:color w:val="auto"/>
              </w:rPr>
              <w:t>.</w:t>
            </w:r>
          </w:p>
        </w:tc>
      </w:tr>
      <w:tr w:rsidR="0084251B" w:rsidRPr="0052538F" w14:paraId="1FC3CF3D" w14:textId="77777777" w:rsidTr="00235FA1">
        <w:tc>
          <w:tcPr>
            <w:tcW w:w="2830" w:type="dxa"/>
          </w:tcPr>
          <w:p w14:paraId="41E106C6" w14:textId="77777777" w:rsidR="0084251B" w:rsidRPr="0052538F" w:rsidRDefault="0084251B" w:rsidP="00235FA1">
            <w:pPr>
              <w:rPr>
                <w:rStyle w:val="y2iqfc"/>
                <w:rFonts w:asciiTheme="majorBidi" w:hAnsiTheme="majorBidi" w:cstheme="majorBidi"/>
                <w:sz w:val="24"/>
                <w:szCs w:val="24"/>
              </w:rPr>
            </w:pPr>
            <w:r w:rsidRPr="0052538F">
              <w:rPr>
                <w:rStyle w:val="y2iqfc"/>
                <w:rFonts w:asciiTheme="majorBidi" w:hAnsiTheme="majorBidi" w:cstheme="majorBidi"/>
                <w:sz w:val="24"/>
                <w:szCs w:val="24"/>
              </w:rPr>
              <w:t>TRA</w:t>
            </w:r>
          </w:p>
        </w:tc>
        <w:tc>
          <w:tcPr>
            <w:tcW w:w="5466" w:type="dxa"/>
          </w:tcPr>
          <w:p w14:paraId="70CDBC75" w14:textId="77777777" w:rsidR="0084251B" w:rsidRPr="0052538F" w:rsidRDefault="0084251B" w:rsidP="00235FA1">
            <w:pPr>
              <w:pStyle w:val="a1"/>
              <w:spacing w:line="276" w:lineRule="auto"/>
              <w:jc w:val="both"/>
              <w:rPr>
                <w:rStyle w:val="y2iqfc"/>
                <w:rFonts w:eastAsia="Calibri"/>
                <w:color w:val="auto"/>
              </w:rPr>
            </w:pPr>
            <w:r>
              <w:rPr>
                <w:rStyle w:val="y2iqfc"/>
                <w:rFonts w:eastAsia="Calibri"/>
                <w:color w:val="auto"/>
              </w:rPr>
              <w:t>T</w:t>
            </w:r>
            <w:r w:rsidRPr="0052538F">
              <w:rPr>
                <w:rStyle w:val="y2iqfc"/>
                <w:rFonts w:eastAsia="Calibri"/>
                <w:color w:val="auto"/>
              </w:rPr>
              <w:t>ransradial access</w:t>
            </w:r>
            <w:r>
              <w:rPr>
                <w:rStyle w:val="y2iqfc"/>
                <w:rFonts w:eastAsia="Calibri"/>
                <w:color w:val="auto"/>
              </w:rPr>
              <w:t>.</w:t>
            </w:r>
          </w:p>
        </w:tc>
      </w:tr>
      <w:tr w:rsidR="0084251B" w:rsidRPr="0052538F" w14:paraId="2C26C01E" w14:textId="77777777" w:rsidTr="00235FA1">
        <w:tc>
          <w:tcPr>
            <w:tcW w:w="2830" w:type="dxa"/>
          </w:tcPr>
          <w:p w14:paraId="35F21F04" w14:textId="77777777" w:rsidR="0084251B" w:rsidRPr="0052538F" w:rsidRDefault="0084251B" w:rsidP="00235FA1">
            <w:pPr>
              <w:rPr>
                <w:rStyle w:val="y2iqfc"/>
                <w:rFonts w:asciiTheme="majorBidi" w:hAnsiTheme="majorBidi" w:cstheme="majorBidi"/>
                <w:sz w:val="24"/>
                <w:szCs w:val="24"/>
              </w:rPr>
            </w:pPr>
            <w:r w:rsidRPr="0052538F">
              <w:rPr>
                <w:rStyle w:val="y2iqfc"/>
                <w:rFonts w:asciiTheme="majorBidi" w:hAnsiTheme="majorBidi" w:cstheme="majorBidi"/>
                <w:sz w:val="24"/>
                <w:szCs w:val="24"/>
              </w:rPr>
              <w:t>VCD</w:t>
            </w:r>
          </w:p>
        </w:tc>
        <w:tc>
          <w:tcPr>
            <w:tcW w:w="5466" w:type="dxa"/>
          </w:tcPr>
          <w:p w14:paraId="249CBDB6" w14:textId="77777777" w:rsidR="0084251B" w:rsidRPr="0052538F" w:rsidRDefault="0084251B" w:rsidP="00235FA1">
            <w:pPr>
              <w:pStyle w:val="a1"/>
              <w:spacing w:line="276" w:lineRule="auto"/>
              <w:jc w:val="both"/>
              <w:rPr>
                <w:rStyle w:val="y2iqfc"/>
                <w:rFonts w:eastAsia="Calibri"/>
                <w:color w:val="auto"/>
              </w:rPr>
            </w:pPr>
            <w:r w:rsidRPr="0052538F">
              <w:rPr>
                <w:rStyle w:val="y2iqfc"/>
                <w:rFonts w:eastAsia="Calibri"/>
                <w:color w:val="auto"/>
              </w:rPr>
              <w:t>Vascular closure devices</w:t>
            </w:r>
            <w:r>
              <w:rPr>
                <w:rStyle w:val="y2iqfc"/>
                <w:rFonts w:eastAsia="Calibri"/>
                <w:color w:val="auto"/>
              </w:rPr>
              <w:t>.</w:t>
            </w:r>
          </w:p>
        </w:tc>
      </w:tr>
      <w:tr w:rsidR="0084251B" w:rsidRPr="0052538F" w14:paraId="18B09876" w14:textId="77777777" w:rsidTr="00235FA1">
        <w:trPr>
          <w:trHeight w:val="529"/>
        </w:trPr>
        <w:tc>
          <w:tcPr>
            <w:tcW w:w="2830" w:type="dxa"/>
          </w:tcPr>
          <w:p w14:paraId="65A4FFEF" w14:textId="77777777" w:rsidR="0084251B" w:rsidRPr="006B3495" w:rsidRDefault="0084251B" w:rsidP="00235FA1">
            <w:pPr>
              <w:pStyle w:val="a1"/>
              <w:spacing w:line="276" w:lineRule="auto"/>
              <w:jc w:val="both"/>
              <w:rPr>
                <w:rStyle w:val="y2iqfc"/>
                <w:rFonts w:eastAsia="Calibri"/>
                <w:color w:val="auto"/>
              </w:rPr>
            </w:pPr>
            <w:r w:rsidRPr="0052538F">
              <w:rPr>
                <w:rStyle w:val="y2iqfc"/>
                <w:rFonts w:eastAsia="Calibri"/>
                <w:color w:val="auto"/>
              </w:rPr>
              <w:t>χ²</w:t>
            </w:r>
          </w:p>
        </w:tc>
        <w:tc>
          <w:tcPr>
            <w:tcW w:w="5466" w:type="dxa"/>
          </w:tcPr>
          <w:p w14:paraId="05FB6725" w14:textId="77777777" w:rsidR="0084251B" w:rsidRPr="006B3495" w:rsidRDefault="0084251B" w:rsidP="00235FA1">
            <w:pPr>
              <w:pStyle w:val="a1"/>
              <w:spacing w:line="276" w:lineRule="auto"/>
              <w:jc w:val="both"/>
              <w:rPr>
                <w:rStyle w:val="y2iqfc"/>
                <w:rFonts w:eastAsia="Calibri"/>
                <w:color w:val="auto"/>
              </w:rPr>
            </w:pPr>
            <w:r w:rsidRPr="0052538F">
              <w:rPr>
                <w:rStyle w:val="y2iqfc"/>
                <w:rFonts w:eastAsia="Calibri"/>
                <w:color w:val="auto"/>
              </w:rPr>
              <w:t>Chi-square.</w:t>
            </w:r>
          </w:p>
        </w:tc>
      </w:tr>
    </w:tbl>
    <w:p w14:paraId="2BE7E699" w14:textId="77777777" w:rsidR="001F68F1" w:rsidRPr="006B3495" w:rsidRDefault="001F68F1" w:rsidP="001F68F1">
      <w:pPr>
        <w:pStyle w:val="a1"/>
        <w:jc w:val="both"/>
        <w:rPr>
          <w:rStyle w:val="y2iqfc"/>
          <w:rFonts w:eastAsia="Calibri"/>
          <w:color w:val="auto"/>
        </w:rPr>
      </w:pPr>
    </w:p>
    <w:p w14:paraId="7A8648C1" w14:textId="74B706C5" w:rsidR="001F68F1" w:rsidRPr="006B3495" w:rsidRDefault="001F68F1" w:rsidP="001F68F1">
      <w:pPr>
        <w:pStyle w:val="a1"/>
        <w:jc w:val="both"/>
        <w:rPr>
          <w:color w:val="auto"/>
        </w:rPr>
      </w:pPr>
      <w:r w:rsidRPr="006B3495">
        <w:rPr>
          <w:color w:val="auto"/>
        </w:rPr>
        <w:br w:type="page"/>
      </w:r>
    </w:p>
    <w:p w14:paraId="0CA217C4" w14:textId="77777777" w:rsidR="001F68F1" w:rsidRPr="006B3495" w:rsidRDefault="001F68F1" w:rsidP="001F68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heme="majorBidi" w:eastAsia="Times New Roman" w:hAnsiTheme="majorBidi" w:cstheme="majorBidi"/>
          <w:sz w:val="24"/>
          <w:szCs w:val="24"/>
        </w:rPr>
      </w:pPr>
    </w:p>
    <w:p w14:paraId="41767339" w14:textId="77777777" w:rsidR="001F68F1" w:rsidRPr="006B3495" w:rsidRDefault="001F68F1" w:rsidP="00A11B6B">
      <w:pPr>
        <w:pStyle w:val="a"/>
        <w:rPr>
          <w:rtl/>
          <w:lang w:bidi="ar-JO"/>
        </w:rPr>
      </w:pPr>
      <w:bookmarkStart w:id="11" w:name="_Toc212871496"/>
      <w:r w:rsidRPr="006B3495">
        <w:rPr>
          <w:lang w:bidi="ar-JO"/>
        </w:rPr>
        <w:t>Declaration</w:t>
      </w:r>
      <w:bookmarkEnd w:id="8"/>
      <w:bookmarkEnd w:id="11"/>
    </w:p>
    <w:p w14:paraId="782F344F" w14:textId="77777777" w:rsidR="001F68F1" w:rsidRPr="006B3495" w:rsidRDefault="001F68F1" w:rsidP="001F68F1">
      <w:pPr>
        <w:rPr>
          <w:rFonts w:asciiTheme="majorBidi" w:hAnsiTheme="majorBidi" w:cstheme="majorBidi"/>
          <w:sz w:val="24"/>
          <w:szCs w:val="24"/>
          <w:shd w:val="clear" w:color="auto" w:fill="FFFFFF"/>
          <w:rtl/>
          <w:lang w:bidi="ar-JO"/>
        </w:rPr>
      </w:pPr>
    </w:p>
    <w:p w14:paraId="45F6BC66" w14:textId="77777777" w:rsidR="001F68F1" w:rsidRPr="006B3495" w:rsidRDefault="001F68F1" w:rsidP="001F68F1">
      <w:pPr>
        <w:pStyle w:val="a1"/>
        <w:rPr>
          <w:color w:val="auto"/>
          <w:shd w:val="clear" w:color="auto" w:fill="FFFFFF"/>
          <w:lang w:bidi="ar-JO"/>
        </w:rPr>
      </w:pPr>
      <w:r w:rsidRPr="006B3495">
        <w:rPr>
          <w:color w:val="auto"/>
          <w:shd w:val="clear" w:color="auto" w:fill="FFFFFF"/>
          <w:lang w:bidi="ar-JO"/>
        </w:rPr>
        <w:t>I, the undersigned, declare that I submitted the thesis entitled:</w:t>
      </w:r>
    </w:p>
    <w:p w14:paraId="25A67F15" w14:textId="77777777" w:rsidR="001F68F1" w:rsidRPr="006B3495" w:rsidRDefault="001F68F1" w:rsidP="001F68F1">
      <w:pPr>
        <w:rPr>
          <w:rFonts w:asciiTheme="majorBidi" w:hAnsiTheme="majorBidi" w:cstheme="majorBidi"/>
          <w:sz w:val="24"/>
          <w:szCs w:val="24"/>
          <w:shd w:val="clear" w:color="auto" w:fill="FFFFFF"/>
          <w:lang w:bidi="ar-JO"/>
        </w:rPr>
      </w:pPr>
    </w:p>
    <w:p w14:paraId="06A50810" w14:textId="79317135" w:rsidR="001F68F1" w:rsidRPr="00947096" w:rsidRDefault="001F68F1" w:rsidP="00947096">
      <w:pPr>
        <w:rPr>
          <w:rFonts w:asciiTheme="majorBidi" w:hAnsiTheme="majorBidi" w:cstheme="majorBidi"/>
          <w:sz w:val="24"/>
          <w:szCs w:val="24"/>
          <w:shd w:val="clear" w:color="auto" w:fill="FFFFFF"/>
        </w:rPr>
      </w:pPr>
      <w:r w:rsidRPr="006B3495">
        <w:rPr>
          <w:rFonts w:asciiTheme="majorBidi" w:hAnsiTheme="majorBidi" w:cstheme="majorBidi"/>
          <w:sz w:val="24"/>
          <w:szCs w:val="24"/>
          <w:shd w:val="clear" w:color="auto" w:fill="FFFFFF"/>
        </w:rPr>
        <w:t xml:space="preserve">Comparison OF Radial Access Versus Femoral Access </w:t>
      </w:r>
      <w:proofErr w:type="gramStart"/>
      <w:r w:rsidRPr="006B3495">
        <w:rPr>
          <w:rFonts w:asciiTheme="majorBidi" w:hAnsiTheme="majorBidi" w:cstheme="majorBidi"/>
          <w:sz w:val="24"/>
          <w:szCs w:val="24"/>
          <w:shd w:val="clear" w:color="auto" w:fill="FFFFFF"/>
        </w:rPr>
        <w:t>With</w:t>
      </w:r>
      <w:proofErr w:type="gramEnd"/>
      <w:r w:rsidRPr="006B3495">
        <w:rPr>
          <w:rFonts w:asciiTheme="majorBidi" w:hAnsiTheme="majorBidi" w:cstheme="majorBidi"/>
          <w:sz w:val="24"/>
          <w:szCs w:val="24"/>
          <w:shd w:val="clear" w:color="auto" w:fill="FFFFFF"/>
        </w:rPr>
        <w:t xml:space="preserve"> </w:t>
      </w:r>
      <w:proofErr w:type="gramStart"/>
      <w:r w:rsidRPr="006B3495">
        <w:rPr>
          <w:rFonts w:asciiTheme="majorBidi" w:hAnsiTheme="majorBidi" w:cstheme="majorBidi"/>
          <w:sz w:val="24"/>
          <w:szCs w:val="24"/>
          <w:shd w:val="clear" w:color="auto" w:fill="FFFFFF"/>
        </w:rPr>
        <w:t>The</w:t>
      </w:r>
      <w:proofErr w:type="gramEnd"/>
      <w:r w:rsidRPr="006B3495">
        <w:rPr>
          <w:rFonts w:asciiTheme="majorBidi" w:hAnsiTheme="majorBidi" w:cstheme="majorBidi"/>
          <w:sz w:val="24"/>
          <w:szCs w:val="24"/>
          <w:shd w:val="clear" w:color="auto" w:fill="FFFFFF"/>
        </w:rPr>
        <w:t xml:space="preserve"> Use </w:t>
      </w:r>
      <w:proofErr w:type="gramStart"/>
      <w:r w:rsidRPr="006B3495">
        <w:rPr>
          <w:rFonts w:asciiTheme="majorBidi" w:hAnsiTheme="majorBidi" w:cstheme="majorBidi"/>
          <w:sz w:val="24"/>
          <w:szCs w:val="24"/>
          <w:shd w:val="clear" w:color="auto" w:fill="FFFFFF"/>
        </w:rPr>
        <w:t>Of</w:t>
      </w:r>
      <w:proofErr w:type="gramEnd"/>
      <w:r w:rsidRPr="006B3495">
        <w:rPr>
          <w:rFonts w:asciiTheme="majorBidi" w:hAnsiTheme="majorBidi" w:cstheme="majorBidi"/>
          <w:sz w:val="24"/>
          <w:szCs w:val="24"/>
          <w:shd w:val="clear" w:color="auto" w:fill="FFFFFF"/>
        </w:rPr>
        <w:t xml:space="preserve"> </w:t>
      </w:r>
      <w:proofErr w:type="gramStart"/>
      <w:r w:rsidRPr="006B3495">
        <w:rPr>
          <w:rFonts w:asciiTheme="majorBidi" w:hAnsiTheme="majorBidi" w:cstheme="majorBidi"/>
          <w:sz w:val="24"/>
          <w:szCs w:val="24"/>
          <w:shd w:val="clear" w:color="auto" w:fill="FFFFFF"/>
        </w:rPr>
        <w:t>A</w:t>
      </w:r>
      <w:proofErr w:type="gramEnd"/>
      <w:r w:rsidRPr="006B3495">
        <w:rPr>
          <w:rFonts w:asciiTheme="majorBidi" w:hAnsiTheme="majorBidi" w:cstheme="majorBidi"/>
          <w:sz w:val="24"/>
          <w:szCs w:val="24"/>
          <w:shd w:val="clear" w:color="auto" w:fill="FFFFFF"/>
        </w:rPr>
        <w:t xml:space="preserve"> Vascular Closure Device </w:t>
      </w:r>
      <w:proofErr w:type="gramStart"/>
      <w:r w:rsidRPr="006B3495">
        <w:rPr>
          <w:rFonts w:asciiTheme="majorBidi" w:hAnsiTheme="majorBidi" w:cstheme="majorBidi"/>
          <w:sz w:val="24"/>
          <w:szCs w:val="24"/>
          <w:shd w:val="clear" w:color="auto" w:fill="FFFFFF"/>
        </w:rPr>
        <w:t>For</w:t>
      </w:r>
      <w:proofErr w:type="gramEnd"/>
      <w:r w:rsidRPr="006B3495">
        <w:rPr>
          <w:rFonts w:asciiTheme="majorBidi" w:hAnsiTheme="majorBidi" w:cstheme="majorBidi"/>
          <w:sz w:val="24"/>
          <w:szCs w:val="24"/>
          <w:shd w:val="clear" w:color="auto" w:fill="FFFFFF"/>
        </w:rPr>
        <w:t xml:space="preserve"> Ease OF Operation, Procedure Time, And Vascular Complications </w:t>
      </w:r>
      <w:proofErr w:type="gramStart"/>
      <w:r w:rsidRPr="006B3495">
        <w:rPr>
          <w:rFonts w:asciiTheme="majorBidi" w:hAnsiTheme="majorBidi" w:cstheme="majorBidi"/>
          <w:sz w:val="24"/>
          <w:szCs w:val="24"/>
          <w:shd w:val="clear" w:color="auto" w:fill="FFFFFF"/>
        </w:rPr>
        <w:t>In</w:t>
      </w:r>
      <w:proofErr w:type="gramEnd"/>
      <w:r w:rsidRPr="006B3495">
        <w:rPr>
          <w:rFonts w:asciiTheme="majorBidi" w:hAnsiTheme="majorBidi" w:cstheme="majorBidi"/>
          <w:sz w:val="24"/>
          <w:szCs w:val="24"/>
          <w:shd w:val="clear" w:color="auto" w:fill="FFFFFF"/>
        </w:rPr>
        <w:t xml:space="preserve"> Patients Undergoing Percutaneous Coronary </w:t>
      </w:r>
      <w:r w:rsidR="00582669">
        <w:rPr>
          <w:rFonts w:asciiTheme="majorBidi" w:hAnsiTheme="majorBidi" w:cstheme="majorBidi"/>
          <w:sz w:val="24"/>
          <w:szCs w:val="24"/>
          <w:shd w:val="clear" w:color="auto" w:fill="FFFFFF"/>
        </w:rPr>
        <w:t>Intervention – A</w:t>
      </w:r>
      <w:r w:rsidRPr="006B3495">
        <w:rPr>
          <w:rFonts w:asciiTheme="majorBidi" w:hAnsiTheme="majorBidi" w:cstheme="majorBidi"/>
          <w:sz w:val="24"/>
          <w:szCs w:val="24"/>
          <w:shd w:val="clear" w:color="auto" w:fill="FFFFFF"/>
        </w:rPr>
        <w:t xml:space="preserve"> Retrospective Study</w:t>
      </w:r>
      <w:r w:rsidRPr="006B3495">
        <w:rPr>
          <w:rFonts w:asciiTheme="majorBidi" w:hAnsiTheme="majorBidi" w:cstheme="majorBidi"/>
          <w:b/>
          <w:sz w:val="24"/>
          <w:szCs w:val="24"/>
          <w:shd w:val="clear" w:color="auto" w:fill="FFFFFF"/>
        </w:rPr>
        <w:t>.</w:t>
      </w:r>
    </w:p>
    <w:p w14:paraId="0432F9F3" w14:textId="77777777" w:rsidR="001F68F1" w:rsidRPr="006B3495" w:rsidRDefault="001F68F1" w:rsidP="001F68F1">
      <w:pPr>
        <w:rPr>
          <w:rFonts w:asciiTheme="majorBidi" w:hAnsiTheme="majorBidi" w:cstheme="majorBidi"/>
          <w:b/>
          <w:sz w:val="24"/>
          <w:szCs w:val="24"/>
          <w:rtl/>
          <w:lang w:bidi="ar-JO"/>
        </w:rPr>
      </w:pPr>
    </w:p>
    <w:p w14:paraId="32AB923B" w14:textId="77777777" w:rsidR="001F68F1" w:rsidRPr="006B3495" w:rsidRDefault="001F68F1" w:rsidP="001F68F1">
      <w:pPr>
        <w:spacing w:before="120" w:after="240" w:line="360" w:lineRule="auto"/>
        <w:jc w:val="both"/>
        <w:rPr>
          <w:rFonts w:asciiTheme="majorBidi" w:hAnsiTheme="majorBidi" w:cstheme="majorBidi"/>
          <w:bCs/>
          <w:sz w:val="24"/>
          <w:szCs w:val="24"/>
        </w:rPr>
      </w:pPr>
      <w:r w:rsidRPr="006B3495">
        <w:rPr>
          <w:rStyle w:val="Char1"/>
          <w:rFonts w:eastAsia="Calibri"/>
          <w:color w:val="auto"/>
        </w:rPr>
        <w:t>I declare that the work provided in this thesis, unless otherwise referenced, is the researcher's own work, and has not been submitted elsewhere for any other degree or qualification</w:t>
      </w:r>
      <w:r w:rsidRPr="006B3495">
        <w:rPr>
          <w:rFonts w:asciiTheme="majorBidi" w:hAnsiTheme="majorBidi" w:cstheme="majorBidi"/>
          <w:bCs/>
          <w:sz w:val="24"/>
          <w:szCs w:val="24"/>
        </w:rPr>
        <w:t>.</w:t>
      </w:r>
    </w:p>
    <w:p w14:paraId="7B15A8B0" w14:textId="77777777" w:rsidR="001F68F1" w:rsidRPr="006B3495" w:rsidRDefault="001F68F1" w:rsidP="001F68F1">
      <w:pPr>
        <w:rPr>
          <w:rFonts w:asciiTheme="majorBidi" w:hAnsiTheme="majorBidi" w:cstheme="majorBidi"/>
          <w:sz w:val="24"/>
          <w:szCs w:val="24"/>
          <w:lang w:bidi="ar-JO"/>
        </w:rPr>
      </w:pPr>
    </w:p>
    <w:tbl>
      <w:tblPr>
        <w:bidiVisual/>
        <w:tblW w:w="6785" w:type="dxa"/>
        <w:tblInd w:w="1826" w:type="dxa"/>
        <w:tblLook w:val="04A0" w:firstRow="1" w:lastRow="0" w:firstColumn="1" w:lastColumn="0" w:noHBand="0" w:noVBand="1"/>
      </w:tblPr>
      <w:tblGrid>
        <w:gridCol w:w="4656"/>
        <w:gridCol w:w="2129"/>
      </w:tblGrid>
      <w:tr w:rsidR="004A617A" w:rsidRPr="006B3495" w14:paraId="28B2A16D" w14:textId="77777777" w:rsidTr="00212183">
        <w:trPr>
          <w:trHeight w:val="969"/>
        </w:trPr>
        <w:tc>
          <w:tcPr>
            <w:tcW w:w="4656" w:type="dxa"/>
          </w:tcPr>
          <w:p w14:paraId="08F55E2E" w14:textId="77777777" w:rsidR="001F68F1" w:rsidRPr="006B3495" w:rsidRDefault="001F68F1" w:rsidP="00212183">
            <w:pPr>
              <w:spacing w:line="480" w:lineRule="auto"/>
              <w:jc w:val="right"/>
              <w:rPr>
                <w:rFonts w:asciiTheme="majorBidi" w:hAnsiTheme="majorBidi" w:cstheme="majorBidi"/>
                <w:b/>
                <w:sz w:val="24"/>
                <w:szCs w:val="24"/>
                <w:rtl/>
                <w:lang w:bidi="ar-JO"/>
              </w:rPr>
            </w:pPr>
            <w:r w:rsidRPr="006B3495">
              <w:rPr>
                <w:rFonts w:asciiTheme="majorBidi" w:hAnsiTheme="majorBidi" w:cstheme="majorBidi"/>
                <w:b/>
                <w:sz w:val="24"/>
                <w:szCs w:val="24"/>
                <w:lang w:bidi="ar-JO"/>
              </w:rPr>
              <w:t>_____________________________________</w:t>
            </w:r>
          </w:p>
        </w:tc>
        <w:tc>
          <w:tcPr>
            <w:tcW w:w="2129" w:type="dxa"/>
          </w:tcPr>
          <w:p w14:paraId="482AB01A" w14:textId="77777777" w:rsidR="001F68F1" w:rsidRPr="006B3495" w:rsidRDefault="001F68F1" w:rsidP="00212183">
            <w:pPr>
              <w:spacing w:line="480" w:lineRule="auto"/>
              <w:rPr>
                <w:rFonts w:asciiTheme="majorBidi" w:hAnsiTheme="majorBidi" w:cstheme="majorBidi"/>
                <w:b/>
                <w:sz w:val="24"/>
                <w:szCs w:val="24"/>
                <w:lang w:bidi="ar-JO"/>
              </w:rPr>
            </w:pPr>
            <w:r w:rsidRPr="006B3495">
              <w:rPr>
                <w:rFonts w:asciiTheme="majorBidi" w:hAnsiTheme="majorBidi" w:cstheme="majorBidi"/>
                <w:b/>
                <w:sz w:val="24"/>
                <w:szCs w:val="24"/>
                <w:lang w:bidi="ar-JO"/>
              </w:rPr>
              <w:t xml:space="preserve">Student's Name: </w:t>
            </w:r>
          </w:p>
        </w:tc>
      </w:tr>
      <w:tr w:rsidR="004A617A" w:rsidRPr="006B3495" w14:paraId="3DA0BA84" w14:textId="77777777" w:rsidTr="00212183">
        <w:trPr>
          <w:trHeight w:val="969"/>
        </w:trPr>
        <w:tc>
          <w:tcPr>
            <w:tcW w:w="4656" w:type="dxa"/>
          </w:tcPr>
          <w:p w14:paraId="67E78D1D" w14:textId="77777777" w:rsidR="001F68F1" w:rsidRPr="006B3495" w:rsidRDefault="001F68F1" w:rsidP="00212183">
            <w:pPr>
              <w:spacing w:line="480" w:lineRule="auto"/>
              <w:jc w:val="right"/>
              <w:rPr>
                <w:rFonts w:asciiTheme="majorBidi" w:hAnsiTheme="majorBidi" w:cstheme="majorBidi"/>
                <w:b/>
                <w:sz w:val="24"/>
                <w:szCs w:val="24"/>
                <w:rtl/>
              </w:rPr>
            </w:pPr>
            <w:r w:rsidRPr="006B3495">
              <w:rPr>
                <w:rFonts w:asciiTheme="majorBidi" w:hAnsiTheme="majorBidi" w:cstheme="majorBidi"/>
                <w:b/>
                <w:sz w:val="24"/>
                <w:szCs w:val="24"/>
                <w:lang w:bidi="ar-JO"/>
              </w:rPr>
              <w:t>_____________________________________</w:t>
            </w:r>
          </w:p>
        </w:tc>
        <w:tc>
          <w:tcPr>
            <w:tcW w:w="2129" w:type="dxa"/>
          </w:tcPr>
          <w:p w14:paraId="391D8C6B" w14:textId="77777777" w:rsidR="001F68F1" w:rsidRPr="006B3495" w:rsidRDefault="001F68F1" w:rsidP="00212183">
            <w:pPr>
              <w:spacing w:line="480" w:lineRule="auto"/>
              <w:rPr>
                <w:rFonts w:asciiTheme="majorBidi" w:hAnsiTheme="majorBidi" w:cstheme="majorBidi"/>
                <w:b/>
                <w:sz w:val="24"/>
                <w:szCs w:val="24"/>
                <w:lang w:bidi="ar-JO"/>
              </w:rPr>
            </w:pPr>
            <w:r w:rsidRPr="006B3495">
              <w:rPr>
                <w:rFonts w:asciiTheme="majorBidi" w:hAnsiTheme="majorBidi" w:cstheme="majorBidi"/>
                <w:b/>
                <w:sz w:val="24"/>
                <w:szCs w:val="24"/>
                <w:lang w:bidi="ar-JO"/>
              </w:rPr>
              <w:t>Signature:</w:t>
            </w:r>
          </w:p>
        </w:tc>
      </w:tr>
      <w:tr w:rsidR="001F68F1" w:rsidRPr="006B3495" w14:paraId="1E9F99CD" w14:textId="77777777" w:rsidTr="00212183">
        <w:trPr>
          <w:trHeight w:val="969"/>
        </w:trPr>
        <w:tc>
          <w:tcPr>
            <w:tcW w:w="4656" w:type="dxa"/>
          </w:tcPr>
          <w:p w14:paraId="5A202508" w14:textId="77777777" w:rsidR="001F68F1" w:rsidRPr="006B3495" w:rsidRDefault="001F68F1" w:rsidP="00212183">
            <w:pPr>
              <w:spacing w:line="480" w:lineRule="auto"/>
              <w:jc w:val="right"/>
              <w:rPr>
                <w:rFonts w:asciiTheme="majorBidi" w:hAnsiTheme="majorBidi" w:cstheme="majorBidi"/>
                <w:b/>
                <w:sz w:val="24"/>
                <w:szCs w:val="24"/>
                <w:rtl/>
                <w:lang w:bidi="ar-JO"/>
              </w:rPr>
            </w:pPr>
            <w:r w:rsidRPr="006B3495">
              <w:rPr>
                <w:rFonts w:asciiTheme="majorBidi" w:hAnsiTheme="majorBidi" w:cstheme="majorBidi"/>
                <w:b/>
                <w:sz w:val="24"/>
                <w:szCs w:val="24"/>
                <w:lang w:bidi="ar-JO"/>
              </w:rPr>
              <w:t>_____________________________________</w:t>
            </w:r>
          </w:p>
        </w:tc>
        <w:tc>
          <w:tcPr>
            <w:tcW w:w="2129" w:type="dxa"/>
          </w:tcPr>
          <w:p w14:paraId="1E397DE6" w14:textId="77777777" w:rsidR="001F68F1" w:rsidRPr="006B3495" w:rsidRDefault="001F68F1" w:rsidP="00212183">
            <w:pPr>
              <w:spacing w:line="480" w:lineRule="auto"/>
              <w:rPr>
                <w:rFonts w:asciiTheme="majorBidi" w:hAnsiTheme="majorBidi" w:cstheme="majorBidi"/>
                <w:b/>
                <w:sz w:val="24"/>
                <w:szCs w:val="24"/>
                <w:lang w:bidi="ar-JO"/>
              </w:rPr>
            </w:pPr>
            <w:r w:rsidRPr="006B3495">
              <w:rPr>
                <w:rFonts w:asciiTheme="majorBidi" w:hAnsiTheme="majorBidi" w:cstheme="majorBidi"/>
                <w:b/>
                <w:sz w:val="24"/>
                <w:szCs w:val="24"/>
                <w:lang w:bidi="ar-JO"/>
              </w:rPr>
              <w:t>Date:</w:t>
            </w:r>
          </w:p>
        </w:tc>
      </w:tr>
    </w:tbl>
    <w:p w14:paraId="6BDC1E9E" w14:textId="77777777" w:rsidR="001F68F1" w:rsidRPr="006B3495" w:rsidRDefault="001F68F1" w:rsidP="001F68F1">
      <w:pPr>
        <w:rPr>
          <w:rtl/>
        </w:rPr>
      </w:pPr>
    </w:p>
    <w:p w14:paraId="768F88BC" w14:textId="77777777" w:rsidR="001F68F1" w:rsidRPr="006B3495" w:rsidRDefault="001F68F1" w:rsidP="001F68F1">
      <w:pPr>
        <w:rPr>
          <w:rtl/>
        </w:rPr>
      </w:pPr>
    </w:p>
    <w:p w14:paraId="7B7D7F84" w14:textId="77777777" w:rsidR="001F68F1" w:rsidRPr="006B3495" w:rsidRDefault="001F68F1" w:rsidP="001F68F1">
      <w:pPr>
        <w:rPr>
          <w:rtl/>
        </w:rPr>
      </w:pPr>
    </w:p>
    <w:p w14:paraId="1891E876" w14:textId="77777777" w:rsidR="001F68F1" w:rsidRPr="006B3495" w:rsidRDefault="001F68F1" w:rsidP="001F68F1">
      <w:pPr>
        <w:rPr>
          <w:rtl/>
        </w:rPr>
      </w:pPr>
    </w:p>
    <w:p w14:paraId="308FB3EF" w14:textId="77777777" w:rsidR="001F68F1" w:rsidRPr="006B3495" w:rsidRDefault="001F68F1" w:rsidP="001F68F1">
      <w:pPr>
        <w:rPr>
          <w:rtl/>
        </w:rPr>
      </w:pPr>
    </w:p>
    <w:p w14:paraId="13F6B317" w14:textId="77777777" w:rsidR="001F68F1" w:rsidRPr="006B3495" w:rsidRDefault="001F68F1" w:rsidP="001F68F1">
      <w:pPr>
        <w:rPr>
          <w:rtl/>
        </w:rPr>
      </w:pPr>
    </w:p>
    <w:p w14:paraId="7A4135F8" w14:textId="77777777" w:rsidR="001F68F1" w:rsidRPr="006B3495" w:rsidRDefault="001F68F1" w:rsidP="001F68F1">
      <w:pPr>
        <w:rPr>
          <w:rtl/>
        </w:rPr>
      </w:pPr>
    </w:p>
    <w:p w14:paraId="32C06946" w14:textId="77777777" w:rsidR="001F68F1" w:rsidRPr="006B3495" w:rsidRDefault="001F68F1" w:rsidP="00A11B6B">
      <w:pPr>
        <w:pStyle w:val="a"/>
      </w:pPr>
      <w:bookmarkStart w:id="12" w:name="_Toc90472899"/>
    </w:p>
    <w:p w14:paraId="1A9377C7" w14:textId="77777777" w:rsidR="001F68F1" w:rsidRPr="006B3495" w:rsidRDefault="001F68F1" w:rsidP="001F68F1">
      <w:pPr>
        <w:spacing w:after="200" w:line="276" w:lineRule="auto"/>
        <w:rPr>
          <w:rFonts w:asciiTheme="majorBidi" w:eastAsia="Times New Roman" w:hAnsiTheme="majorBidi" w:cstheme="majorBidi"/>
          <w:b/>
          <w:bCs/>
          <w:w w:val="110"/>
          <w:sz w:val="24"/>
          <w:szCs w:val="24"/>
        </w:rPr>
      </w:pPr>
      <w:r w:rsidRPr="006B3495">
        <w:rPr>
          <w:rFonts w:asciiTheme="majorBidi" w:hAnsiTheme="majorBidi" w:cstheme="majorBidi"/>
        </w:rPr>
        <w:br w:type="page"/>
      </w:r>
    </w:p>
    <w:p w14:paraId="2666BC80" w14:textId="77777777" w:rsidR="001F68F1" w:rsidRPr="006B3495" w:rsidRDefault="001F68F1" w:rsidP="00A11B6B">
      <w:pPr>
        <w:pStyle w:val="a"/>
      </w:pPr>
      <w:bookmarkStart w:id="13" w:name="_Toc212871497"/>
      <w:r w:rsidRPr="006B3495">
        <w:lastRenderedPageBreak/>
        <w:t>List of Contents</w:t>
      </w:r>
      <w:bookmarkEnd w:id="12"/>
      <w:bookmarkEnd w:id="13"/>
      <w:r w:rsidRPr="006B3495">
        <w:tab/>
      </w:r>
    </w:p>
    <w:sdt>
      <w:sdtPr>
        <w:rPr>
          <w:rStyle w:val="Hyperlink"/>
          <w:rFonts w:ascii="Calibri" w:hAnsi="Calibri" w:cs="Arial"/>
          <w:noProof w:val="0"/>
          <w:color w:val="auto"/>
          <w:w w:val="100"/>
          <w:sz w:val="22"/>
          <w:szCs w:val="22"/>
        </w:rPr>
        <w:id w:val="1653105389"/>
        <w:docPartObj>
          <w:docPartGallery w:val="Table of Contents"/>
          <w:docPartUnique/>
        </w:docPartObj>
      </w:sdtPr>
      <w:sdtEndPr>
        <w:rPr>
          <w:rStyle w:val="DefaultParagraphFont"/>
          <w:rFonts w:asciiTheme="majorBidi" w:hAnsiTheme="majorBidi" w:cstheme="majorBidi"/>
          <w:sz w:val="24"/>
          <w:szCs w:val="24"/>
          <w:u w:val="none"/>
        </w:rPr>
      </w:sdtEndPr>
      <w:sdtContent>
        <w:p w14:paraId="195EB975" w14:textId="283FB281" w:rsidR="00A02D95" w:rsidRDefault="001F68F1">
          <w:pPr>
            <w:pStyle w:val="TOC1"/>
            <w:rPr>
              <w:rFonts w:asciiTheme="minorHAnsi" w:eastAsiaTheme="minorEastAsia" w:hAnsiTheme="minorHAnsi" w:cstheme="minorBidi"/>
              <w:w w:val="100"/>
              <w:kern w:val="2"/>
              <w:lang w:eastAsia="en-GB"/>
              <w14:ligatures w14:val="standardContextual"/>
            </w:rPr>
          </w:pPr>
          <w:r w:rsidRPr="006B3495">
            <w:rPr>
              <w:noProof w:val="0"/>
            </w:rPr>
            <w:fldChar w:fldCharType="begin"/>
          </w:r>
          <w:r w:rsidRPr="006B3495">
            <w:rPr>
              <w:noProof w:val="0"/>
            </w:rPr>
            <w:instrText xml:space="preserve"> TOC \o "1-3" \h \z \u </w:instrText>
          </w:r>
          <w:r w:rsidRPr="006B3495">
            <w:rPr>
              <w:noProof w:val="0"/>
            </w:rPr>
            <w:fldChar w:fldCharType="separate"/>
          </w:r>
          <w:hyperlink w:anchor="_Toc212871495" w:history="1">
            <w:r w:rsidR="00A02D95" w:rsidRPr="00830B65">
              <w:rPr>
                <w:rStyle w:val="Hyperlink"/>
              </w:rPr>
              <w:t>Abbreviations</w:t>
            </w:r>
            <w:r w:rsidR="00A02D95">
              <w:rPr>
                <w:webHidden/>
              </w:rPr>
              <w:tab/>
            </w:r>
            <w:r w:rsidR="00A02D95">
              <w:rPr>
                <w:webHidden/>
              </w:rPr>
              <w:fldChar w:fldCharType="begin"/>
            </w:r>
            <w:r w:rsidR="00A02D95">
              <w:rPr>
                <w:webHidden/>
              </w:rPr>
              <w:instrText xml:space="preserve"> PAGEREF _Toc212871495 \h </w:instrText>
            </w:r>
            <w:r w:rsidR="00A02D95">
              <w:rPr>
                <w:webHidden/>
              </w:rPr>
            </w:r>
            <w:r w:rsidR="00A02D95">
              <w:rPr>
                <w:webHidden/>
              </w:rPr>
              <w:fldChar w:fldCharType="separate"/>
            </w:r>
            <w:r w:rsidR="00F30E48">
              <w:rPr>
                <w:webHidden/>
              </w:rPr>
              <w:t>4</w:t>
            </w:r>
            <w:r w:rsidR="00A02D95">
              <w:rPr>
                <w:webHidden/>
              </w:rPr>
              <w:fldChar w:fldCharType="end"/>
            </w:r>
          </w:hyperlink>
        </w:p>
        <w:p w14:paraId="61FD7998" w14:textId="298F74C8"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496" w:history="1">
            <w:r w:rsidRPr="00830B65">
              <w:rPr>
                <w:rStyle w:val="Hyperlink"/>
                <w:lang w:bidi="ar-JO"/>
              </w:rPr>
              <w:t>Declaration</w:t>
            </w:r>
            <w:r>
              <w:rPr>
                <w:webHidden/>
              </w:rPr>
              <w:tab/>
            </w:r>
            <w:r>
              <w:rPr>
                <w:webHidden/>
              </w:rPr>
              <w:fldChar w:fldCharType="begin"/>
            </w:r>
            <w:r>
              <w:rPr>
                <w:webHidden/>
              </w:rPr>
              <w:instrText xml:space="preserve"> PAGEREF _Toc212871496 \h </w:instrText>
            </w:r>
            <w:r>
              <w:rPr>
                <w:webHidden/>
              </w:rPr>
            </w:r>
            <w:r>
              <w:rPr>
                <w:webHidden/>
              </w:rPr>
              <w:fldChar w:fldCharType="separate"/>
            </w:r>
            <w:r w:rsidR="00F30E48">
              <w:rPr>
                <w:webHidden/>
              </w:rPr>
              <w:t>6</w:t>
            </w:r>
            <w:r>
              <w:rPr>
                <w:webHidden/>
              </w:rPr>
              <w:fldChar w:fldCharType="end"/>
            </w:r>
          </w:hyperlink>
        </w:p>
        <w:p w14:paraId="542EAFFB" w14:textId="696E2B56"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497" w:history="1">
            <w:r w:rsidRPr="00830B65">
              <w:rPr>
                <w:rStyle w:val="Hyperlink"/>
              </w:rPr>
              <w:t>List of Contents</w:t>
            </w:r>
            <w:r>
              <w:rPr>
                <w:webHidden/>
              </w:rPr>
              <w:tab/>
            </w:r>
            <w:r>
              <w:rPr>
                <w:webHidden/>
              </w:rPr>
              <w:fldChar w:fldCharType="begin"/>
            </w:r>
            <w:r>
              <w:rPr>
                <w:webHidden/>
              </w:rPr>
              <w:instrText xml:space="preserve"> PAGEREF _Toc212871497 \h </w:instrText>
            </w:r>
            <w:r>
              <w:rPr>
                <w:webHidden/>
              </w:rPr>
            </w:r>
            <w:r>
              <w:rPr>
                <w:webHidden/>
              </w:rPr>
              <w:fldChar w:fldCharType="separate"/>
            </w:r>
            <w:r w:rsidR="00F30E48">
              <w:rPr>
                <w:webHidden/>
              </w:rPr>
              <w:t>7</w:t>
            </w:r>
            <w:r>
              <w:rPr>
                <w:webHidden/>
              </w:rPr>
              <w:fldChar w:fldCharType="end"/>
            </w:r>
          </w:hyperlink>
        </w:p>
        <w:p w14:paraId="1E222260" w14:textId="78ECD555"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498" w:history="1">
            <w:r w:rsidRPr="00830B65">
              <w:rPr>
                <w:rStyle w:val="Hyperlink"/>
              </w:rPr>
              <w:t>List of Appendices</w:t>
            </w:r>
            <w:r>
              <w:rPr>
                <w:webHidden/>
              </w:rPr>
              <w:tab/>
            </w:r>
            <w:r>
              <w:rPr>
                <w:webHidden/>
              </w:rPr>
              <w:fldChar w:fldCharType="begin"/>
            </w:r>
            <w:r>
              <w:rPr>
                <w:webHidden/>
              </w:rPr>
              <w:instrText xml:space="preserve"> PAGEREF _Toc212871498 \h </w:instrText>
            </w:r>
            <w:r>
              <w:rPr>
                <w:webHidden/>
              </w:rPr>
            </w:r>
            <w:r>
              <w:rPr>
                <w:webHidden/>
              </w:rPr>
              <w:fldChar w:fldCharType="separate"/>
            </w:r>
            <w:r w:rsidR="00F30E48">
              <w:rPr>
                <w:webHidden/>
              </w:rPr>
              <w:t>9</w:t>
            </w:r>
            <w:r>
              <w:rPr>
                <w:webHidden/>
              </w:rPr>
              <w:fldChar w:fldCharType="end"/>
            </w:r>
          </w:hyperlink>
        </w:p>
        <w:p w14:paraId="1E8D8FD3" w14:textId="782545FB"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499" w:history="1">
            <w:r w:rsidRPr="00830B65">
              <w:rPr>
                <w:rStyle w:val="Hyperlink"/>
              </w:rPr>
              <w:t>Abstract</w:t>
            </w:r>
            <w:r>
              <w:rPr>
                <w:webHidden/>
              </w:rPr>
              <w:tab/>
            </w:r>
            <w:r>
              <w:rPr>
                <w:webHidden/>
              </w:rPr>
              <w:fldChar w:fldCharType="begin"/>
            </w:r>
            <w:r>
              <w:rPr>
                <w:webHidden/>
              </w:rPr>
              <w:instrText xml:space="preserve"> PAGEREF _Toc212871499 \h </w:instrText>
            </w:r>
            <w:r>
              <w:rPr>
                <w:webHidden/>
              </w:rPr>
            </w:r>
            <w:r>
              <w:rPr>
                <w:webHidden/>
              </w:rPr>
              <w:fldChar w:fldCharType="separate"/>
            </w:r>
            <w:r w:rsidR="00F30E48">
              <w:rPr>
                <w:webHidden/>
              </w:rPr>
              <w:t>10</w:t>
            </w:r>
            <w:r>
              <w:rPr>
                <w:webHidden/>
              </w:rPr>
              <w:fldChar w:fldCharType="end"/>
            </w:r>
          </w:hyperlink>
        </w:p>
        <w:p w14:paraId="37D3480D" w14:textId="536E443B"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00" w:history="1">
            <w:r w:rsidRPr="00830B65">
              <w:rPr>
                <w:rStyle w:val="Hyperlink"/>
              </w:rPr>
              <w:t>Introduction and Theoretical Background</w:t>
            </w:r>
            <w:r>
              <w:rPr>
                <w:webHidden/>
              </w:rPr>
              <w:tab/>
            </w:r>
            <w:r>
              <w:rPr>
                <w:webHidden/>
              </w:rPr>
              <w:fldChar w:fldCharType="begin"/>
            </w:r>
            <w:r>
              <w:rPr>
                <w:webHidden/>
              </w:rPr>
              <w:instrText xml:space="preserve"> PAGEREF _Toc212871500 \h </w:instrText>
            </w:r>
            <w:r>
              <w:rPr>
                <w:webHidden/>
              </w:rPr>
            </w:r>
            <w:r>
              <w:rPr>
                <w:webHidden/>
              </w:rPr>
              <w:fldChar w:fldCharType="separate"/>
            </w:r>
            <w:r w:rsidR="00F30E48">
              <w:rPr>
                <w:webHidden/>
              </w:rPr>
              <w:t>12</w:t>
            </w:r>
            <w:r>
              <w:rPr>
                <w:webHidden/>
              </w:rPr>
              <w:fldChar w:fldCharType="end"/>
            </w:r>
          </w:hyperlink>
        </w:p>
        <w:p w14:paraId="3F7FEF9E" w14:textId="52B50131"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01" w:history="1">
            <w:r w:rsidRPr="00830B65">
              <w:rPr>
                <w:rStyle w:val="Hyperlink"/>
              </w:rPr>
              <w:t>Introduction</w:t>
            </w:r>
            <w:r>
              <w:rPr>
                <w:webHidden/>
              </w:rPr>
              <w:tab/>
            </w:r>
            <w:r>
              <w:rPr>
                <w:webHidden/>
              </w:rPr>
              <w:fldChar w:fldCharType="begin"/>
            </w:r>
            <w:r>
              <w:rPr>
                <w:webHidden/>
              </w:rPr>
              <w:instrText xml:space="preserve"> PAGEREF _Toc212871501 \h </w:instrText>
            </w:r>
            <w:r>
              <w:rPr>
                <w:webHidden/>
              </w:rPr>
            </w:r>
            <w:r>
              <w:rPr>
                <w:webHidden/>
              </w:rPr>
              <w:fldChar w:fldCharType="separate"/>
            </w:r>
            <w:r w:rsidR="00F30E48">
              <w:rPr>
                <w:webHidden/>
              </w:rPr>
              <w:t>12</w:t>
            </w:r>
            <w:r>
              <w:rPr>
                <w:webHidden/>
              </w:rPr>
              <w:fldChar w:fldCharType="end"/>
            </w:r>
          </w:hyperlink>
        </w:p>
        <w:p w14:paraId="2A185286" w14:textId="436AC66E"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02" w:history="1">
            <w:r w:rsidRPr="00830B65">
              <w:rPr>
                <w:rStyle w:val="Hyperlink"/>
              </w:rPr>
              <w:t>Research Overview</w:t>
            </w:r>
            <w:r>
              <w:rPr>
                <w:webHidden/>
              </w:rPr>
              <w:tab/>
            </w:r>
            <w:r>
              <w:rPr>
                <w:webHidden/>
              </w:rPr>
              <w:fldChar w:fldCharType="begin"/>
            </w:r>
            <w:r>
              <w:rPr>
                <w:webHidden/>
              </w:rPr>
              <w:instrText xml:space="preserve"> PAGEREF _Toc212871502 \h </w:instrText>
            </w:r>
            <w:r>
              <w:rPr>
                <w:webHidden/>
              </w:rPr>
            </w:r>
            <w:r>
              <w:rPr>
                <w:webHidden/>
              </w:rPr>
              <w:fldChar w:fldCharType="separate"/>
            </w:r>
            <w:r w:rsidR="00F30E48">
              <w:rPr>
                <w:webHidden/>
              </w:rPr>
              <w:t>12</w:t>
            </w:r>
            <w:r>
              <w:rPr>
                <w:webHidden/>
              </w:rPr>
              <w:fldChar w:fldCharType="end"/>
            </w:r>
          </w:hyperlink>
        </w:p>
        <w:p w14:paraId="02229528" w14:textId="4AB19573"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03" w:history="1">
            <w:r w:rsidRPr="00830B65">
              <w:rPr>
                <w:rStyle w:val="Hyperlink"/>
                <w:highlight w:val="yellow"/>
              </w:rPr>
              <w:t>Conceptual definitions</w:t>
            </w:r>
            <w:r>
              <w:rPr>
                <w:webHidden/>
              </w:rPr>
              <w:tab/>
            </w:r>
            <w:r>
              <w:rPr>
                <w:webHidden/>
              </w:rPr>
              <w:fldChar w:fldCharType="begin"/>
            </w:r>
            <w:r>
              <w:rPr>
                <w:webHidden/>
              </w:rPr>
              <w:instrText xml:space="preserve"> PAGEREF _Toc212871503 \h </w:instrText>
            </w:r>
            <w:r>
              <w:rPr>
                <w:webHidden/>
              </w:rPr>
            </w:r>
            <w:r>
              <w:rPr>
                <w:webHidden/>
              </w:rPr>
              <w:fldChar w:fldCharType="separate"/>
            </w:r>
            <w:r w:rsidR="00F30E48">
              <w:rPr>
                <w:webHidden/>
              </w:rPr>
              <w:t>15</w:t>
            </w:r>
            <w:r>
              <w:rPr>
                <w:webHidden/>
              </w:rPr>
              <w:fldChar w:fldCharType="end"/>
            </w:r>
          </w:hyperlink>
        </w:p>
        <w:p w14:paraId="03C0D509" w14:textId="56CA66A4"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04" w:history="1">
            <w:r w:rsidRPr="00830B65">
              <w:rPr>
                <w:rStyle w:val="Hyperlink"/>
              </w:rPr>
              <w:t>Significance of the study</w:t>
            </w:r>
            <w:r>
              <w:rPr>
                <w:webHidden/>
              </w:rPr>
              <w:tab/>
            </w:r>
            <w:r>
              <w:rPr>
                <w:webHidden/>
              </w:rPr>
              <w:fldChar w:fldCharType="begin"/>
            </w:r>
            <w:r>
              <w:rPr>
                <w:webHidden/>
              </w:rPr>
              <w:instrText xml:space="preserve"> PAGEREF _Toc212871504 \h </w:instrText>
            </w:r>
            <w:r>
              <w:rPr>
                <w:webHidden/>
              </w:rPr>
            </w:r>
            <w:r>
              <w:rPr>
                <w:webHidden/>
              </w:rPr>
              <w:fldChar w:fldCharType="separate"/>
            </w:r>
            <w:r w:rsidR="00F30E48">
              <w:rPr>
                <w:webHidden/>
              </w:rPr>
              <w:t>16</w:t>
            </w:r>
            <w:r>
              <w:rPr>
                <w:webHidden/>
              </w:rPr>
              <w:fldChar w:fldCharType="end"/>
            </w:r>
          </w:hyperlink>
        </w:p>
        <w:p w14:paraId="17B961E9" w14:textId="31BF8DAF"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05" w:history="1">
            <w:r w:rsidRPr="00830B65">
              <w:rPr>
                <w:rStyle w:val="Hyperlink"/>
              </w:rPr>
              <w:t>Problem Statement</w:t>
            </w:r>
            <w:r>
              <w:rPr>
                <w:webHidden/>
              </w:rPr>
              <w:tab/>
            </w:r>
            <w:r>
              <w:rPr>
                <w:webHidden/>
              </w:rPr>
              <w:fldChar w:fldCharType="begin"/>
            </w:r>
            <w:r>
              <w:rPr>
                <w:webHidden/>
              </w:rPr>
              <w:instrText xml:space="preserve"> PAGEREF _Toc212871505 \h </w:instrText>
            </w:r>
            <w:r>
              <w:rPr>
                <w:webHidden/>
              </w:rPr>
            </w:r>
            <w:r>
              <w:rPr>
                <w:webHidden/>
              </w:rPr>
              <w:fldChar w:fldCharType="separate"/>
            </w:r>
            <w:r w:rsidR="00F30E48">
              <w:rPr>
                <w:webHidden/>
              </w:rPr>
              <w:t>17</w:t>
            </w:r>
            <w:r>
              <w:rPr>
                <w:webHidden/>
              </w:rPr>
              <w:fldChar w:fldCharType="end"/>
            </w:r>
          </w:hyperlink>
        </w:p>
        <w:p w14:paraId="3DEDF57C" w14:textId="6F523633"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06" w:history="1">
            <w:r w:rsidRPr="00830B65">
              <w:rPr>
                <w:rStyle w:val="Hyperlink"/>
              </w:rPr>
              <w:t>Research questions</w:t>
            </w:r>
            <w:r>
              <w:rPr>
                <w:webHidden/>
              </w:rPr>
              <w:tab/>
            </w:r>
            <w:r>
              <w:rPr>
                <w:webHidden/>
              </w:rPr>
              <w:fldChar w:fldCharType="begin"/>
            </w:r>
            <w:r>
              <w:rPr>
                <w:webHidden/>
              </w:rPr>
              <w:instrText xml:space="preserve"> PAGEREF _Toc212871506 \h </w:instrText>
            </w:r>
            <w:r>
              <w:rPr>
                <w:webHidden/>
              </w:rPr>
            </w:r>
            <w:r>
              <w:rPr>
                <w:webHidden/>
              </w:rPr>
              <w:fldChar w:fldCharType="separate"/>
            </w:r>
            <w:r w:rsidR="00F30E48">
              <w:rPr>
                <w:webHidden/>
              </w:rPr>
              <w:t>19</w:t>
            </w:r>
            <w:r>
              <w:rPr>
                <w:webHidden/>
              </w:rPr>
              <w:fldChar w:fldCharType="end"/>
            </w:r>
          </w:hyperlink>
        </w:p>
        <w:p w14:paraId="6CEF7C6F" w14:textId="62F26E21"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07" w:history="1">
            <w:r w:rsidRPr="00830B65">
              <w:rPr>
                <w:rStyle w:val="Hyperlink"/>
              </w:rPr>
              <w:t>Research Hypothesis</w:t>
            </w:r>
            <w:r>
              <w:rPr>
                <w:webHidden/>
              </w:rPr>
              <w:tab/>
            </w:r>
            <w:r>
              <w:rPr>
                <w:webHidden/>
              </w:rPr>
              <w:fldChar w:fldCharType="begin"/>
            </w:r>
            <w:r>
              <w:rPr>
                <w:webHidden/>
              </w:rPr>
              <w:instrText xml:space="preserve"> PAGEREF _Toc212871507 \h </w:instrText>
            </w:r>
            <w:r>
              <w:rPr>
                <w:webHidden/>
              </w:rPr>
            </w:r>
            <w:r>
              <w:rPr>
                <w:webHidden/>
              </w:rPr>
              <w:fldChar w:fldCharType="separate"/>
            </w:r>
            <w:r w:rsidR="00F30E48">
              <w:rPr>
                <w:webHidden/>
              </w:rPr>
              <w:t>19</w:t>
            </w:r>
            <w:r>
              <w:rPr>
                <w:webHidden/>
              </w:rPr>
              <w:fldChar w:fldCharType="end"/>
            </w:r>
          </w:hyperlink>
        </w:p>
        <w:p w14:paraId="3A85A383" w14:textId="56F11E89"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08" w:history="1">
            <w:r w:rsidRPr="00830B65">
              <w:rPr>
                <w:rStyle w:val="Hyperlink"/>
              </w:rPr>
              <w:t>Literature Review</w:t>
            </w:r>
            <w:r>
              <w:rPr>
                <w:webHidden/>
              </w:rPr>
              <w:tab/>
            </w:r>
            <w:r>
              <w:rPr>
                <w:webHidden/>
              </w:rPr>
              <w:fldChar w:fldCharType="begin"/>
            </w:r>
            <w:r>
              <w:rPr>
                <w:webHidden/>
              </w:rPr>
              <w:instrText xml:space="preserve"> PAGEREF _Toc212871508 \h </w:instrText>
            </w:r>
            <w:r>
              <w:rPr>
                <w:webHidden/>
              </w:rPr>
            </w:r>
            <w:r>
              <w:rPr>
                <w:webHidden/>
              </w:rPr>
              <w:fldChar w:fldCharType="separate"/>
            </w:r>
            <w:r w:rsidR="00F30E48">
              <w:rPr>
                <w:webHidden/>
              </w:rPr>
              <w:t>20</w:t>
            </w:r>
            <w:r>
              <w:rPr>
                <w:webHidden/>
              </w:rPr>
              <w:fldChar w:fldCharType="end"/>
            </w:r>
          </w:hyperlink>
        </w:p>
        <w:p w14:paraId="33DEB5BA" w14:textId="12326815"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09" w:history="1">
            <w:r w:rsidRPr="00830B65">
              <w:rPr>
                <w:rStyle w:val="Hyperlink"/>
              </w:rPr>
              <w:t>Chapter Two</w:t>
            </w:r>
            <w:r>
              <w:rPr>
                <w:webHidden/>
              </w:rPr>
              <w:tab/>
            </w:r>
            <w:r>
              <w:rPr>
                <w:webHidden/>
              </w:rPr>
              <w:fldChar w:fldCharType="begin"/>
            </w:r>
            <w:r>
              <w:rPr>
                <w:webHidden/>
              </w:rPr>
              <w:instrText xml:space="preserve"> PAGEREF _Toc212871509 \h </w:instrText>
            </w:r>
            <w:r>
              <w:rPr>
                <w:webHidden/>
              </w:rPr>
            </w:r>
            <w:r>
              <w:rPr>
                <w:webHidden/>
              </w:rPr>
              <w:fldChar w:fldCharType="separate"/>
            </w:r>
            <w:r w:rsidR="00F30E48">
              <w:rPr>
                <w:webHidden/>
              </w:rPr>
              <w:t>27</w:t>
            </w:r>
            <w:r>
              <w:rPr>
                <w:webHidden/>
              </w:rPr>
              <w:fldChar w:fldCharType="end"/>
            </w:r>
          </w:hyperlink>
        </w:p>
        <w:p w14:paraId="01EE71F2" w14:textId="61DA60B0"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10" w:history="1">
            <w:r w:rsidRPr="00830B65">
              <w:rPr>
                <w:rStyle w:val="Hyperlink"/>
              </w:rPr>
              <w:t>Methods</w:t>
            </w:r>
            <w:r>
              <w:rPr>
                <w:webHidden/>
              </w:rPr>
              <w:tab/>
            </w:r>
            <w:r>
              <w:rPr>
                <w:webHidden/>
              </w:rPr>
              <w:fldChar w:fldCharType="begin"/>
            </w:r>
            <w:r>
              <w:rPr>
                <w:webHidden/>
              </w:rPr>
              <w:instrText xml:space="preserve"> PAGEREF _Toc212871510 \h </w:instrText>
            </w:r>
            <w:r>
              <w:rPr>
                <w:webHidden/>
              </w:rPr>
            </w:r>
            <w:r>
              <w:rPr>
                <w:webHidden/>
              </w:rPr>
              <w:fldChar w:fldCharType="separate"/>
            </w:r>
            <w:r w:rsidR="00F30E48">
              <w:rPr>
                <w:webHidden/>
              </w:rPr>
              <w:t>27</w:t>
            </w:r>
            <w:r>
              <w:rPr>
                <w:webHidden/>
              </w:rPr>
              <w:fldChar w:fldCharType="end"/>
            </w:r>
          </w:hyperlink>
        </w:p>
        <w:p w14:paraId="33960E6E" w14:textId="790A6F64"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11" w:history="1">
            <w:r w:rsidRPr="00830B65">
              <w:rPr>
                <w:rStyle w:val="Hyperlink"/>
              </w:rPr>
              <w:t>2.1 Study design</w:t>
            </w:r>
            <w:r>
              <w:rPr>
                <w:webHidden/>
              </w:rPr>
              <w:tab/>
            </w:r>
            <w:r>
              <w:rPr>
                <w:webHidden/>
              </w:rPr>
              <w:fldChar w:fldCharType="begin"/>
            </w:r>
            <w:r>
              <w:rPr>
                <w:webHidden/>
              </w:rPr>
              <w:instrText xml:space="preserve"> PAGEREF _Toc212871511 \h </w:instrText>
            </w:r>
            <w:r>
              <w:rPr>
                <w:webHidden/>
              </w:rPr>
            </w:r>
            <w:r>
              <w:rPr>
                <w:webHidden/>
              </w:rPr>
              <w:fldChar w:fldCharType="separate"/>
            </w:r>
            <w:r w:rsidR="00F30E48">
              <w:rPr>
                <w:webHidden/>
              </w:rPr>
              <w:t>27</w:t>
            </w:r>
            <w:r>
              <w:rPr>
                <w:webHidden/>
              </w:rPr>
              <w:fldChar w:fldCharType="end"/>
            </w:r>
          </w:hyperlink>
        </w:p>
        <w:p w14:paraId="1EB470AD" w14:textId="2A116391"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12" w:history="1">
            <w:r w:rsidRPr="00830B65">
              <w:rPr>
                <w:rStyle w:val="Hyperlink"/>
              </w:rPr>
              <w:t>2.2 Population</w:t>
            </w:r>
            <w:r>
              <w:rPr>
                <w:webHidden/>
              </w:rPr>
              <w:tab/>
            </w:r>
            <w:r>
              <w:rPr>
                <w:webHidden/>
              </w:rPr>
              <w:fldChar w:fldCharType="begin"/>
            </w:r>
            <w:r>
              <w:rPr>
                <w:webHidden/>
              </w:rPr>
              <w:instrText xml:space="preserve"> PAGEREF _Toc212871512 \h </w:instrText>
            </w:r>
            <w:r>
              <w:rPr>
                <w:webHidden/>
              </w:rPr>
            </w:r>
            <w:r>
              <w:rPr>
                <w:webHidden/>
              </w:rPr>
              <w:fldChar w:fldCharType="separate"/>
            </w:r>
            <w:r w:rsidR="00F30E48">
              <w:rPr>
                <w:webHidden/>
              </w:rPr>
              <w:t>27</w:t>
            </w:r>
            <w:r>
              <w:rPr>
                <w:webHidden/>
              </w:rPr>
              <w:fldChar w:fldCharType="end"/>
            </w:r>
          </w:hyperlink>
        </w:p>
        <w:p w14:paraId="0B5357BF" w14:textId="5385B734"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13" w:history="1">
            <w:r w:rsidRPr="00830B65">
              <w:rPr>
                <w:rStyle w:val="Hyperlink"/>
              </w:rPr>
              <w:t>2.3 Setting of the study.</w:t>
            </w:r>
            <w:r>
              <w:rPr>
                <w:webHidden/>
              </w:rPr>
              <w:tab/>
            </w:r>
            <w:r>
              <w:rPr>
                <w:webHidden/>
              </w:rPr>
              <w:fldChar w:fldCharType="begin"/>
            </w:r>
            <w:r>
              <w:rPr>
                <w:webHidden/>
              </w:rPr>
              <w:instrText xml:space="preserve"> PAGEREF _Toc212871513 \h </w:instrText>
            </w:r>
            <w:r>
              <w:rPr>
                <w:webHidden/>
              </w:rPr>
            </w:r>
            <w:r>
              <w:rPr>
                <w:webHidden/>
              </w:rPr>
              <w:fldChar w:fldCharType="separate"/>
            </w:r>
            <w:r w:rsidR="00F30E48">
              <w:rPr>
                <w:webHidden/>
              </w:rPr>
              <w:t>27</w:t>
            </w:r>
            <w:r>
              <w:rPr>
                <w:webHidden/>
              </w:rPr>
              <w:fldChar w:fldCharType="end"/>
            </w:r>
          </w:hyperlink>
        </w:p>
        <w:p w14:paraId="1759E506" w14:textId="55FE6747"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14" w:history="1">
            <w:r w:rsidRPr="00830B65">
              <w:rPr>
                <w:rStyle w:val="Hyperlink"/>
                <w:highlight w:val="yellow"/>
              </w:rPr>
              <w:t>2.4 Period of the study</w:t>
            </w:r>
            <w:r>
              <w:rPr>
                <w:webHidden/>
              </w:rPr>
              <w:tab/>
            </w:r>
            <w:r>
              <w:rPr>
                <w:webHidden/>
              </w:rPr>
              <w:fldChar w:fldCharType="begin"/>
            </w:r>
            <w:r>
              <w:rPr>
                <w:webHidden/>
              </w:rPr>
              <w:instrText xml:space="preserve"> PAGEREF _Toc212871514 \h </w:instrText>
            </w:r>
            <w:r>
              <w:rPr>
                <w:webHidden/>
              </w:rPr>
            </w:r>
            <w:r>
              <w:rPr>
                <w:webHidden/>
              </w:rPr>
              <w:fldChar w:fldCharType="separate"/>
            </w:r>
            <w:r w:rsidR="00F30E48">
              <w:rPr>
                <w:webHidden/>
              </w:rPr>
              <w:t>28</w:t>
            </w:r>
            <w:r>
              <w:rPr>
                <w:webHidden/>
              </w:rPr>
              <w:fldChar w:fldCharType="end"/>
            </w:r>
          </w:hyperlink>
        </w:p>
        <w:p w14:paraId="6EB3D837" w14:textId="21FC3E62"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15" w:history="1">
            <w:r w:rsidRPr="00830B65">
              <w:rPr>
                <w:rStyle w:val="Hyperlink"/>
              </w:rPr>
              <w:t>2.5 Sample size</w:t>
            </w:r>
            <w:r>
              <w:rPr>
                <w:webHidden/>
              </w:rPr>
              <w:tab/>
            </w:r>
            <w:r>
              <w:rPr>
                <w:webHidden/>
              </w:rPr>
              <w:fldChar w:fldCharType="begin"/>
            </w:r>
            <w:r>
              <w:rPr>
                <w:webHidden/>
              </w:rPr>
              <w:instrText xml:space="preserve"> PAGEREF _Toc212871515 \h </w:instrText>
            </w:r>
            <w:r>
              <w:rPr>
                <w:webHidden/>
              </w:rPr>
            </w:r>
            <w:r>
              <w:rPr>
                <w:webHidden/>
              </w:rPr>
              <w:fldChar w:fldCharType="separate"/>
            </w:r>
            <w:r w:rsidR="00F30E48">
              <w:rPr>
                <w:webHidden/>
              </w:rPr>
              <w:t>28</w:t>
            </w:r>
            <w:r>
              <w:rPr>
                <w:webHidden/>
              </w:rPr>
              <w:fldChar w:fldCharType="end"/>
            </w:r>
          </w:hyperlink>
        </w:p>
        <w:p w14:paraId="047AA94D" w14:textId="33250C4C"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16" w:history="1">
            <w:r w:rsidRPr="00830B65">
              <w:rPr>
                <w:rStyle w:val="Hyperlink"/>
              </w:rPr>
              <w:t>2.6 Sampling technique</w:t>
            </w:r>
            <w:r>
              <w:rPr>
                <w:webHidden/>
              </w:rPr>
              <w:tab/>
            </w:r>
            <w:r>
              <w:rPr>
                <w:webHidden/>
              </w:rPr>
              <w:fldChar w:fldCharType="begin"/>
            </w:r>
            <w:r>
              <w:rPr>
                <w:webHidden/>
              </w:rPr>
              <w:instrText xml:space="preserve"> PAGEREF _Toc212871516 \h </w:instrText>
            </w:r>
            <w:r>
              <w:rPr>
                <w:webHidden/>
              </w:rPr>
            </w:r>
            <w:r>
              <w:rPr>
                <w:webHidden/>
              </w:rPr>
              <w:fldChar w:fldCharType="separate"/>
            </w:r>
            <w:r w:rsidR="00F30E48">
              <w:rPr>
                <w:webHidden/>
              </w:rPr>
              <w:t>29</w:t>
            </w:r>
            <w:r>
              <w:rPr>
                <w:webHidden/>
              </w:rPr>
              <w:fldChar w:fldCharType="end"/>
            </w:r>
          </w:hyperlink>
        </w:p>
        <w:p w14:paraId="70BD9110" w14:textId="7E774A47"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17" w:history="1">
            <w:r w:rsidRPr="00830B65">
              <w:rPr>
                <w:rStyle w:val="Hyperlink"/>
              </w:rPr>
              <w:t>2.7 Inclusion and Exclusion criteria</w:t>
            </w:r>
            <w:r>
              <w:rPr>
                <w:webHidden/>
              </w:rPr>
              <w:tab/>
            </w:r>
            <w:r>
              <w:rPr>
                <w:webHidden/>
              </w:rPr>
              <w:fldChar w:fldCharType="begin"/>
            </w:r>
            <w:r>
              <w:rPr>
                <w:webHidden/>
              </w:rPr>
              <w:instrText xml:space="preserve"> PAGEREF _Toc212871517 \h </w:instrText>
            </w:r>
            <w:r>
              <w:rPr>
                <w:webHidden/>
              </w:rPr>
            </w:r>
            <w:r>
              <w:rPr>
                <w:webHidden/>
              </w:rPr>
              <w:fldChar w:fldCharType="separate"/>
            </w:r>
            <w:r w:rsidR="00F30E48">
              <w:rPr>
                <w:webHidden/>
              </w:rPr>
              <w:t>30</w:t>
            </w:r>
            <w:r>
              <w:rPr>
                <w:webHidden/>
              </w:rPr>
              <w:fldChar w:fldCharType="end"/>
            </w:r>
          </w:hyperlink>
        </w:p>
        <w:p w14:paraId="33730574" w14:textId="08B39479"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18" w:history="1">
            <w:r w:rsidRPr="00830B65">
              <w:rPr>
                <w:rStyle w:val="Hyperlink"/>
              </w:rPr>
              <w:t>2.7.1</w:t>
            </w:r>
            <w:r>
              <w:rPr>
                <w:rFonts w:asciiTheme="minorHAnsi" w:eastAsiaTheme="minorEastAsia" w:hAnsiTheme="minorHAnsi" w:cstheme="minorBidi"/>
                <w:w w:val="100"/>
                <w:kern w:val="2"/>
                <w:lang w:eastAsia="en-GB"/>
                <w14:ligatures w14:val="standardContextual"/>
              </w:rPr>
              <w:tab/>
            </w:r>
            <w:r w:rsidRPr="00830B65">
              <w:rPr>
                <w:rStyle w:val="Hyperlink"/>
              </w:rPr>
              <w:t>Inclusion criteria:</w:t>
            </w:r>
            <w:r>
              <w:rPr>
                <w:webHidden/>
              </w:rPr>
              <w:tab/>
            </w:r>
            <w:r>
              <w:rPr>
                <w:webHidden/>
              </w:rPr>
              <w:fldChar w:fldCharType="begin"/>
            </w:r>
            <w:r>
              <w:rPr>
                <w:webHidden/>
              </w:rPr>
              <w:instrText xml:space="preserve"> PAGEREF _Toc212871518 \h </w:instrText>
            </w:r>
            <w:r>
              <w:rPr>
                <w:webHidden/>
              </w:rPr>
            </w:r>
            <w:r>
              <w:rPr>
                <w:webHidden/>
              </w:rPr>
              <w:fldChar w:fldCharType="separate"/>
            </w:r>
            <w:r w:rsidR="00F30E48">
              <w:rPr>
                <w:webHidden/>
              </w:rPr>
              <w:t>30</w:t>
            </w:r>
            <w:r>
              <w:rPr>
                <w:webHidden/>
              </w:rPr>
              <w:fldChar w:fldCharType="end"/>
            </w:r>
          </w:hyperlink>
        </w:p>
        <w:p w14:paraId="5EA509AE" w14:textId="5EB3632D"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19" w:history="1">
            <w:r w:rsidRPr="00830B65">
              <w:rPr>
                <w:rStyle w:val="Hyperlink"/>
              </w:rPr>
              <w:t>2.7.2 Exclusion criteria</w:t>
            </w:r>
            <w:r>
              <w:rPr>
                <w:webHidden/>
              </w:rPr>
              <w:tab/>
            </w:r>
            <w:r>
              <w:rPr>
                <w:webHidden/>
              </w:rPr>
              <w:fldChar w:fldCharType="begin"/>
            </w:r>
            <w:r>
              <w:rPr>
                <w:webHidden/>
              </w:rPr>
              <w:instrText xml:space="preserve"> PAGEREF _Toc212871519 \h </w:instrText>
            </w:r>
            <w:r>
              <w:rPr>
                <w:webHidden/>
              </w:rPr>
            </w:r>
            <w:r>
              <w:rPr>
                <w:webHidden/>
              </w:rPr>
              <w:fldChar w:fldCharType="separate"/>
            </w:r>
            <w:r w:rsidR="00F30E48">
              <w:rPr>
                <w:webHidden/>
              </w:rPr>
              <w:t>31</w:t>
            </w:r>
            <w:r>
              <w:rPr>
                <w:webHidden/>
              </w:rPr>
              <w:fldChar w:fldCharType="end"/>
            </w:r>
          </w:hyperlink>
        </w:p>
        <w:p w14:paraId="7C71508B" w14:textId="0297EBC4"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20" w:history="1">
            <w:r w:rsidRPr="00830B65">
              <w:rPr>
                <w:rStyle w:val="Hyperlink"/>
              </w:rPr>
              <w:t>2.8 Data collection procedure</w:t>
            </w:r>
            <w:r>
              <w:rPr>
                <w:webHidden/>
              </w:rPr>
              <w:tab/>
            </w:r>
            <w:r>
              <w:rPr>
                <w:webHidden/>
              </w:rPr>
              <w:fldChar w:fldCharType="begin"/>
            </w:r>
            <w:r>
              <w:rPr>
                <w:webHidden/>
              </w:rPr>
              <w:instrText xml:space="preserve"> PAGEREF _Toc212871520 \h </w:instrText>
            </w:r>
            <w:r>
              <w:rPr>
                <w:webHidden/>
              </w:rPr>
            </w:r>
            <w:r>
              <w:rPr>
                <w:webHidden/>
              </w:rPr>
              <w:fldChar w:fldCharType="separate"/>
            </w:r>
            <w:r w:rsidR="00F30E48">
              <w:rPr>
                <w:webHidden/>
              </w:rPr>
              <w:t>31</w:t>
            </w:r>
            <w:r>
              <w:rPr>
                <w:webHidden/>
              </w:rPr>
              <w:fldChar w:fldCharType="end"/>
            </w:r>
          </w:hyperlink>
        </w:p>
        <w:p w14:paraId="222BD9C3" w14:textId="412697C3"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21" w:history="1">
            <w:r w:rsidRPr="00830B65">
              <w:rPr>
                <w:rStyle w:val="Hyperlink"/>
              </w:rPr>
              <w:t>2.9 Study procedure</w:t>
            </w:r>
            <w:r>
              <w:rPr>
                <w:webHidden/>
              </w:rPr>
              <w:tab/>
            </w:r>
            <w:r>
              <w:rPr>
                <w:webHidden/>
              </w:rPr>
              <w:fldChar w:fldCharType="begin"/>
            </w:r>
            <w:r>
              <w:rPr>
                <w:webHidden/>
              </w:rPr>
              <w:instrText xml:space="preserve"> PAGEREF _Toc212871521 \h </w:instrText>
            </w:r>
            <w:r>
              <w:rPr>
                <w:webHidden/>
              </w:rPr>
            </w:r>
            <w:r>
              <w:rPr>
                <w:webHidden/>
              </w:rPr>
              <w:fldChar w:fldCharType="separate"/>
            </w:r>
            <w:r w:rsidR="00F30E48">
              <w:rPr>
                <w:webHidden/>
              </w:rPr>
              <w:t>32</w:t>
            </w:r>
            <w:r>
              <w:rPr>
                <w:webHidden/>
              </w:rPr>
              <w:fldChar w:fldCharType="end"/>
            </w:r>
          </w:hyperlink>
        </w:p>
        <w:p w14:paraId="074DCBA9" w14:textId="053F2542"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22" w:history="1">
            <w:r w:rsidRPr="00830B65">
              <w:rPr>
                <w:rStyle w:val="Hyperlink"/>
              </w:rPr>
              <w:t>2.10   Validity of the study instrument</w:t>
            </w:r>
            <w:r>
              <w:rPr>
                <w:webHidden/>
              </w:rPr>
              <w:tab/>
            </w:r>
            <w:r>
              <w:rPr>
                <w:webHidden/>
              </w:rPr>
              <w:fldChar w:fldCharType="begin"/>
            </w:r>
            <w:r>
              <w:rPr>
                <w:webHidden/>
              </w:rPr>
              <w:instrText xml:space="preserve"> PAGEREF _Toc212871522 \h </w:instrText>
            </w:r>
            <w:r>
              <w:rPr>
                <w:webHidden/>
              </w:rPr>
            </w:r>
            <w:r>
              <w:rPr>
                <w:webHidden/>
              </w:rPr>
              <w:fldChar w:fldCharType="separate"/>
            </w:r>
            <w:r w:rsidR="00F30E48">
              <w:rPr>
                <w:webHidden/>
              </w:rPr>
              <w:t>35</w:t>
            </w:r>
            <w:r>
              <w:rPr>
                <w:webHidden/>
              </w:rPr>
              <w:fldChar w:fldCharType="end"/>
            </w:r>
          </w:hyperlink>
        </w:p>
        <w:p w14:paraId="4E8AC040" w14:textId="2545FFF1"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23" w:history="1">
            <w:r w:rsidRPr="00830B65">
              <w:rPr>
                <w:rStyle w:val="Hyperlink"/>
              </w:rPr>
              <w:t>2.11 Pilot study</w:t>
            </w:r>
            <w:r>
              <w:rPr>
                <w:webHidden/>
              </w:rPr>
              <w:tab/>
            </w:r>
            <w:r>
              <w:rPr>
                <w:webHidden/>
              </w:rPr>
              <w:fldChar w:fldCharType="begin"/>
            </w:r>
            <w:r>
              <w:rPr>
                <w:webHidden/>
              </w:rPr>
              <w:instrText xml:space="preserve"> PAGEREF _Toc212871523 \h </w:instrText>
            </w:r>
            <w:r>
              <w:rPr>
                <w:webHidden/>
              </w:rPr>
            </w:r>
            <w:r>
              <w:rPr>
                <w:webHidden/>
              </w:rPr>
              <w:fldChar w:fldCharType="separate"/>
            </w:r>
            <w:r w:rsidR="00F30E48">
              <w:rPr>
                <w:webHidden/>
              </w:rPr>
              <w:t>35</w:t>
            </w:r>
            <w:r>
              <w:rPr>
                <w:webHidden/>
              </w:rPr>
              <w:fldChar w:fldCharType="end"/>
            </w:r>
          </w:hyperlink>
        </w:p>
        <w:p w14:paraId="3BFE3762" w14:textId="6D4FDEFB"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24" w:history="1">
            <w:r w:rsidRPr="00830B65">
              <w:rPr>
                <w:rStyle w:val="Hyperlink"/>
              </w:rPr>
              <w:t>2.12 Study outcomes</w:t>
            </w:r>
            <w:r>
              <w:rPr>
                <w:webHidden/>
              </w:rPr>
              <w:tab/>
            </w:r>
            <w:r>
              <w:rPr>
                <w:webHidden/>
              </w:rPr>
              <w:fldChar w:fldCharType="begin"/>
            </w:r>
            <w:r>
              <w:rPr>
                <w:webHidden/>
              </w:rPr>
              <w:instrText xml:space="preserve"> PAGEREF _Toc212871524 \h </w:instrText>
            </w:r>
            <w:r>
              <w:rPr>
                <w:webHidden/>
              </w:rPr>
            </w:r>
            <w:r>
              <w:rPr>
                <w:webHidden/>
              </w:rPr>
              <w:fldChar w:fldCharType="separate"/>
            </w:r>
            <w:r w:rsidR="00F30E48">
              <w:rPr>
                <w:webHidden/>
              </w:rPr>
              <w:t>35</w:t>
            </w:r>
            <w:r>
              <w:rPr>
                <w:webHidden/>
              </w:rPr>
              <w:fldChar w:fldCharType="end"/>
            </w:r>
          </w:hyperlink>
        </w:p>
        <w:p w14:paraId="229F862B" w14:textId="6865CCF4"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25" w:history="1">
            <w:r w:rsidRPr="00830B65">
              <w:rPr>
                <w:rStyle w:val="Hyperlink"/>
              </w:rPr>
              <w:t>2.13 Variables</w:t>
            </w:r>
            <w:r>
              <w:rPr>
                <w:webHidden/>
              </w:rPr>
              <w:tab/>
            </w:r>
            <w:r>
              <w:rPr>
                <w:webHidden/>
              </w:rPr>
              <w:fldChar w:fldCharType="begin"/>
            </w:r>
            <w:r>
              <w:rPr>
                <w:webHidden/>
              </w:rPr>
              <w:instrText xml:space="preserve"> PAGEREF _Toc212871525 \h </w:instrText>
            </w:r>
            <w:r>
              <w:rPr>
                <w:webHidden/>
              </w:rPr>
            </w:r>
            <w:r>
              <w:rPr>
                <w:webHidden/>
              </w:rPr>
              <w:fldChar w:fldCharType="separate"/>
            </w:r>
            <w:r w:rsidR="00F30E48">
              <w:rPr>
                <w:webHidden/>
              </w:rPr>
              <w:t>36</w:t>
            </w:r>
            <w:r>
              <w:rPr>
                <w:webHidden/>
              </w:rPr>
              <w:fldChar w:fldCharType="end"/>
            </w:r>
          </w:hyperlink>
        </w:p>
        <w:p w14:paraId="5CEAD1BF" w14:textId="295FDFEE"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26" w:history="1">
            <w:r w:rsidRPr="00830B65">
              <w:rPr>
                <w:rStyle w:val="Hyperlink"/>
              </w:rPr>
              <w:t>2.14 Statistical analysis</w:t>
            </w:r>
            <w:r>
              <w:rPr>
                <w:webHidden/>
              </w:rPr>
              <w:tab/>
            </w:r>
            <w:r>
              <w:rPr>
                <w:webHidden/>
              </w:rPr>
              <w:fldChar w:fldCharType="begin"/>
            </w:r>
            <w:r>
              <w:rPr>
                <w:webHidden/>
              </w:rPr>
              <w:instrText xml:space="preserve"> PAGEREF _Toc212871526 \h </w:instrText>
            </w:r>
            <w:r>
              <w:rPr>
                <w:webHidden/>
              </w:rPr>
            </w:r>
            <w:r>
              <w:rPr>
                <w:webHidden/>
              </w:rPr>
              <w:fldChar w:fldCharType="separate"/>
            </w:r>
            <w:r w:rsidR="00F30E48">
              <w:rPr>
                <w:webHidden/>
              </w:rPr>
              <w:t>36</w:t>
            </w:r>
            <w:r>
              <w:rPr>
                <w:webHidden/>
              </w:rPr>
              <w:fldChar w:fldCharType="end"/>
            </w:r>
          </w:hyperlink>
        </w:p>
        <w:p w14:paraId="377D7A15" w14:textId="50E96CCB"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27" w:history="1">
            <w:r w:rsidRPr="00830B65">
              <w:rPr>
                <w:rStyle w:val="Hyperlink"/>
              </w:rPr>
              <w:t>2.15 Ethical consideration</w:t>
            </w:r>
            <w:r w:rsidRPr="00830B65">
              <w:rPr>
                <w:rStyle w:val="Hyperlink"/>
                <w:highlight w:val="yellow"/>
              </w:rPr>
              <w:t>s</w:t>
            </w:r>
            <w:r>
              <w:rPr>
                <w:webHidden/>
              </w:rPr>
              <w:tab/>
            </w:r>
            <w:r>
              <w:rPr>
                <w:webHidden/>
              </w:rPr>
              <w:fldChar w:fldCharType="begin"/>
            </w:r>
            <w:r>
              <w:rPr>
                <w:webHidden/>
              </w:rPr>
              <w:instrText xml:space="preserve"> PAGEREF _Toc212871527 \h </w:instrText>
            </w:r>
            <w:r>
              <w:rPr>
                <w:webHidden/>
              </w:rPr>
            </w:r>
            <w:r>
              <w:rPr>
                <w:webHidden/>
              </w:rPr>
              <w:fldChar w:fldCharType="separate"/>
            </w:r>
            <w:r w:rsidR="00F30E48">
              <w:rPr>
                <w:webHidden/>
              </w:rPr>
              <w:t>36</w:t>
            </w:r>
            <w:r>
              <w:rPr>
                <w:webHidden/>
              </w:rPr>
              <w:fldChar w:fldCharType="end"/>
            </w:r>
          </w:hyperlink>
        </w:p>
        <w:p w14:paraId="63C14E78" w14:textId="5A009C49"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28" w:history="1">
            <w:r w:rsidRPr="00830B65">
              <w:rPr>
                <w:rStyle w:val="Hyperlink"/>
              </w:rPr>
              <w:t>Chapter Three</w:t>
            </w:r>
            <w:r>
              <w:rPr>
                <w:webHidden/>
              </w:rPr>
              <w:tab/>
            </w:r>
            <w:r>
              <w:rPr>
                <w:webHidden/>
              </w:rPr>
              <w:fldChar w:fldCharType="begin"/>
            </w:r>
            <w:r>
              <w:rPr>
                <w:webHidden/>
              </w:rPr>
              <w:instrText xml:space="preserve"> PAGEREF _Toc212871528 \h </w:instrText>
            </w:r>
            <w:r>
              <w:rPr>
                <w:webHidden/>
              </w:rPr>
            </w:r>
            <w:r>
              <w:rPr>
                <w:webHidden/>
              </w:rPr>
              <w:fldChar w:fldCharType="separate"/>
            </w:r>
            <w:r w:rsidR="00F30E48">
              <w:rPr>
                <w:webHidden/>
              </w:rPr>
              <w:t>37</w:t>
            </w:r>
            <w:r>
              <w:rPr>
                <w:webHidden/>
              </w:rPr>
              <w:fldChar w:fldCharType="end"/>
            </w:r>
          </w:hyperlink>
        </w:p>
        <w:p w14:paraId="09EC3F71" w14:textId="007AA9E5"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29" w:history="1">
            <w:r w:rsidRPr="00830B65">
              <w:rPr>
                <w:rStyle w:val="Hyperlink"/>
              </w:rPr>
              <w:t>Results</w:t>
            </w:r>
            <w:r>
              <w:rPr>
                <w:webHidden/>
              </w:rPr>
              <w:tab/>
            </w:r>
            <w:r>
              <w:rPr>
                <w:webHidden/>
              </w:rPr>
              <w:fldChar w:fldCharType="begin"/>
            </w:r>
            <w:r>
              <w:rPr>
                <w:webHidden/>
              </w:rPr>
              <w:instrText xml:space="preserve"> PAGEREF _Toc212871529 \h </w:instrText>
            </w:r>
            <w:r>
              <w:rPr>
                <w:webHidden/>
              </w:rPr>
            </w:r>
            <w:r>
              <w:rPr>
                <w:webHidden/>
              </w:rPr>
              <w:fldChar w:fldCharType="separate"/>
            </w:r>
            <w:r w:rsidR="00F30E48">
              <w:rPr>
                <w:webHidden/>
              </w:rPr>
              <w:t>37</w:t>
            </w:r>
            <w:r>
              <w:rPr>
                <w:webHidden/>
              </w:rPr>
              <w:fldChar w:fldCharType="end"/>
            </w:r>
          </w:hyperlink>
        </w:p>
        <w:p w14:paraId="474A9077" w14:textId="7AA1C568"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30" w:history="1">
            <w:r w:rsidRPr="00830B65">
              <w:rPr>
                <w:rStyle w:val="Hyperlink"/>
              </w:rPr>
              <w:t>3.1.</w:t>
            </w:r>
            <w:r>
              <w:rPr>
                <w:rFonts w:asciiTheme="minorHAnsi" w:eastAsiaTheme="minorEastAsia" w:hAnsiTheme="minorHAnsi" w:cstheme="minorBidi"/>
                <w:w w:val="100"/>
                <w:kern w:val="2"/>
                <w:lang w:eastAsia="en-GB"/>
                <w14:ligatures w14:val="standardContextual"/>
              </w:rPr>
              <w:tab/>
            </w:r>
            <w:r w:rsidRPr="00830B65">
              <w:rPr>
                <w:rStyle w:val="Hyperlink"/>
              </w:rPr>
              <w:t>Introduction</w:t>
            </w:r>
            <w:r>
              <w:rPr>
                <w:webHidden/>
              </w:rPr>
              <w:tab/>
            </w:r>
            <w:r>
              <w:rPr>
                <w:webHidden/>
              </w:rPr>
              <w:fldChar w:fldCharType="begin"/>
            </w:r>
            <w:r>
              <w:rPr>
                <w:webHidden/>
              </w:rPr>
              <w:instrText xml:space="preserve"> PAGEREF _Toc212871530 \h </w:instrText>
            </w:r>
            <w:r>
              <w:rPr>
                <w:webHidden/>
              </w:rPr>
            </w:r>
            <w:r>
              <w:rPr>
                <w:webHidden/>
              </w:rPr>
              <w:fldChar w:fldCharType="separate"/>
            </w:r>
            <w:r w:rsidR="00F30E48">
              <w:rPr>
                <w:webHidden/>
              </w:rPr>
              <w:t>37</w:t>
            </w:r>
            <w:r>
              <w:rPr>
                <w:webHidden/>
              </w:rPr>
              <w:fldChar w:fldCharType="end"/>
            </w:r>
          </w:hyperlink>
        </w:p>
        <w:p w14:paraId="12950AD6" w14:textId="61E0090E"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31" w:history="1">
            <w:r w:rsidRPr="00830B65">
              <w:rPr>
                <w:rStyle w:val="Hyperlink"/>
              </w:rPr>
              <w:t>3.2.</w:t>
            </w:r>
            <w:r>
              <w:rPr>
                <w:rFonts w:asciiTheme="minorHAnsi" w:eastAsiaTheme="minorEastAsia" w:hAnsiTheme="minorHAnsi" w:cstheme="minorBidi"/>
                <w:w w:val="100"/>
                <w:kern w:val="2"/>
                <w:lang w:eastAsia="en-GB"/>
                <w14:ligatures w14:val="standardContextual"/>
              </w:rPr>
              <w:tab/>
            </w:r>
            <w:r w:rsidRPr="00830B65">
              <w:rPr>
                <w:rStyle w:val="Hyperlink"/>
              </w:rPr>
              <w:t>Distribution of the participants according to socio-demographic characteristics</w:t>
            </w:r>
            <w:r>
              <w:rPr>
                <w:webHidden/>
              </w:rPr>
              <w:tab/>
            </w:r>
            <w:r>
              <w:rPr>
                <w:webHidden/>
              </w:rPr>
              <w:fldChar w:fldCharType="begin"/>
            </w:r>
            <w:r>
              <w:rPr>
                <w:webHidden/>
              </w:rPr>
              <w:instrText xml:space="preserve"> PAGEREF _Toc212871531 \h </w:instrText>
            </w:r>
            <w:r>
              <w:rPr>
                <w:webHidden/>
              </w:rPr>
            </w:r>
            <w:r>
              <w:rPr>
                <w:webHidden/>
              </w:rPr>
              <w:fldChar w:fldCharType="separate"/>
            </w:r>
            <w:r w:rsidR="00F30E48">
              <w:rPr>
                <w:webHidden/>
              </w:rPr>
              <w:t>38</w:t>
            </w:r>
            <w:r>
              <w:rPr>
                <w:webHidden/>
              </w:rPr>
              <w:fldChar w:fldCharType="end"/>
            </w:r>
          </w:hyperlink>
        </w:p>
        <w:p w14:paraId="7ACD72E7" w14:textId="212CCD35"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32" w:history="1">
            <w:r w:rsidRPr="00830B65">
              <w:rPr>
                <w:rStyle w:val="Hyperlink"/>
              </w:rPr>
              <w:t>3.3.</w:t>
            </w:r>
            <w:r>
              <w:rPr>
                <w:rFonts w:asciiTheme="minorHAnsi" w:eastAsiaTheme="minorEastAsia" w:hAnsiTheme="minorHAnsi" w:cstheme="minorBidi"/>
                <w:w w:val="100"/>
                <w:kern w:val="2"/>
                <w:lang w:eastAsia="en-GB"/>
                <w14:ligatures w14:val="standardContextual"/>
              </w:rPr>
              <w:tab/>
            </w:r>
            <w:r w:rsidRPr="00830B65">
              <w:rPr>
                <w:rStyle w:val="Hyperlink"/>
              </w:rPr>
              <w:t>Distribution of participants according to Health information</w:t>
            </w:r>
            <w:r>
              <w:rPr>
                <w:webHidden/>
              </w:rPr>
              <w:tab/>
            </w:r>
            <w:r>
              <w:rPr>
                <w:webHidden/>
              </w:rPr>
              <w:fldChar w:fldCharType="begin"/>
            </w:r>
            <w:r>
              <w:rPr>
                <w:webHidden/>
              </w:rPr>
              <w:instrText xml:space="preserve"> PAGEREF _Toc212871532 \h </w:instrText>
            </w:r>
            <w:r>
              <w:rPr>
                <w:webHidden/>
              </w:rPr>
            </w:r>
            <w:r>
              <w:rPr>
                <w:webHidden/>
              </w:rPr>
              <w:fldChar w:fldCharType="separate"/>
            </w:r>
            <w:r w:rsidR="00F30E48">
              <w:rPr>
                <w:webHidden/>
              </w:rPr>
              <w:t>39</w:t>
            </w:r>
            <w:r>
              <w:rPr>
                <w:webHidden/>
              </w:rPr>
              <w:fldChar w:fldCharType="end"/>
            </w:r>
          </w:hyperlink>
        </w:p>
        <w:p w14:paraId="36BE0CD7" w14:textId="171B82DD"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33" w:history="1">
            <w:r w:rsidRPr="00830B65">
              <w:rPr>
                <w:rStyle w:val="Hyperlink"/>
              </w:rPr>
              <w:t>3.4.</w:t>
            </w:r>
            <w:r>
              <w:rPr>
                <w:rFonts w:asciiTheme="minorHAnsi" w:eastAsiaTheme="minorEastAsia" w:hAnsiTheme="minorHAnsi" w:cstheme="minorBidi"/>
                <w:w w:val="100"/>
                <w:kern w:val="2"/>
                <w:lang w:eastAsia="en-GB"/>
                <w14:ligatures w14:val="standardContextual"/>
              </w:rPr>
              <w:tab/>
            </w:r>
            <w:r w:rsidRPr="00830B65">
              <w:rPr>
                <w:rStyle w:val="Hyperlink"/>
              </w:rPr>
              <w:t>Means and standard deviations for the time to ambulation, hemostasis, and discharge of study participants.</w:t>
            </w:r>
            <w:r>
              <w:rPr>
                <w:webHidden/>
              </w:rPr>
              <w:tab/>
            </w:r>
            <w:r>
              <w:rPr>
                <w:webHidden/>
              </w:rPr>
              <w:fldChar w:fldCharType="begin"/>
            </w:r>
            <w:r>
              <w:rPr>
                <w:webHidden/>
              </w:rPr>
              <w:instrText xml:space="preserve"> PAGEREF _Toc212871533 \h </w:instrText>
            </w:r>
            <w:r>
              <w:rPr>
                <w:webHidden/>
              </w:rPr>
            </w:r>
            <w:r>
              <w:rPr>
                <w:webHidden/>
              </w:rPr>
              <w:fldChar w:fldCharType="separate"/>
            </w:r>
            <w:r w:rsidR="00F30E48">
              <w:rPr>
                <w:webHidden/>
              </w:rPr>
              <w:t>42</w:t>
            </w:r>
            <w:r>
              <w:rPr>
                <w:webHidden/>
              </w:rPr>
              <w:fldChar w:fldCharType="end"/>
            </w:r>
          </w:hyperlink>
        </w:p>
        <w:p w14:paraId="33FF76F0" w14:textId="3B05F6E4"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34" w:history="1">
            <w:r w:rsidRPr="00830B65">
              <w:rPr>
                <w:rStyle w:val="Hyperlink"/>
              </w:rPr>
              <w:t>3.5.</w:t>
            </w:r>
            <w:r>
              <w:rPr>
                <w:rFonts w:asciiTheme="minorHAnsi" w:eastAsiaTheme="minorEastAsia" w:hAnsiTheme="minorHAnsi" w:cstheme="minorBidi"/>
                <w:w w:val="100"/>
                <w:kern w:val="2"/>
                <w:lang w:eastAsia="en-GB"/>
                <w14:ligatures w14:val="standardContextual"/>
              </w:rPr>
              <w:tab/>
            </w:r>
            <w:r w:rsidRPr="00830B65">
              <w:rPr>
                <w:rStyle w:val="Hyperlink"/>
              </w:rPr>
              <w:t>Means and standard deviations for the clinical data on admission of study participants.</w:t>
            </w:r>
            <w:r>
              <w:rPr>
                <w:webHidden/>
              </w:rPr>
              <w:tab/>
            </w:r>
            <w:r>
              <w:rPr>
                <w:webHidden/>
              </w:rPr>
              <w:fldChar w:fldCharType="begin"/>
            </w:r>
            <w:r>
              <w:rPr>
                <w:webHidden/>
              </w:rPr>
              <w:instrText xml:space="preserve"> PAGEREF _Toc212871534 \h </w:instrText>
            </w:r>
            <w:r>
              <w:rPr>
                <w:webHidden/>
              </w:rPr>
            </w:r>
            <w:r>
              <w:rPr>
                <w:webHidden/>
              </w:rPr>
              <w:fldChar w:fldCharType="separate"/>
            </w:r>
            <w:r w:rsidR="00F30E48">
              <w:rPr>
                <w:webHidden/>
              </w:rPr>
              <w:t>43</w:t>
            </w:r>
            <w:r>
              <w:rPr>
                <w:webHidden/>
              </w:rPr>
              <w:fldChar w:fldCharType="end"/>
            </w:r>
          </w:hyperlink>
        </w:p>
        <w:p w14:paraId="6A829F11" w14:textId="3B5BEB9C"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35" w:history="1">
            <w:r w:rsidRPr="00830B65">
              <w:rPr>
                <w:rStyle w:val="Hyperlink"/>
              </w:rPr>
              <w:t>3.6.</w:t>
            </w:r>
            <w:r>
              <w:rPr>
                <w:rFonts w:asciiTheme="minorHAnsi" w:eastAsiaTheme="minorEastAsia" w:hAnsiTheme="minorHAnsi" w:cstheme="minorBidi"/>
                <w:w w:val="100"/>
                <w:kern w:val="2"/>
                <w:lang w:eastAsia="en-GB"/>
                <w14:ligatures w14:val="standardContextual"/>
              </w:rPr>
              <w:tab/>
            </w:r>
            <w:r w:rsidRPr="00830B65">
              <w:rPr>
                <w:rStyle w:val="Hyperlink"/>
              </w:rPr>
              <w:t>Distribution of participants according to complications</w:t>
            </w:r>
            <w:r w:rsidRPr="00830B65">
              <w:rPr>
                <w:rStyle w:val="Hyperlink"/>
                <w:rtl/>
              </w:rPr>
              <w:t xml:space="preserve"> </w:t>
            </w:r>
            <w:r w:rsidRPr="00830B65">
              <w:rPr>
                <w:rStyle w:val="Hyperlink"/>
              </w:rPr>
              <w:t>after the procedure.</w:t>
            </w:r>
            <w:r>
              <w:rPr>
                <w:webHidden/>
              </w:rPr>
              <w:tab/>
            </w:r>
            <w:r>
              <w:rPr>
                <w:webHidden/>
              </w:rPr>
              <w:fldChar w:fldCharType="begin"/>
            </w:r>
            <w:r>
              <w:rPr>
                <w:webHidden/>
              </w:rPr>
              <w:instrText xml:space="preserve"> PAGEREF _Toc212871535 \h </w:instrText>
            </w:r>
            <w:r>
              <w:rPr>
                <w:webHidden/>
              </w:rPr>
            </w:r>
            <w:r>
              <w:rPr>
                <w:webHidden/>
              </w:rPr>
              <w:fldChar w:fldCharType="separate"/>
            </w:r>
            <w:r w:rsidR="00F30E48">
              <w:rPr>
                <w:webHidden/>
              </w:rPr>
              <w:t>44</w:t>
            </w:r>
            <w:r>
              <w:rPr>
                <w:webHidden/>
              </w:rPr>
              <w:fldChar w:fldCharType="end"/>
            </w:r>
          </w:hyperlink>
        </w:p>
        <w:p w14:paraId="301D2CC3" w14:textId="2131AF10"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36" w:history="1">
            <w:r w:rsidRPr="00830B65">
              <w:rPr>
                <w:rStyle w:val="Hyperlink"/>
              </w:rPr>
              <w:t>Chapter Four</w:t>
            </w:r>
            <w:r>
              <w:rPr>
                <w:webHidden/>
              </w:rPr>
              <w:tab/>
            </w:r>
            <w:r>
              <w:rPr>
                <w:webHidden/>
              </w:rPr>
              <w:fldChar w:fldCharType="begin"/>
            </w:r>
            <w:r>
              <w:rPr>
                <w:webHidden/>
              </w:rPr>
              <w:instrText xml:space="preserve"> PAGEREF _Toc212871536 \h </w:instrText>
            </w:r>
            <w:r>
              <w:rPr>
                <w:webHidden/>
              </w:rPr>
            </w:r>
            <w:r>
              <w:rPr>
                <w:webHidden/>
              </w:rPr>
              <w:fldChar w:fldCharType="separate"/>
            </w:r>
            <w:r w:rsidR="00F30E48">
              <w:rPr>
                <w:webHidden/>
              </w:rPr>
              <w:t>48</w:t>
            </w:r>
            <w:r>
              <w:rPr>
                <w:webHidden/>
              </w:rPr>
              <w:fldChar w:fldCharType="end"/>
            </w:r>
          </w:hyperlink>
        </w:p>
        <w:p w14:paraId="6A4B09A8" w14:textId="7DBB9653"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37" w:history="1">
            <w:r w:rsidRPr="00830B65">
              <w:rPr>
                <w:rStyle w:val="Hyperlink"/>
              </w:rPr>
              <w:t>Discussions and Conclusions</w:t>
            </w:r>
            <w:r>
              <w:rPr>
                <w:webHidden/>
              </w:rPr>
              <w:tab/>
            </w:r>
            <w:r>
              <w:rPr>
                <w:webHidden/>
              </w:rPr>
              <w:fldChar w:fldCharType="begin"/>
            </w:r>
            <w:r>
              <w:rPr>
                <w:webHidden/>
              </w:rPr>
              <w:instrText xml:space="preserve"> PAGEREF _Toc212871537 \h </w:instrText>
            </w:r>
            <w:r>
              <w:rPr>
                <w:webHidden/>
              </w:rPr>
            </w:r>
            <w:r>
              <w:rPr>
                <w:webHidden/>
              </w:rPr>
              <w:fldChar w:fldCharType="separate"/>
            </w:r>
            <w:r w:rsidR="00F30E48">
              <w:rPr>
                <w:webHidden/>
              </w:rPr>
              <w:t>48</w:t>
            </w:r>
            <w:r>
              <w:rPr>
                <w:webHidden/>
              </w:rPr>
              <w:fldChar w:fldCharType="end"/>
            </w:r>
          </w:hyperlink>
        </w:p>
        <w:p w14:paraId="5BBE638C" w14:textId="5AFBDF6C"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38" w:history="1">
            <w:r w:rsidRPr="00830B65">
              <w:rPr>
                <w:rStyle w:val="Hyperlink"/>
              </w:rPr>
              <w:t>4.1.</w:t>
            </w:r>
            <w:r>
              <w:rPr>
                <w:rFonts w:asciiTheme="minorHAnsi" w:eastAsiaTheme="minorEastAsia" w:hAnsiTheme="minorHAnsi" w:cstheme="minorBidi"/>
                <w:w w:val="100"/>
                <w:kern w:val="2"/>
                <w:lang w:eastAsia="en-GB"/>
                <w14:ligatures w14:val="standardContextual"/>
              </w:rPr>
              <w:tab/>
            </w:r>
            <w:r w:rsidRPr="00830B65">
              <w:rPr>
                <w:rStyle w:val="Hyperlink"/>
              </w:rPr>
              <w:t>Discussion</w:t>
            </w:r>
            <w:r>
              <w:rPr>
                <w:webHidden/>
              </w:rPr>
              <w:tab/>
            </w:r>
            <w:r>
              <w:rPr>
                <w:webHidden/>
              </w:rPr>
              <w:fldChar w:fldCharType="begin"/>
            </w:r>
            <w:r>
              <w:rPr>
                <w:webHidden/>
              </w:rPr>
              <w:instrText xml:space="preserve"> PAGEREF _Toc212871538 \h </w:instrText>
            </w:r>
            <w:r>
              <w:rPr>
                <w:webHidden/>
              </w:rPr>
            </w:r>
            <w:r>
              <w:rPr>
                <w:webHidden/>
              </w:rPr>
              <w:fldChar w:fldCharType="separate"/>
            </w:r>
            <w:r w:rsidR="00F30E48">
              <w:rPr>
                <w:webHidden/>
              </w:rPr>
              <w:t>48</w:t>
            </w:r>
            <w:r>
              <w:rPr>
                <w:webHidden/>
              </w:rPr>
              <w:fldChar w:fldCharType="end"/>
            </w:r>
          </w:hyperlink>
        </w:p>
        <w:p w14:paraId="31FDD2D1" w14:textId="0C75F71D"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39" w:history="1">
            <w:r w:rsidRPr="00830B65">
              <w:rPr>
                <w:rStyle w:val="Hyperlink"/>
              </w:rPr>
              <w:t>4.2.</w:t>
            </w:r>
            <w:r>
              <w:rPr>
                <w:rFonts w:asciiTheme="minorHAnsi" w:eastAsiaTheme="minorEastAsia" w:hAnsiTheme="minorHAnsi" w:cstheme="minorBidi"/>
                <w:w w:val="100"/>
                <w:kern w:val="2"/>
                <w:lang w:eastAsia="en-GB"/>
                <w14:ligatures w14:val="standardContextual"/>
              </w:rPr>
              <w:tab/>
            </w:r>
            <w:r w:rsidRPr="00830B65">
              <w:rPr>
                <w:rStyle w:val="Hyperlink"/>
              </w:rPr>
              <w:t>Strength points</w:t>
            </w:r>
            <w:r>
              <w:rPr>
                <w:webHidden/>
              </w:rPr>
              <w:tab/>
            </w:r>
            <w:r>
              <w:rPr>
                <w:webHidden/>
              </w:rPr>
              <w:fldChar w:fldCharType="begin"/>
            </w:r>
            <w:r>
              <w:rPr>
                <w:webHidden/>
              </w:rPr>
              <w:instrText xml:space="preserve"> PAGEREF _Toc212871539 \h </w:instrText>
            </w:r>
            <w:r>
              <w:rPr>
                <w:webHidden/>
              </w:rPr>
            </w:r>
            <w:r>
              <w:rPr>
                <w:webHidden/>
              </w:rPr>
              <w:fldChar w:fldCharType="separate"/>
            </w:r>
            <w:r w:rsidR="00F30E48">
              <w:rPr>
                <w:webHidden/>
              </w:rPr>
              <w:t>56</w:t>
            </w:r>
            <w:r>
              <w:rPr>
                <w:webHidden/>
              </w:rPr>
              <w:fldChar w:fldCharType="end"/>
            </w:r>
          </w:hyperlink>
        </w:p>
        <w:p w14:paraId="718D7769" w14:textId="243F4A63"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40" w:history="1">
            <w:r w:rsidRPr="00830B65">
              <w:rPr>
                <w:rStyle w:val="Hyperlink"/>
              </w:rPr>
              <w:t>4.3.</w:t>
            </w:r>
            <w:r>
              <w:rPr>
                <w:rFonts w:asciiTheme="minorHAnsi" w:eastAsiaTheme="minorEastAsia" w:hAnsiTheme="minorHAnsi" w:cstheme="minorBidi"/>
                <w:w w:val="100"/>
                <w:kern w:val="2"/>
                <w:lang w:eastAsia="en-GB"/>
                <w14:ligatures w14:val="standardContextual"/>
              </w:rPr>
              <w:tab/>
            </w:r>
            <w:r w:rsidRPr="00830B65">
              <w:rPr>
                <w:rStyle w:val="Hyperlink"/>
              </w:rPr>
              <w:t>Limitations</w:t>
            </w:r>
            <w:r>
              <w:rPr>
                <w:webHidden/>
              </w:rPr>
              <w:tab/>
            </w:r>
            <w:r>
              <w:rPr>
                <w:webHidden/>
              </w:rPr>
              <w:fldChar w:fldCharType="begin"/>
            </w:r>
            <w:r>
              <w:rPr>
                <w:webHidden/>
              </w:rPr>
              <w:instrText xml:space="preserve"> PAGEREF _Toc212871540 \h </w:instrText>
            </w:r>
            <w:r>
              <w:rPr>
                <w:webHidden/>
              </w:rPr>
            </w:r>
            <w:r>
              <w:rPr>
                <w:webHidden/>
              </w:rPr>
              <w:fldChar w:fldCharType="separate"/>
            </w:r>
            <w:r w:rsidR="00F30E48">
              <w:rPr>
                <w:webHidden/>
              </w:rPr>
              <w:t>56</w:t>
            </w:r>
            <w:r>
              <w:rPr>
                <w:webHidden/>
              </w:rPr>
              <w:fldChar w:fldCharType="end"/>
            </w:r>
          </w:hyperlink>
        </w:p>
        <w:p w14:paraId="5B2AEF07" w14:textId="75340141"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41" w:history="1">
            <w:r w:rsidRPr="00830B65">
              <w:rPr>
                <w:rStyle w:val="Hyperlink"/>
              </w:rPr>
              <w:t>4.4.</w:t>
            </w:r>
            <w:r>
              <w:rPr>
                <w:rFonts w:asciiTheme="minorHAnsi" w:eastAsiaTheme="minorEastAsia" w:hAnsiTheme="minorHAnsi" w:cstheme="minorBidi"/>
                <w:w w:val="100"/>
                <w:kern w:val="2"/>
                <w:lang w:eastAsia="en-GB"/>
                <w14:ligatures w14:val="standardContextual"/>
              </w:rPr>
              <w:tab/>
            </w:r>
            <w:r w:rsidRPr="00830B65">
              <w:rPr>
                <w:rStyle w:val="Hyperlink"/>
              </w:rPr>
              <w:t>Conclusion</w:t>
            </w:r>
            <w:r>
              <w:rPr>
                <w:webHidden/>
              </w:rPr>
              <w:tab/>
            </w:r>
            <w:r>
              <w:rPr>
                <w:webHidden/>
              </w:rPr>
              <w:fldChar w:fldCharType="begin"/>
            </w:r>
            <w:r>
              <w:rPr>
                <w:webHidden/>
              </w:rPr>
              <w:instrText xml:space="preserve"> PAGEREF _Toc212871541 \h </w:instrText>
            </w:r>
            <w:r>
              <w:rPr>
                <w:webHidden/>
              </w:rPr>
            </w:r>
            <w:r>
              <w:rPr>
                <w:webHidden/>
              </w:rPr>
              <w:fldChar w:fldCharType="separate"/>
            </w:r>
            <w:r w:rsidR="00F30E48">
              <w:rPr>
                <w:webHidden/>
              </w:rPr>
              <w:t>57</w:t>
            </w:r>
            <w:r>
              <w:rPr>
                <w:webHidden/>
              </w:rPr>
              <w:fldChar w:fldCharType="end"/>
            </w:r>
          </w:hyperlink>
        </w:p>
        <w:p w14:paraId="1920D15D" w14:textId="7CA6EEBD"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42" w:history="1">
            <w:r w:rsidRPr="00830B65">
              <w:rPr>
                <w:rStyle w:val="Hyperlink"/>
              </w:rPr>
              <w:t>4.5.</w:t>
            </w:r>
            <w:r>
              <w:rPr>
                <w:rFonts w:asciiTheme="minorHAnsi" w:eastAsiaTheme="minorEastAsia" w:hAnsiTheme="minorHAnsi" w:cstheme="minorBidi"/>
                <w:w w:val="100"/>
                <w:kern w:val="2"/>
                <w:lang w:eastAsia="en-GB"/>
                <w14:ligatures w14:val="standardContextual"/>
              </w:rPr>
              <w:tab/>
            </w:r>
            <w:r w:rsidRPr="00830B65">
              <w:rPr>
                <w:rStyle w:val="Hyperlink"/>
              </w:rPr>
              <w:t>Recommendations</w:t>
            </w:r>
            <w:r>
              <w:rPr>
                <w:webHidden/>
              </w:rPr>
              <w:tab/>
            </w:r>
            <w:r>
              <w:rPr>
                <w:webHidden/>
              </w:rPr>
              <w:fldChar w:fldCharType="begin"/>
            </w:r>
            <w:r>
              <w:rPr>
                <w:webHidden/>
              </w:rPr>
              <w:instrText xml:space="preserve"> PAGEREF _Toc212871542 \h </w:instrText>
            </w:r>
            <w:r>
              <w:rPr>
                <w:webHidden/>
              </w:rPr>
            </w:r>
            <w:r>
              <w:rPr>
                <w:webHidden/>
              </w:rPr>
              <w:fldChar w:fldCharType="separate"/>
            </w:r>
            <w:r w:rsidR="00F30E48">
              <w:rPr>
                <w:webHidden/>
              </w:rPr>
              <w:t>57</w:t>
            </w:r>
            <w:r>
              <w:rPr>
                <w:webHidden/>
              </w:rPr>
              <w:fldChar w:fldCharType="end"/>
            </w:r>
          </w:hyperlink>
        </w:p>
        <w:p w14:paraId="1B0C8CE4" w14:textId="4BD5A494" w:rsidR="00A02D95" w:rsidRDefault="00A02D95">
          <w:pPr>
            <w:pStyle w:val="TOC1"/>
            <w:rPr>
              <w:rFonts w:asciiTheme="minorHAnsi" w:eastAsiaTheme="minorEastAsia" w:hAnsiTheme="minorHAnsi" w:cstheme="minorBidi"/>
              <w:w w:val="100"/>
              <w:kern w:val="2"/>
              <w:lang w:eastAsia="en-GB"/>
              <w14:ligatures w14:val="standardContextual"/>
            </w:rPr>
          </w:pPr>
          <w:hyperlink w:anchor="_Toc212871543" w:history="1">
            <w:r w:rsidRPr="00830B65">
              <w:rPr>
                <w:rStyle w:val="Hyperlink"/>
                <w:rFonts w:ascii="Times New Roman" w:eastAsia="Times New Roman" w:hAnsi="Times New Roman" w:cs="Times New Roman"/>
                <w:b/>
                <w:bCs/>
              </w:rPr>
              <w:t>Appendices</w:t>
            </w:r>
            <w:r>
              <w:rPr>
                <w:webHidden/>
              </w:rPr>
              <w:tab/>
            </w:r>
            <w:r>
              <w:rPr>
                <w:webHidden/>
              </w:rPr>
              <w:fldChar w:fldCharType="begin"/>
            </w:r>
            <w:r>
              <w:rPr>
                <w:webHidden/>
              </w:rPr>
              <w:instrText xml:space="preserve"> PAGEREF _Toc212871543 \h </w:instrText>
            </w:r>
            <w:r>
              <w:rPr>
                <w:webHidden/>
              </w:rPr>
            </w:r>
            <w:r>
              <w:rPr>
                <w:webHidden/>
              </w:rPr>
              <w:fldChar w:fldCharType="separate"/>
            </w:r>
            <w:r w:rsidR="00F30E48">
              <w:rPr>
                <w:webHidden/>
              </w:rPr>
              <w:t>67</w:t>
            </w:r>
            <w:r>
              <w:rPr>
                <w:webHidden/>
              </w:rPr>
              <w:fldChar w:fldCharType="end"/>
            </w:r>
          </w:hyperlink>
        </w:p>
        <w:p w14:paraId="4F471C5A" w14:textId="67CFAB66" w:rsidR="001F68F1" w:rsidRPr="006B3495" w:rsidRDefault="001F68F1" w:rsidP="001F68F1">
          <w:pPr>
            <w:spacing w:after="100" w:line="360" w:lineRule="auto"/>
            <w:jc w:val="both"/>
            <w:rPr>
              <w:rFonts w:asciiTheme="majorBidi" w:hAnsiTheme="majorBidi" w:cstheme="majorBidi"/>
              <w:sz w:val="24"/>
              <w:szCs w:val="24"/>
            </w:rPr>
          </w:pPr>
          <w:r w:rsidRPr="006B3495">
            <w:rPr>
              <w:rFonts w:asciiTheme="majorBidi" w:hAnsiTheme="majorBidi" w:cstheme="majorBidi"/>
              <w:sz w:val="24"/>
              <w:szCs w:val="24"/>
            </w:rPr>
            <w:fldChar w:fldCharType="end"/>
          </w:r>
        </w:p>
      </w:sdtContent>
    </w:sdt>
    <w:p w14:paraId="3BBA01AD" w14:textId="77777777" w:rsidR="00EC231F" w:rsidRPr="006B3495" w:rsidRDefault="00EC231F" w:rsidP="00EC231F">
      <w:pPr>
        <w:spacing w:after="0" w:line="240" w:lineRule="auto"/>
      </w:pPr>
      <w:bookmarkStart w:id="14" w:name="_Toc90472900"/>
    </w:p>
    <w:p w14:paraId="012AFA19" w14:textId="5A682685" w:rsidR="001F68F1" w:rsidRPr="006B3495" w:rsidRDefault="001F68F1" w:rsidP="00EC231F">
      <w:pPr>
        <w:spacing w:after="0" w:line="240" w:lineRule="auto"/>
        <w:rPr>
          <w:rFonts w:asciiTheme="majorBidi" w:hAnsiTheme="majorBidi" w:cstheme="majorBidi"/>
          <w:b/>
          <w:bCs/>
          <w:sz w:val="24"/>
          <w:szCs w:val="24"/>
        </w:rPr>
      </w:pPr>
      <w:r w:rsidRPr="006B3495">
        <w:rPr>
          <w:rFonts w:asciiTheme="majorBidi" w:hAnsiTheme="majorBidi" w:cstheme="majorBidi"/>
          <w:b/>
          <w:bCs/>
          <w:sz w:val="24"/>
          <w:szCs w:val="24"/>
        </w:rPr>
        <w:t xml:space="preserve">List of </w:t>
      </w:r>
      <w:bookmarkStart w:id="15" w:name="_Hlk126479876"/>
      <w:r w:rsidRPr="006B3495">
        <w:rPr>
          <w:rFonts w:asciiTheme="majorBidi" w:hAnsiTheme="majorBidi" w:cstheme="majorBidi"/>
          <w:b/>
          <w:bCs/>
          <w:sz w:val="24"/>
          <w:szCs w:val="24"/>
        </w:rPr>
        <w:t>Tables</w:t>
      </w:r>
      <w:bookmarkEnd w:id="14"/>
      <w:bookmarkEnd w:id="15"/>
    </w:p>
    <w:p w14:paraId="69DF2B67" w14:textId="77777777" w:rsidR="00EC231F" w:rsidRPr="006B3495" w:rsidRDefault="00EC231F" w:rsidP="00EC231F">
      <w:pPr>
        <w:spacing w:after="0" w:line="240" w:lineRule="auto"/>
        <w:rPr>
          <w:rFonts w:ascii="Times New Roman" w:eastAsia="Times New Roman" w:hAnsi="Times New Roman" w:cs="Times New Roman"/>
          <w:b/>
          <w:bCs/>
          <w:w w:val="110"/>
          <w:sz w:val="28"/>
          <w:szCs w:val="28"/>
        </w:rPr>
      </w:pPr>
    </w:p>
    <w:p w14:paraId="68C94228" w14:textId="12EC364B" w:rsidR="001F68F1" w:rsidRPr="006B3495" w:rsidRDefault="001F68F1" w:rsidP="001F68F1">
      <w:pPr>
        <w:pStyle w:val="TableofFigures"/>
        <w:tabs>
          <w:tab w:val="right" w:leader="dot" w:pos="8494"/>
        </w:tabs>
        <w:spacing w:after="240" w:line="360" w:lineRule="auto"/>
        <w:rPr>
          <w:rFonts w:asciiTheme="majorBidi" w:eastAsiaTheme="minorEastAsia" w:hAnsiTheme="majorBidi" w:cstheme="majorBidi"/>
          <w:b w:val="0"/>
          <w:bCs w:val="0"/>
          <w:i/>
          <w:iCs/>
          <w:noProof/>
          <w:sz w:val="24"/>
          <w:lang w:eastAsia="en-GB"/>
        </w:rPr>
      </w:pPr>
      <w:r w:rsidRPr="006B3495">
        <w:rPr>
          <w:rStyle w:val="Hyperlink"/>
          <w:rFonts w:asciiTheme="majorBidi" w:hAnsiTheme="majorBidi" w:cstheme="majorBidi"/>
          <w:b w:val="0"/>
          <w:bCs w:val="0"/>
          <w:i/>
          <w:iCs/>
          <w:color w:val="auto"/>
          <w:sz w:val="24"/>
          <w:u w:val="none"/>
        </w:rPr>
        <w:fldChar w:fldCharType="begin"/>
      </w:r>
      <w:r w:rsidRPr="006B3495">
        <w:rPr>
          <w:rStyle w:val="Hyperlink"/>
          <w:rFonts w:asciiTheme="majorBidi" w:hAnsiTheme="majorBidi" w:cstheme="majorBidi"/>
          <w:b w:val="0"/>
          <w:bCs w:val="0"/>
          <w:i/>
          <w:iCs/>
          <w:color w:val="auto"/>
          <w:sz w:val="24"/>
          <w:u w:val="none"/>
        </w:rPr>
        <w:instrText xml:space="preserve"> TOC \h \z \t "table" \c </w:instrText>
      </w:r>
      <w:r w:rsidRPr="006B3495">
        <w:rPr>
          <w:rStyle w:val="Hyperlink"/>
          <w:rFonts w:asciiTheme="majorBidi" w:hAnsiTheme="majorBidi" w:cstheme="majorBidi"/>
          <w:b w:val="0"/>
          <w:bCs w:val="0"/>
          <w:i/>
          <w:iCs/>
          <w:color w:val="auto"/>
          <w:sz w:val="24"/>
          <w:u w:val="none"/>
        </w:rPr>
        <w:fldChar w:fldCharType="separate"/>
      </w:r>
      <w:hyperlink w:anchor="_Toc170299112" w:history="1">
        <w:r w:rsidRPr="006B3495">
          <w:rPr>
            <w:rStyle w:val="Hyperlink"/>
            <w:rFonts w:asciiTheme="majorBidi" w:hAnsiTheme="majorBidi" w:cstheme="majorBidi"/>
            <w:b w:val="0"/>
            <w:bCs w:val="0"/>
            <w:i/>
            <w:iCs/>
            <w:noProof/>
            <w:color w:val="auto"/>
            <w:sz w:val="24"/>
          </w:rPr>
          <w:t xml:space="preserve">Table 1 </w:t>
        </w:r>
      </w:hyperlink>
      <w:hyperlink w:anchor="_Toc170299113" w:history="1">
        <w:r w:rsidRPr="006B3495">
          <w:rPr>
            <w:rStyle w:val="Hyperlink"/>
            <w:rFonts w:asciiTheme="majorBidi" w:hAnsiTheme="majorBidi" w:cstheme="majorBidi"/>
            <w:b w:val="0"/>
            <w:bCs w:val="0"/>
            <w:i/>
            <w:iCs/>
            <w:noProof/>
            <w:color w:val="auto"/>
            <w:sz w:val="24"/>
          </w:rPr>
          <w:t>Distribution of participants according to socio-demographic characteristics.</w:t>
        </w:r>
        <w:r w:rsidRPr="006B3495">
          <w:rPr>
            <w:rFonts w:asciiTheme="majorBidi" w:hAnsiTheme="majorBidi" w:cstheme="majorBidi"/>
            <w:b w:val="0"/>
            <w:bCs w:val="0"/>
            <w:i/>
            <w:iCs/>
            <w:noProof/>
            <w:webHidden/>
            <w:sz w:val="24"/>
          </w:rPr>
          <w:tab/>
        </w:r>
        <w:r w:rsidRPr="006B3495">
          <w:rPr>
            <w:rFonts w:asciiTheme="majorBidi" w:hAnsiTheme="majorBidi" w:cstheme="majorBidi"/>
            <w:b w:val="0"/>
            <w:bCs w:val="0"/>
            <w:i/>
            <w:iCs/>
            <w:noProof/>
            <w:webHidden/>
            <w:sz w:val="24"/>
          </w:rPr>
          <w:fldChar w:fldCharType="begin"/>
        </w:r>
        <w:r w:rsidRPr="006B3495">
          <w:rPr>
            <w:rFonts w:asciiTheme="majorBidi" w:hAnsiTheme="majorBidi" w:cstheme="majorBidi"/>
            <w:b w:val="0"/>
            <w:bCs w:val="0"/>
            <w:i/>
            <w:iCs/>
            <w:noProof/>
            <w:webHidden/>
            <w:sz w:val="24"/>
          </w:rPr>
          <w:instrText xml:space="preserve"> PAGEREF _Toc170299113 \h </w:instrText>
        </w:r>
        <w:r w:rsidRPr="006B3495">
          <w:rPr>
            <w:rFonts w:asciiTheme="majorBidi" w:hAnsiTheme="majorBidi" w:cstheme="majorBidi"/>
            <w:b w:val="0"/>
            <w:bCs w:val="0"/>
            <w:i/>
            <w:iCs/>
            <w:noProof/>
            <w:webHidden/>
            <w:sz w:val="24"/>
          </w:rPr>
        </w:r>
        <w:r w:rsidRPr="006B3495">
          <w:rPr>
            <w:rFonts w:asciiTheme="majorBidi" w:hAnsiTheme="majorBidi" w:cstheme="majorBidi"/>
            <w:b w:val="0"/>
            <w:bCs w:val="0"/>
            <w:i/>
            <w:iCs/>
            <w:noProof/>
            <w:webHidden/>
            <w:sz w:val="24"/>
          </w:rPr>
          <w:fldChar w:fldCharType="separate"/>
        </w:r>
        <w:r w:rsidR="00F30E48">
          <w:rPr>
            <w:rFonts w:asciiTheme="majorBidi" w:hAnsiTheme="majorBidi" w:cstheme="majorBidi"/>
            <w:b w:val="0"/>
            <w:bCs w:val="0"/>
            <w:i/>
            <w:iCs/>
            <w:noProof/>
            <w:webHidden/>
            <w:sz w:val="24"/>
          </w:rPr>
          <w:t>39</w:t>
        </w:r>
        <w:r w:rsidRPr="006B3495">
          <w:rPr>
            <w:rFonts w:asciiTheme="majorBidi" w:hAnsiTheme="majorBidi" w:cstheme="majorBidi"/>
            <w:b w:val="0"/>
            <w:bCs w:val="0"/>
            <w:i/>
            <w:iCs/>
            <w:noProof/>
            <w:webHidden/>
            <w:sz w:val="24"/>
          </w:rPr>
          <w:fldChar w:fldCharType="end"/>
        </w:r>
      </w:hyperlink>
    </w:p>
    <w:p w14:paraId="0BFBF7C4" w14:textId="08A70E34" w:rsidR="001F68F1" w:rsidRPr="006B3495" w:rsidRDefault="001F68F1" w:rsidP="001F68F1">
      <w:pPr>
        <w:pStyle w:val="TableofFigures"/>
        <w:tabs>
          <w:tab w:val="right" w:leader="dot" w:pos="8494"/>
        </w:tabs>
        <w:spacing w:after="240" w:line="360" w:lineRule="auto"/>
        <w:rPr>
          <w:rFonts w:asciiTheme="majorBidi" w:eastAsiaTheme="minorEastAsia" w:hAnsiTheme="majorBidi" w:cstheme="majorBidi"/>
          <w:b w:val="0"/>
          <w:bCs w:val="0"/>
          <w:i/>
          <w:iCs/>
          <w:noProof/>
          <w:sz w:val="24"/>
          <w:lang w:eastAsia="en-GB"/>
        </w:rPr>
      </w:pPr>
      <w:hyperlink w:anchor="_Toc170299114" w:history="1">
        <w:r w:rsidRPr="006B3495">
          <w:rPr>
            <w:rStyle w:val="Hyperlink"/>
            <w:rFonts w:asciiTheme="majorBidi" w:hAnsiTheme="majorBidi" w:cstheme="majorBidi"/>
            <w:b w:val="0"/>
            <w:bCs w:val="0"/>
            <w:i/>
            <w:iCs/>
            <w:noProof/>
            <w:color w:val="auto"/>
            <w:sz w:val="24"/>
          </w:rPr>
          <w:t xml:space="preserve">Table 2 </w:t>
        </w:r>
      </w:hyperlink>
      <w:hyperlink w:anchor="_Toc170299115" w:history="1">
        <w:r w:rsidRPr="006B3495">
          <w:rPr>
            <w:rStyle w:val="Hyperlink"/>
            <w:rFonts w:asciiTheme="majorBidi" w:hAnsiTheme="majorBidi" w:cstheme="majorBidi"/>
            <w:b w:val="0"/>
            <w:bCs w:val="0"/>
            <w:i/>
            <w:iCs/>
            <w:noProof/>
            <w:color w:val="auto"/>
            <w:sz w:val="24"/>
          </w:rPr>
          <w:t>Distribution of participants according to health information.</w:t>
        </w:r>
        <w:r w:rsidRPr="006B3495">
          <w:rPr>
            <w:rFonts w:asciiTheme="majorBidi" w:hAnsiTheme="majorBidi" w:cstheme="majorBidi"/>
            <w:b w:val="0"/>
            <w:bCs w:val="0"/>
            <w:i/>
            <w:iCs/>
            <w:noProof/>
            <w:webHidden/>
            <w:sz w:val="24"/>
          </w:rPr>
          <w:tab/>
        </w:r>
        <w:r w:rsidRPr="006B3495">
          <w:rPr>
            <w:rFonts w:asciiTheme="majorBidi" w:hAnsiTheme="majorBidi" w:cstheme="majorBidi"/>
            <w:b w:val="0"/>
            <w:bCs w:val="0"/>
            <w:i/>
            <w:iCs/>
            <w:noProof/>
            <w:webHidden/>
            <w:sz w:val="24"/>
          </w:rPr>
          <w:fldChar w:fldCharType="begin"/>
        </w:r>
        <w:r w:rsidRPr="006B3495">
          <w:rPr>
            <w:rFonts w:asciiTheme="majorBidi" w:hAnsiTheme="majorBidi" w:cstheme="majorBidi"/>
            <w:b w:val="0"/>
            <w:bCs w:val="0"/>
            <w:i/>
            <w:iCs/>
            <w:noProof/>
            <w:webHidden/>
            <w:sz w:val="24"/>
          </w:rPr>
          <w:instrText xml:space="preserve"> PAGEREF _Toc170299115 \h </w:instrText>
        </w:r>
        <w:r w:rsidRPr="006B3495">
          <w:rPr>
            <w:rFonts w:asciiTheme="majorBidi" w:hAnsiTheme="majorBidi" w:cstheme="majorBidi"/>
            <w:b w:val="0"/>
            <w:bCs w:val="0"/>
            <w:i/>
            <w:iCs/>
            <w:noProof/>
            <w:webHidden/>
            <w:sz w:val="24"/>
          </w:rPr>
        </w:r>
        <w:r w:rsidRPr="006B3495">
          <w:rPr>
            <w:rFonts w:asciiTheme="majorBidi" w:hAnsiTheme="majorBidi" w:cstheme="majorBidi"/>
            <w:b w:val="0"/>
            <w:bCs w:val="0"/>
            <w:i/>
            <w:iCs/>
            <w:noProof/>
            <w:webHidden/>
            <w:sz w:val="24"/>
          </w:rPr>
          <w:fldChar w:fldCharType="separate"/>
        </w:r>
        <w:r w:rsidR="00F30E48">
          <w:rPr>
            <w:rFonts w:asciiTheme="majorBidi" w:hAnsiTheme="majorBidi" w:cstheme="majorBidi"/>
            <w:b w:val="0"/>
            <w:bCs w:val="0"/>
            <w:i/>
            <w:iCs/>
            <w:noProof/>
            <w:webHidden/>
            <w:sz w:val="24"/>
          </w:rPr>
          <w:t>40</w:t>
        </w:r>
        <w:r w:rsidRPr="006B3495">
          <w:rPr>
            <w:rFonts w:asciiTheme="majorBidi" w:hAnsiTheme="majorBidi" w:cstheme="majorBidi"/>
            <w:b w:val="0"/>
            <w:bCs w:val="0"/>
            <w:i/>
            <w:iCs/>
            <w:noProof/>
            <w:webHidden/>
            <w:sz w:val="24"/>
          </w:rPr>
          <w:fldChar w:fldCharType="end"/>
        </w:r>
      </w:hyperlink>
    </w:p>
    <w:p w14:paraId="5C5CC31D" w14:textId="0F0E4855" w:rsidR="001F68F1" w:rsidRPr="006B3495" w:rsidRDefault="001F68F1" w:rsidP="001F68F1">
      <w:pPr>
        <w:pStyle w:val="TableofFigures"/>
        <w:tabs>
          <w:tab w:val="right" w:leader="dot" w:pos="8494"/>
        </w:tabs>
        <w:spacing w:after="240" w:line="360" w:lineRule="auto"/>
        <w:rPr>
          <w:rFonts w:asciiTheme="majorBidi" w:eastAsiaTheme="minorEastAsia" w:hAnsiTheme="majorBidi" w:cstheme="majorBidi"/>
          <w:b w:val="0"/>
          <w:bCs w:val="0"/>
          <w:i/>
          <w:iCs/>
          <w:noProof/>
          <w:sz w:val="24"/>
          <w:lang w:eastAsia="en-GB"/>
        </w:rPr>
      </w:pPr>
      <w:hyperlink w:anchor="_Toc170299116" w:history="1">
        <w:r w:rsidRPr="006B3495">
          <w:rPr>
            <w:rStyle w:val="Hyperlink"/>
            <w:rFonts w:asciiTheme="majorBidi" w:hAnsiTheme="majorBidi" w:cstheme="majorBidi"/>
            <w:b w:val="0"/>
            <w:bCs w:val="0"/>
            <w:i/>
            <w:iCs/>
            <w:noProof/>
            <w:color w:val="auto"/>
            <w:sz w:val="24"/>
          </w:rPr>
          <w:t xml:space="preserve">Table 3 </w:t>
        </w:r>
      </w:hyperlink>
      <w:hyperlink w:anchor="_Toc170299117" w:history="1">
        <w:r w:rsidRPr="006B3495">
          <w:rPr>
            <w:rStyle w:val="Hyperlink"/>
            <w:rFonts w:asciiTheme="majorBidi" w:hAnsiTheme="majorBidi" w:cstheme="majorBidi"/>
            <w:b w:val="0"/>
            <w:bCs w:val="0"/>
            <w:i/>
            <w:iCs/>
            <w:noProof/>
            <w:color w:val="auto"/>
            <w:sz w:val="24"/>
          </w:rPr>
          <w:t>Means, and standard deviations for the Time to ambulation, hemostasis, and discharge of study participants.</w:t>
        </w:r>
        <w:r w:rsidRPr="006B3495">
          <w:rPr>
            <w:rFonts w:asciiTheme="majorBidi" w:hAnsiTheme="majorBidi" w:cstheme="majorBidi"/>
            <w:b w:val="0"/>
            <w:bCs w:val="0"/>
            <w:i/>
            <w:iCs/>
            <w:noProof/>
            <w:webHidden/>
            <w:sz w:val="24"/>
          </w:rPr>
          <w:tab/>
        </w:r>
        <w:r w:rsidRPr="006B3495">
          <w:rPr>
            <w:rFonts w:asciiTheme="majorBidi" w:hAnsiTheme="majorBidi" w:cstheme="majorBidi"/>
            <w:b w:val="0"/>
            <w:bCs w:val="0"/>
            <w:i/>
            <w:iCs/>
            <w:noProof/>
            <w:webHidden/>
            <w:sz w:val="24"/>
          </w:rPr>
          <w:fldChar w:fldCharType="begin"/>
        </w:r>
        <w:r w:rsidRPr="006B3495">
          <w:rPr>
            <w:rFonts w:asciiTheme="majorBidi" w:hAnsiTheme="majorBidi" w:cstheme="majorBidi"/>
            <w:b w:val="0"/>
            <w:bCs w:val="0"/>
            <w:i/>
            <w:iCs/>
            <w:noProof/>
            <w:webHidden/>
            <w:sz w:val="24"/>
          </w:rPr>
          <w:instrText xml:space="preserve"> PAGEREF _Toc170299117 \h </w:instrText>
        </w:r>
        <w:r w:rsidRPr="006B3495">
          <w:rPr>
            <w:rFonts w:asciiTheme="majorBidi" w:hAnsiTheme="majorBidi" w:cstheme="majorBidi"/>
            <w:b w:val="0"/>
            <w:bCs w:val="0"/>
            <w:i/>
            <w:iCs/>
            <w:noProof/>
            <w:webHidden/>
            <w:sz w:val="24"/>
          </w:rPr>
        </w:r>
        <w:r w:rsidRPr="006B3495">
          <w:rPr>
            <w:rFonts w:asciiTheme="majorBidi" w:hAnsiTheme="majorBidi" w:cstheme="majorBidi"/>
            <w:b w:val="0"/>
            <w:bCs w:val="0"/>
            <w:i/>
            <w:iCs/>
            <w:noProof/>
            <w:webHidden/>
            <w:sz w:val="24"/>
          </w:rPr>
          <w:fldChar w:fldCharType="separate"/>
        </w:r>
        <w:r w:rsidR="00F30E48">
          <w:rPr>
            <w:rFonts w:asciiTheme="majorBidi" w:hAnsiTheme="majorBidi" w:cstheme="majorBidi"/>
            <w:b w:val="0"/>
            <w:bCs w:val="0"/>
            <w:i/>
            <w:iCs/>
            <w:noProof/>
            <w:webHidden/>
            <w:sz w:val="24"/>
          </w:rPr>
          <w:t>42</w:t>
        </w:r>
        <w:r w:rsidRPr="006B3495">
          <w:rPr>
            <w:rFonts w:asciiTheme="majorBidi" w:hAnsiTheme="majorBidi" w:cstheme="majorBidi"/>
            <w:b w:val="0"/>
            <w:bCs w:val="0"/>
            <w:i/>
            <w:iCs/>
            <w:noProof/>
            <w:webHidden/>
            <w:sz w:val="24"/>
          </w:rPr>
          <w:fldChar w:fldCharType="end"/>
        </w:r>
      </w:hyperlink>
    </w:p>
    <w:p w14:paraId="6DB6101E" w14:textId="4FD806E9" w:rsidR="001F68F1" w:rsidRPr="006B3495" w:rsidRDefault="001F68F1" w:rsidP="001F68F1">
      <w:pPr>
        <w:pStyle w:val="TableofFigures"/>
        <w:tabs>
          <w:tab w:val="right" w:leader="dot" w:pos="8494"/>
        </w:tabs>
        <w:spacing w:after="240" w:line="360" w:lineRule="auto"/>
        <w:rPr>
          <w:rFonts w:asciiTheme="majorBidi" w:eastAsiaTheme="minorEastAsia" w:hAnsiTheme="majorBidi" w:cstheme="majorBidi"/>
          <w:b w:val="0"/>
          <w:bCs w:val="0"/>
          <w:i/>
          <w:iCs/>
          <w:noProof/>
          <w:sz w:val="24"/>
          <w:lang w:eastAsia="en-GB"/>
        </w:rPr>
      </w:pPr>
      <w:hyperlink w:anchor="_Toc170299118" w:history="1">
        <w:r w:rsidRPr="006B3495">
          <w:rPr>
            <w:rStyle w:val="Hyperlink"/>
            <w:rFonts w:asciiTheme="majorBidi" w:hAnsiTheme="majorBidi" w:cstheme="majorBidi"/>
            <w:b w:val="0"/>
            <w:bCs w:val="0"/>
            <w:i/>
            <w:iCs/>
            <w:noProof/>
            <w:color w:val="auto"/>
            <w:sz w:val="24"/>
          </w:rPr>
          <w:t xml:space="preserve">Table 4 </w:t>
        </w:r>
      </w:hyperlink>
      <w:hyperlink w:anchor="_Toc170299119" w:history="1">
        <w:r w:rsidRPr="006B3495">
          <w:rPr>
            <w:rStyle w:val="Hyperlink"/>
            <w:rFonts w:asciiTheme="majorBidi" w:hAnsiTheme="majorBidi" w:cstheme="majorBidi"/>
            <w:b w:val="0"/>
            <w:bCs w:val="0"/>
            <w:i/>
            <w:iCs/>
            <w:noProof/>
            <w:color w:val="auto"/>
            <w:sz w:val="24"/>
          </w:rPr>
          <w:t>Means, and standard deviations for the clinical data on admission of study participants.</w:t>
        </w:r>
        <w:r w:rsidRPr="006B3495">
          <w:rPr>
            <w:rFonts w:asciiTheme="majorBidi" w:hAnsiTheme="majorBidi" w:cstheme="majorBidi"/>
            <w:b w:val="0"/>
            <w:bCs w:val="0"/>
            <w:i/>
            <w:iCs/>
            <w:noProof/>
            <w:webHidden/>
            <w:sz w:val="24"/>
          </w:rPr>
          <w:tab/>
        </w:r>
        <w:r w:rsidRPr="006B3495">
          <w:rPr>
            <w:rFonts w:asciiTheme="majorBidi" w:hAnsiTheme="majorBidi" w:cstheme="majorBidi"/>
            <w:b w:val="0"/>
            <w:bCs w:val="0"/>
            <w:i/>
            <w:iCs/>
            <w:noProof/>
            <w:webHidden/>
            <w:sz w:val="24"/>
          </w:rPr>
          <w:fldChar w:fldCharType="begin"/>
        </w:r>
        <w:r w:rsidRPr="006B3495">
          <w:rPr>
            <w:rFonts w:asciiTheme="majorBidi" w:hAnsiTheme="majorBidi" w:cstheme="majorBidi"/>
            <w:b w:val="0"/>
            <w:bCs w:val="0"/>
            <w:i/>
            <w:iCs/>
            <w:noProof/>
            <w:webHidden/>
            <w:sz w:val="24"/>
          </w:rPr>
          <w:instrText xml:space="preserve"> PAGEREF _Toc170299119 \h </w:instrText>
        </w:r>
        <w:r w:rsidRPr="006B3495">
          <w:rPr>
            <w:rFonts w:asciiTheme="majorBidi" w:hAnsiTheme="majorBidi" w:cstheme="majorBidi"/>
            <w:b w:val="0"/>
            <w:bCs w:val="0"/>
            <w:i/>
            <w:iCs/>
            <w:noProof/>
            <w:webHidden/>
            <w:sz w:val="24"/>
          </w:rPr>
        </w:r>
        <w:r w:rsidRPr="006B3495">
          <w:rPr>
            <w:rFonts w:asciiTheme="majorBidi" w:hAnsiTheme="majorBidi" w:cstheme="majorBidi"/>
            <w:b w:val="0"/>
            <w:bCs w:val="0"/>
            <w:i/>
            <w:iCs/>
            <w:noProof/>
            <w:webHidden/>
            <w:sz w:val="24"/>
          </w:rPr>
          <w:fldChar w:fldCharType="separate"/>
        </w:r>
        <w:r w:rsidR="00F30E48">
          <w:rPr>
            <w:rFonts w:asciiTheme="majorBidi" w:hAnsiTheme="majorBidi" w:cstheme="majorBidi"/>
            <w:b w:val="0"/>
            <w:bCs w:val="0"/>
            <w:i/>
            <w:iCs/>
            <w:noProof/>
            <w:webHidden/>
            <w:sz w:val="24"/>
          </w:rPr>
          <w:t>43</w:t>
        </w:r>
        <w:r w:rsidRPr="006B3495">
          <w:rPr>
            <w:rFonts w:asciiTheme="majorBidi" w:hAnsiTheme="majorBidi" w:cstheme="majorBidi"/>
            <w:b w:val="0"/>
            <w:bCs w:val="0"/>
            <w:i/>
            <w:iCs/>
            <w:noProof/>
            <w:webHidden/>
            <w:sz w:val="24"/>
          </w:rPr>
          <w:fldChar w:fldCharType="end"/>
        </w:r>
      </w:hyperlink>
    </w:p>
    <w:p w14:paraId="7C952DE7" w14:textId="3A7F6681" w:rsidR="001F68F1" w:rsidRPr="006B3495" w:rsidRDefault="001F68F1" w:rsidP="001F68F1">
      <w:pPr>
        <w:pStyle w:val="TableofFigures"/>
        <w:tabs>
          <w:tab w:val="right" w:leader="dot" w:pos="8494"/>
        </w:tabs>
        <w:spacing w:after="240" w:line="360" w:lineRule="auto"/>
        <w:rPr>
          <w:rFonts w:asciiTheme="majorBidi" w:eastAsiaTheme="minorEastAsia" w:hAnsiTheme="majorBidi" w:cstheme="majorBidi"/>
          <w:b w:val="0"/>
          <w:bCs w:val="0"/>
          <w:i/>
          <w:iCs/>
          <w:noProof/>
          <w:sz w:val="24"/>
          <w:lang w:eastAsia="en-GB"/>
        </w:rPr>
      </w:pPr>
      <w:hyperlink w:anchor="_Toc170299120" w:history="1">
        <w:r w:rsidRPr="006B3495">
          <w:rPr>
            <w:rStyle w:val="Hyperlink"/>
            <w:rFonts w:asciiTheme="majorBidi" w:hAnsiTheme="majorBidi" w:cstheme="majorBidi"/>
            <w:b w:val="0"/>
            <w:bCs w:val="0"/>
            <w:i/>
            <w:iCs/>
            <w:noProof/>
            <w:color w:val="auto"/>
            <w:sz w:val="24"/>
          </w:rPr>
          <w:t xml:space="preserve">Table 5 </w:t>
        </w:r>
      </w:hyperlink>
      <w:hyperlink w:anchor="_Toc170299121" w:history="1">
        <w:r w:rsidRPr="006B3495">
          <w:rPr>
            <w:rStyle w:val="Hyperlink"/>
            <w:rFonts w:asciiTheme="majorBidi" w:hAnsiTheme="majorBidi" w:cstheme="majorBidi"/>
            <w:b w:val="0"/>
            <w:bCs w:val="0"/>
            <w:i/>
            <w:iCs/>
            <w:noProof/>
            <w:color w:val="auto"/>
            <w:sz w:val="24"/>
          </w:rPr>
          <w:t>Distribution of participants according to complications after procedure.</w:t>
        </w:r>
        <w:r w:rsidRPr="006B3495">
          <w:rPr>
            <w:rFonts w:asciiTheme="majorBidi" w:hAnsiTheme="majorBidi" w:cstheme="majorBidi"/>
            <w:b w:val="0"/>
            <w:bCs w:val="0"/>
            <w:i/>
            <w:iCs/>
            <w:noProof/>
            <w:webHidden/>
            <w:sz w:val="24"/>
          </w:rPr>
          <w:tab/>
        </w:r>
        <w:r w:rsidRPr="006B3495">
          <w:rPr>
            <w:rFonts w:asciiTheme="majorBidi" w:hAnsiTheme="majorBidi" w:cstheme="majorBidi"/>
            <w:b w:val="0"/>
            <w:bCs w:val="0"/>
            <w:i/>
            <w:iCs/>
            <w:noProof/>
            <w:webHidden/>
            <w:sz w:val="24"/>
          </w:rPr>
          <w:fldChar w:fldCharType="begin"/>
        </w:r>
        <w:r w:rsidRPr="006B3495">
          <w:rPr>
            <w:rFonts w:asciiTheme="majorBidi" w:hAnsiTheme="majorBidi" w:cstheme="majorBidi"/>
            <w:b w:val="0"/>
            <w:bCs w:val="0"/>
            <w:i/>
            <w:iCs/>
            <w:noProof/>
            <w:webHidden/>
            <w:sz w:val="24"/>
          </w:rPr>
          <w:instrText xml:space="preserve"> PAGEREF _Toc170299121 \h </w:instrText>
        </w:r>
        <w:r w:rsidRPr="006B3495">
          <w:rPr>
            <w:rFonts w:asciiTheme="majorBidi" w:hAnsiTheme="majorBidi" w:cstheme="majorBidi"/>
            <w:b w:val="0"/>
            <w:bCs w:val="0"/>
            <w:i/>
            <w:iCs/>
            <w:noProof/>
            <w:webHidden/>
            <w:sz w:val="24"/>
          </w:rPr>
        </w:r>
        <w:r w:rsidRPr="006B3495">
          <w:rPr>
            <w:rFonts w:asciiTheme="majorBidi" w:hAnsiTheme="majorBidi" w:cstheme="majorBidi"/>
            <w:b w:val="0"/>
            <w:bCs w:val="0"/>
            <w:i/>
            <w:iCs/>
            <w:noProof/>
            <w:webHidden/>
            <w:sz w:val="24"/>
          </w:rPr>
          <w:fldChar w:fldCharType="separate"/>
        </w:r>
        <w:r w:rsidR="00F30E48">
          <w:rPr>
            <w:rFonts w:asciiTheme="majorBidi" w:hAnsiTheme="majorBidi" w:cstheme="majorBidi"/>
            <w:b w:val="0"/>
            <w:bCs w:val="0"/>
            <w:i/>
            <w:iCs/>
            <w:noProof/>
            <w:webHidden/>
            <w:sz w:val="24"/>
          </w:rPr>
          <w:t>45</w:t>
        </w:r>
        <w:r w:rsidRPr="006B3495">
          <w:rPr>
            <w:rFonts w:asciiTheme="majorBidi" w:hAnsiTheme="majorBidi" w:cstheme="majorBidi"/>
            <w:b w:val="0"/>
            <w:bCs w:val="0"/>
            <w:i/>
            <w:iCs/>
            <w:noProof/>
            <w:webHidden/>
            <w:sz w:val="24"/>
          </w:rPr>
          <w:fldChar w:fldCharType="end"/>
        </w:r>
      </w:hyperlink>
    </w:p>
    <w:p w14:paraId="15029CCD" w14:textId="5D95C9C6" w:rsidR="001F68F1" w:rsidRPr="006B3495" w:rsidRDefault="001F68F1" w:rsidP="001E7B02">
      <w:pPr>
        <w:pStyle w:val="TableofFigures"/>
        <w:tabs>
          <w:tab w:val="right" w:leader="dot" w:pos="8494"/>
        </w:tabs>
        <w:spacing w:after="240" w:line="360" w:lineRule="auto"/>
        <w:ind w:left="0" w:firstLine="0"/>
        <w:jc w:val="both"/>
        <w:rPr>
          <w:rFonts w:asciiTheme="majorBidi" w:eastAsia="Times New Roman" w:hAnsiTheme="majorBidi" w:cstheme="majorBidi"/>
          <w:w w:val="110"/>
          <w:sz w:val="24"/>
        </w:rPr>
      </w:pPr>
      <w:r w:rsidRPr="006B3495">
        <w:rPr>
          <w:rStyle w:val="Hyperlink"/>
          <w:rFonts w:asciiTheme="majorBidi" w:hAnsiTheme="majorBidi" w:cstheme="majorBidi"/>
          <w:b w:val="0"/>
          <w:bCs w:val="0"/>
          <w:i/>
          <w:iCs/>
          <w:color w:val="auto"/>
          <w:sz w:val="24"/>
          <w:u w:val="none"/>
        </w:rPr>
        <w:fldChar w:fldCharType="end"/>
      </w:r>
      <w:bookmarkStart w:id="16" w:name="_Toc90472901"/>
      <w:r w:rsidRPr="006B3495">
        <w:rPr>
          <w:rFonts w:asciiTheme="majorBidi" w:hAnsiTheme="majorBidi" w:cstheme="majorBidi"/>
          <w:sz w:val="24"/>
        </w:rPr>
        <w:t>List of Figures</w:t>
      </w:r>
      <w:bookmarkEnd w:id="16"/>
      <w:r w:rsidRPr="006B3495">
        <w:rPr>
          <w:rFonts w:asciiTheme="majorBidi" w:hAnsiTheme="majorBidi" w:cstheme="majorBidi"/>
          <w:sz w:val="24"/>
        </w:rPr>
        <w:t xml:space="preserve">    </w:t>
      </w:r>
    </w:p>
    <w:p w14:paraId="3183EE10" w14:textId="5024980A" w:rsidR="00A02D95" w:rsidRPr="00A02D95" w:rsidRDefault="001F68F1" w:rsidP="00A02D95">
      <w:pPr>
        <w:pStyle w:val="TableofFigures"/>
        <w:tabs>
          <w:tab w:val="right" w:leader="dot" w:pos="8494"/>
        </w:tabs>
        <w:rPr>
          <w:rFonts w:asciiTheme="majorBidi" w:eastAsiaTheme="minorEastAsia" w:hAnsiTheme="majorBidi" w:cstheme="majorBidi"/>
          <w:b w:val="0"/>
          <w:bCs w:val="0"/>
          <w:noProof/>
          <w:kern w:val="2"/>
          <w:sz w:val="24"/>
          <w:lang w:eastAsia="en-GB"/>
          <w14:ligatures w14:val="standardContextual"/>
        </w:rPr>
      </w:pPr>
      <w:r w:rsidRPr="00A02D95">
        <w:rPr>
          <w:rFonts w:asciiTheme="majorBidi" w:hAnsiTheme="majorBidi" w:cstheme="majorBidi"/>
          <w:sz w:val="24"/>
        </w:rPr>
        <w:fldChar w:fldCharType="begin"/>
      </w:r>
      <w:r w:rsidRPr="00A02D95">
        <w:rPr>
          <w:rFonts w:asciiTheme="majorBidi" w:hAnsiTheme="majorBidi" w:cstheme="majorBidi"/>
          <w:sz w:val="24"/>
        </w:rPr>
        <w:instrText xml:space="preserve"> TOC \t "fig" \c </w:instrText>
      </w:r>
      <w:r w:rsidRPr="00A02D95">
        <w:rPr>
          <w:rFonts w:asciiTheme="majorBidi" w:hAnsiTheme="majorBidi" w:cstheme="majorBidi"/>
          <w:sz w:val="24"/>
        </w:rPr>
        <w:fldChar w:fldCharType="separate"/>
      </w:r>
      <w:r w:rsidR="00A02D95" w:rsidRPr="00A02D95">
        <w:rPr>
          <w:rFonts w:asciiTheme="majorBidi" w:hAnsiTheme="majorBidi" w:cstheme="majorBidi"/>
          <w:noProof/>
          <w:sz w:val="24"/>
        </w:rPr>
        <w:t xml:space="preserve">Figure 1 </w:t>
      </w:r>
      <w:r w:rsidR="00A02D95" w:rsidRPr="00A02D95">
        <w:rPr>
          <w:rFonts w:asciiTheme="majorBidi" w:hAnsiTheme="majorBidi" w:cstheme="majorBidi"/>
          <w:b w:val="0"/>
          <w:bCs w:val="0"/>
          <w:i/>
          <w:iCs/>
          <w:noProof/>
          <w:sz w:val="24"/>
        </w:rPr>
        <w:t>Sample size and power.</w:t>
      </w:r>
      <w:r w:rsidR="00A02D95" w:rsidRPr="00A02D95">
        <w:rPr>
          <w:rFonts w:asciiTheme="majorBidi" w:hAnsiTheme="majorBidi" w:cstheme="majorBidi"/>
          <w:b w:val="0"/>
          <w:bCs w:val="0"/>
          <w:noProof/>
          <w:sz w:val="24"/>
        </w:rPr>
        <w:tab/>
      </w:r>
      <w:r w:rsidR="00A02D95" w:rsidRPr="00A02D95">
        <w:rPr>
          <w:rFonts w:asciiTheme="majorBidi" w:hAnsiTheme="majorBidi" w:cstheme="majorBidi"/>
          <w:b w:val="0"/>
          <w:bCs w:val="0"/>
          <w:noProof/>
          <w:sz w:val="24"/>
        </w:rPr>
        <w:fldChar w:fldCharType="begin"/>
      </w:r>
      <w:r w:rsidR="00A02D95" w:rsidRPr="00A02D95">
        <w:rPr>
          <w:rFonts w:asciiTheme="majorBidi" w:hAnsiTheme="majorBidi" w:cstheme="majorBidi"/>
          <w:b w:val="0"/>
          <w:bCs w:val="0"/>
          <w:noProof/>
          <w:sz w:val="24"/>
        </w:rPr>
        <w:instrText xml:space="preserve"> PAGEREF _Toc212871439 \h </w:instrText>
      </w:r>
      <w:r w:rsidR="00A02D95" w:rsidRPr="00A02D95">
        <w:rPr>
          <w:rFonts w:asciiTheme="majorBidi" w:hAnsiTheme="majorBidi" w:cstheme="majorBidi"/>
          <w:b w:val="0"/>
          <w:bCs w:val="0"/>
          <w:noProof/>
          <w:sz w:val="24"/>
        </w:rPr>
      </w:r>
      <w:r w:rsidR="00A02D95" w:rsidRPr="00A02D95">
        <w:rPr>
          <w:rFonts w:asciiTheme="majorBidi" w:hAnsiTheme="majorBidi" w:cstheme="majorBidi"/>
          <w:b w:val="0"/>
          <w:bCs w:val="0"/>
          <w:noProof/>
          <w:sz w:val="24"/>
        </w:rPr>
        <w:fldChar w:fldCharType="separate"/>
      </w:r>
      <w:r w:rsidR="00F30E48">
        <w:rPr>
          <w:rFonts w:asciiTheme="majorBidi" w:hAnsiTheme="majorBidi" w:cstheme="majorBidi"/>
          <w:b w:val="0"/>
          <w:bCs w:val="0"/>
          <w:noProof/>
          <w:sz w:val="24"/>
        </w:rPr>
        <w:t>28</w:t>
      </w:r>
      <w:r w:rsidR="00A02D95" w:rsidRPr="00A02D95">
        <w:rPr>
          <w:rFonts w:asciiTheme="majorBidi" w:hAnsiTheme="majorBidi" w:cstheme="majorBidi"/>
          <w:b w:val="0"/>
          <w:bCs w:val="0"/>
          <w:noProof/>
          <w:sz w:val="24"/>
        </w:rPr>
        <w:fldChar w:fldCharType="end"/>
      </w:r>
    </w:p>
    <w:p w14:paraId="75224905" w14:textId="2D50AFF5" w:rsidR="001F68F1" w:rsidRPr="006B3495" w:rsidRDefault="001F68F1" w:rsidP="001F68F1">
      <w:pPr>
        <w:spacing w:after="240" w:line="360" w:lineRule="auto"/>
        <w:jc w:val="both"/>
        <w:rPr>
          <w:b/>
          <w:bCs/>
          <w:sz w:val="28"/>
        </w:rPr>
      </w:pPr>
      <w:r w:rsidRPr="00A02D95">
        <w:rPr>
          <w:rFonts w:asciiTheme="majorBidi" w:hAnsiTheme="majorBidi" w:cstheme="majorBidi"/>
          <w:sz w:val="24"/>
          <w:szCs w:val="24"/>
        </w:rPr>
        <w:fldChar w:fldCharType="end"/>
      </w:r>
      <w:r w:rsidRPr="006B3495">
        <w:rPr>
          <w:rFonts w:asciiTheme="majorBidi" w:hAnsiTheme="majorBidi" w:cstheme="majorBidi"/>
          <w:sz w:val="28"/>
          <w:szCs w:val="28"/>
        </w:rPr>
        <w:fldChar w:fldCharType="begin"/>
      </w:r>
      <w:r w:rsidRPr="006B3495">
        <w:rPr>
          <w:rFonts w:asciiTheme="majorBidi" w:hAnsiTheme="majorBidi" w:cstheme="majorBidi"/>
          <w:sz w:val="28"/>
          <w:szCs w:val="28"/>
        </w:rPr>
        <w:instrText xml:space="preserve"> TOC \c "Figure" </w:instrText>
      </w:r>
      <w:r w:rsidRPr="006B3495">
        <w:rPr>
          <w:rFonts w:asciiTheme="majorBidi" w:hAnsiTheme="majorBidi" w:cstheme="majorBidi"/>
          <w:sz w:val="28"/>
          <w:szCs w:val="28"/>
        </w:rPr>
        <w:fldChar w:fldCharType="end"/>
      </w:r>
      <w:r w:rsidRPr="006B3495">
        <w:fldChar w:fldCharType="begin"/>
      </w:r>
      <w:r w:rsidRPr="006B3495">
        <w:instrText xml:space="preserve"> TOC \a "Figure" </w:instrText>
      </w:r>
      <w:r w:rsidRPr="006B3495">
        <w:fldChar w:fldCharType="end"/>
      </w:r>
      <w:bookmarkStart w:id="17" w:name="_Toc90472902"/>
    </w:p>
    <w:p w14:paraId="3F58312A" w14:textId="77777777" w:rsidR="001F68F1" w:rsidRPr="006B3495" w:rsidRDefault="001F68F1" w:rsidP="00A11B6B">
      <w:pPr>
        <w:pStyle w:val="a"/>
        <w:rPr>
          <w:noProof/>
        </w:rPr>
      </w:pPr>
      <w:bookmarkStart w:id="18" w:name="_Toc212871498"/>
      <w:bookmarkEnd w:id="17"/>
      <w:r w:rsidRPr="006B3495">
        <w:t>List of Appendices</w:t>
      </w:r>
      <w:bookmarkEnd w:id="18"/>
      <w:r w:rsidRPr="006B3495">
        <w:rPr>
          <w:sz w:val="28"/>
          <w:szCs w:val="62"/>
        </w:rPr>
        <w:fldChar w:fldCharType="begin"/>
      </w:r>
      <w:r w:rsidRPr="006B3495">
        <w:instrText xml:space="preserve"> TOC \h \z \c "Appendix " </w:instrText>
      </w:r>
      <w:r w:rsidRPr="006B3495">
        <w:rPr>
          <w:sz w:val="28"/>
          <w:szCs w:val="62"/>
        </w:rPr>
        <w:fldChar w:fldCharType="separate"/>
      </w:r>
    </w:p>
    <w:p w14:paraId="3562E4E9" w14:textId="6BAF2768" w:rsidR="001F68F1" w:rsidRPr="006B3495" w:rsidRDefault="001F68F1" w:rsidP="001F68F1">
      <w:pPr>
        <w:pStyle w:val="TableofFigures"/>
        <w:tabs>
          <w:tab w:val="right" w:leader="dot" w:pos="8494"/>
        </w:tabs>
        <w:rPr>
          <w:rFonts w:asciiTheme="majorBidi" w:eastAsiaTheme="minorEastAsia" w:hAnsiTheme="majorBidi" w:cstheme="majorBidi"/>
          <w:b w:val="0"/>
          <w:bCs w:val="0"/>
          <w:noProof/>
          <w:kern w:val="2"/>
          <w:sz w:val="24"/>
          <w:lang w:eastAsia="en-GB"/>
          <w14:ligatures w14:val="standardContextual"/>
        </w:rPr>
      </w:pPr>
      <w:hyperlink w:anchor="_Toc184180603" w:history="1">
        <w:r w:rsidRPr="006B3495">
          <w:rPr>
            <w:rStyle w:val="Hyperlink"/>
            <w:rFonts w:asciiTheme="majorBidi" w:hAnsiTheme="majorBidi" w:cstheme="majorBidi"/>
            <w:b w:val="0"/>
            <w:bCs w:val="0"/>
            <w:noProof/>
            <w:color w:val="auto"/>
            <w:sz w:val="24"/>
          </w:rPr>
          <w:t xml:space="preserve">Appendix  A: </w:t>
        </w:r>
        <w:r w:rsidRPr="006B3495">
          <w:rPr>
            <w:rStyle w:val="Hyperlink"/>
            <w:rFonts w:asciiTheme="majorBidi" w:hAnsiTheme="majorBidi" w:cstheme="majorBidi"/>
            <w:b w:val="0"/>
            <w:bCs w:val="0"/>
            <w:i/>
            <w:iCs/>
            <w:noProof/>
            <w:color w:val="auto"/>
            <w:sz w:val="24"/>
          </w:rPr>
          <w:t>Study tool (questionnaire)</w:t>
        </w:r>
        <w:r w:rsidRPr="006B3495">
          <w:rPr>
            <w:rFonts w:asciiTheme="majorBidi" w:hAnsiTheme="majorBidi" w:cstheme="majorBidi"/>
            <w:b w:val="0"/>
            <w:bCs w:val="0"/>
            <w:noProof/>
            <w:webHidden/>
            <w:sz w:val="24"/>
          </w:rPr>
          <w:tab/>
        </w:r>
        <w:r w:rsidRPr="006B3495">
          <w:rPr>
            <w:rFonts w:asciiTheme="majorBidi" w:hAnsiTheme="majorBidi" w:cstheme="majorBidi"/>
            <w:b w:val="0"/>
            <w:bCs w:val="0"/>
            <w:noProof/>
            <w:webHidden/>
            <w:sz w:val="24"/>
          </w:rPr>
          <w:fldChar w:fldCharType="begin"/>
        </w:r>
        <w:r w:rsidRPr="006B3495">
          <w:rPr>
            <w:rFonts w:asciiTheme="majorBidi" w:hAnsiTheme="majorBidi" w:cstheme="majorBidi"/>
            <w:b w:val="0"/>
            <w:bCs w:val="0"/>
            <w:noProof/>
            <w:webHidden/>
            <w:sz w:val="24"/>
          </w:rPr>
          <w:instrText xml:space="preserve"> PAGEREF _Toc184180603 \h </w:instrText>
        </w:r>
        <w:r w:rsidRPr="006B3495">
          <w:rPr>
            <w:rFonts w:asciiTheme="majorBidi" w:hAnsiTheme="majorBidi" w:cstheme="majorBidi"/>
            <w:b w:val="0"/>
            <w:bCs w:val="0"/>
            <w:noProof/>
            <w:webHidden/>
            <w:sz w:val="24"/>
          </w:rPr>
        </w:r>
        <w:r w:rsidRPr="006B3495">
          <w:rPr>
            <w:rFonts w:asciiTheme="majorBidi" w:hAnsiTheme="majorBidi" w:cstheme="majorBidi"/>
            <w:b w:val="0"/>
            <w:bCs w:val="0"/>
            <w:noProof/>
            <w:webHidden/>
            <w:sz w:val="24"/>
          </w:rPr>
          <w:fldChar w:fldCharType="separate"/>
        </w:r>
        <w:r w:rsidR="00F30E48">
          <w:rPr>
            <w:rFonts w:asciiTheme="majorBidi" w:hAnsiTheme="majorBidi" w:cstheme="majorBidi"/>
            <w:b w:val="0"/>
            <w:bCs w:val="0"/>
            <w:noProof/>
            <w:webHidden/>
            <w:sz w:val="24"/>
          </w:rPr>
          <w:t>67</w:t>
        </w:r>
        <w:r w:rsidRPr="006B3495">
          <w:rPr>
            <w:rFonts w:asciiTheme="majorBidi" w:hAnsiTheme="majorBidi" w:cstheme="majorBidi"/>
            <w:b w:val="0"/>
            <w:bCs w:val="0"/>
            <w:noProof/>
            <w:webHidden/>
            <w:sz w:val="24"/>
          </w:rPr>
          <w:fldChar w:fldCharType="end"/>
        </w:r>
      </w:hyperlink>
    </w:p>
    <w:p w14:paraId="2DF49184" w14:textId="77777777" w:rsidR="001F68F1" w:rsidRPr="006B3495" w:rsidRDefault="001F68F1" w:rsidP="001F68F1">
      <w:pPr>
        <w:pStyle w:val="NormalWeb"/>
        <w:jc w:val="center"/>
        <w:rPr>
          <w:rFonts w:asciiTheme="majorBidi" w:hAnsiTheme="majorBidi" w:cstheme="majorBidi"/>
          <w:rtl/>
        </w:rPr>
      </w:pPr>
      <w:r w:rsidRPr="006B3495">
        <w:rPr>
          <w:rFonts w:asciiTheme="majorBidi" w:hAnsiTheme="majorBidi" w:cstheme="majorBidi"/>
        </w:rPr>
        <w:fldChar w:fldCharType="end"/>
      </w:r>
    </w:p>
    <w:p w14:paraId="1A7F4AC0" w14:textId="77777777" w:rsidR="001F68F1" w:rsidRPr="006B3495" w:rsidRDefault="001F68F1" w:rsidP="001F68F1">
      <w:pPr>
        <w:pStyle w:val="NormalWeb"/>
        <w:jc w:val="center"/>
        <w:rPr>
          <w:rFonts w:asciiTheme="majorBidi" w:hAnsiTheme="majorBidi" w:cstheme="majorBidi"/>
          <w:rtl/>
        </w:rPr>
      </w:pPr>
    </w:p>
    <w:p w14:paraId="20635A67" w14:textId="77777777" w:rsidR="001F68F1" w:rsidRPr="006B3495" w:rsidRDefault="001F68F1" w:rsidP="001F68F1">
      <w:pPr>
        <w:pStyle w:val="NormalWeb"/>
        <w:jc w:val="center"/>
        <w:rPr>
          <w:rFonts w:asciiTheme="majorBidi" w:hAnsiTheme="majorBidi" w:cstheme="majorBidi"/>
          <w:rtl/>
        </w:rPr>
      </w:pPr>
    </w:p>
    <w:p w14:paraId="1E8FF32B" w14:textId="77777777" w:rsidR="001F68F1" w:rsidRPr="006B3495" w:rsidRDefault="001F68F1" w:rsidP="001F68F1">
      <w:pPr>
        <w:pStyle w:val="NormalWeb"/>
        <w:jc w:val="center"/>
        <w:rPr>
          <w:rFonts w:asciiTheme="majorBidi" w:hAnsiTheme="majorBidi" w:cstheme="majorBidi"/>
        </w:rPr>
      </w:pPr>
    </w:p>
    <w:p w14:paraId="4A941B7B" w14:textId="77777777" w:rsidR="005B20DE" w:rsidRPr="006B3495" w:rsidRDefault="005B20DE" w:rsidP="001F68F1">
      <w:pPr>
        <w:pStyle w:val="NormalWeb"/>
        <w:jc w:val="center"/>
        <w:rPr>
          <w:rFonts w:asciiTheme="majorBidi" w:hAnsiTheme="majorBidi" w:cstheme="majorBidi"/>
        </w:rPr>
      </w:pPr>
    </w:p>
    <w:p w14:paraId="2EEF102E" w14:textId="77777777" w:rsidR="005B20DE" w:rsidRPr="006B3495" w:rsidRDefault="005B20DE" w:rsidP="001F68F1">
      <w:pPr>
        <w:pStyle w:val="NormalWeb"/>
        <w:jc w:val="center"/>
        <w:rPr>
          <w:rFonts w:asciiTheme="majorBidi" w:hAnsiTheme="majorBidi" w:cstheme="majorBidi"/>
          <w:rtl/>
        </w:rPr>
      </w:pPr>
    </w:p>
    <w:p w14:paraId="0A6CC3E9" w14:textId="77777777" w:rsidR="00EC74E8" w:rsidRPr="006B3495" w:rsidRDefault="00EC74E8" w:rsidP="008209D3">
      <w:pPr>
        <w:spacing w:after="0" w:line="240" w:lineRule="auto"/>
        <w:rPr>
          <w:rFonts w:ascii="Times New Roman" w:hAnsi="Times New Roman" w:cs="Times New Roman"/>
          <w:b/>
          <w:bCs/>
          <w:w w:val="110"/>
          <w:sz w:val="28"/>
          <w:szCs w:val="28"/>
        </w:rPr>
      </w:pPr>
    </w:p>
    <w:p w14:paraId="3F59871E" w14:textId="77777777" w:rsidR="00F30E48" w:rsidRDefault="00F30E48">
      <w:pPr>
        <w:rPr>
          <w:rFonts w:ascii="Times New Roman" w:eastAsia="Times New Roman" w:hAnsi="Times New Roman" w:cs="Times New Roman"/>
          <w:b/>
          <w:bCs/>
          <w:w w:val="110"/>
          <w:sz w:val="28"/>
          <w:szCs w:val="28"/>
        </w:rPr>
      </w:pPr>
      <w:bookmarkStart w:id="19" w:name="_Toc212871499"/>
      <w:r>
        <w:rPr>
          <w:sz w:val="28"/>
          <w:szCs w:val="28"/>
        </w:rPr>
        <w:br w:type="page"/>
      </w:r>
    </w:p>
    <w:p w14:paraId="09A485C2" w14:textId="139E6A1D" w:rsidR="00EC74E8" w:rsidRPr="006B3495" w:rsidRDefault="00EC231F" w:rsidP="00EC74E8">
      <w:pPr>
        <w:pStyle w:val="Heading1"/>
        <w:spacing w:before="0" w:after="240" w:line="360" w:lineRule="auto"/>
        <w:rPr>
          <w:color w:val="auto"/>
          <w:sz w:val="28"/>
          <w:szCs w:val="28"/>
        </w:rPr>
      </w:pPr>
      <w:r w:rsidRPr="006B3495">
        <w:rPr>
          <w:color w:val="auto"/>
          <w:sz w:val="28"/>
          <w:szCs w:val="28"/>
        </w:rPr>
        <w:lastRenderedPageBreak/>
        <w:t>Abstract</w:t>
      </w:r>
      <w:bookmarkEnd w:id="19"/>
    </w:p>
    <w:p w14:paraId="07AC1B3A" w14:textId="5C6099DB" w:rsidR="00EC74E8" w:rsidRPr="006B3495" w:rsidRDefault="00EC74E8" w:rsidP="00665AD7">
      <w:pPr>
        <w:spacing w:after="240" w:line="480" w:lineRule="auto"/>
        <w:jc w:val="both"/>
        <w:rPr>
          <w:rFonts w:asciiTheme="majorBidi" w:hAnsiTheme="majorBidi" w:cstheme="majorBidi"/>
          <w:sz w:val="24"/>
          <w:szCs w:val="24"/>
        </w:rPr>
      </w:pPr>
      <w:bookmarkStart w:id="20" w:name="_Hlk45341717"/>
      <w:r w:rsidRPr="006B3495">
        <w:rPr>
          <w:rFonts w:asciiTheme="majorBidi" w:hAnsiTheme="majorBidi" w:cstheme="majorBidi"/>
          <w:b/>
          <w:bCs/>
          <w:sz w:val="24"/>
          <w:szCs w:val="24"/>
        </w:rPr>
        <w:t>Background:</w:t>
      </w:r>
      <w:r w:rsidRPr="006B3495">
        <w:rPr>
          <w:rFonts w:asciiTheme="majorBidi" w:hAnsiTheme="majorBidi" w:cstheme="majorBidi"/>
          <w:sz w:val="24"/>
          <w:szCs w:val="24"/>
        </w:rPr>
        <w:t xml:space="preserve"> Arterial access is a significant site of </w:t>
      </w:r>
      <w:r w:rsidR="005B7B3A" w:rsidRPr="006B3495">
        <w:rPr>
          <w:rFonts w:asciiTheme="majorBidi" w:hAnsiTheme="majorBidi" w:cstheme="majorBidi"/>
          <w:sz w:val="24"/>
          <w:szCs w:val="24"/>
        </w:rPr>
        <w:t>haemorrhagic</w:t>
      </w:r>
      <w:r w:rsidRPr="006B3495">
        <w:rPr>
          <w:rFonts w:asciiTheme="majorBidi" w:hAnsiTheme="majorBidi" w:cstheme="majorBidi"/>
          <w:sz w:val="24"/>
          <w:szCs w:val="24"/>
        </w:rPr>
        <w:t xml:space="preserve"> complications following invasive coronary interventions. The radial approach is a recognised strategy for reducing vascular complications. Vascular closure devices (VCD) enhance patient comfort and reduce hemostasis and the need for bed rest. Nonetheless, the lack of consistent data showing their safety limits their routine adoption as a method to avoid vascular complications.</w:t>
      </w:r>
    </w:p>
    <w:p w14:paraId="709D38F0" w14:textId="77777777"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b/>
          <w:bCs/>
          <w:sz w:val="24"/>
          <w:szCs w:val="24"/>
        </w:rPr>
        <w:t>Aim:</w:t>
      </w:r>
      <w:r w:rsidRPr="006B3495">
        <w:rPr>
          <w:rFonts w:asciiTheme="majorBidi" w:hAnsiTheme="majorBidi" w:cstheme="majorBidi"/>
          <w:sz w:val="24"/>
          <w:szCs w:val="24"/>
        </w:rPr>
        <w:t xml:space="preserve"> The study aimed to compare transradial access (TRA) and transfemoral access (TFA) using VCD for ease of operation, procedure time, vascular complications, ambulation time, and hospital length of stay (LOS) among Palestinian patients undergoing percutaneous coronary intervention (PCI).</w:t>
      </w:r>
    </w:p>
    <w:p w14:paraId="5A9E4A38" w14:textId="15411C3F"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b/>
          <w:bCs/>
          <w:sz w:val="24"/>
          <w:szCs w:val="24"/>
        </w:rPr>
        <w:t>Method:</w:t>
      </w:r>
      <w:r w:rsidRPr="006B3495">
        <w:rPr>
          <w:rFonts w:asciiTheme="majorBidi" w:hAnsiTheme="majorBidi" w:cstheme="majorBidi"/>
          <w:sz w:val="24"/>
          <w:szCs w:val="24"/>
        </w:rPr>
        <w:t xml:space="preserve"> A quantitative</w:t>
      </w:r>
      <w:r w:rsidR="005B7B3A" w:rsidRPr="006B3495">
        <w:rPr>
          <w:rFonts w:asciiTheme="majorBidi" w:hAnsiTheme="majorBidi" w:cstheme="majorBidi"/>
          <w:sz w:val="24"/>
          <w:szCs w:val="24"/>
        </w:rPr>
        <w:t>,</w:t>
      </w:r>
      <w:r w:rsidRPr="006B3495">
        <w:rPr>
          <w:rFonts w:asciiTheme="majorBidi" w:hAnsiTheme="majorBidi" w:cstheme="majorBidi"/>
          <w:sz w:val="24"/>
          <w:szCs w:val="24"/>
        </w:rPr>
        <w:t xml:space="preserve"> retrospective study design was used. The subjects in the current study were all patients admitted to the </w:t>
      </w:r>
      <w:r w:rsidR="003755A3">
        <w:rPr>
          <w:rFonts w:asciiTheme="majorBidi" w:hAnsiTheme="majorBidi" w:cstheme="majorBidi"/>
          <w:sz w:val="24"/>
          <w:szCs w:val="24"/>
        </w:rPr>
        <w:t>catheterisation</w:t>
      </w:r>
      <w:r w:rsidRPr="006B3495">
        <w:rPr>
          <w:rFonts w:asciiTheme="majorBidi" w:hAnsiTheme="majorBidi" w:cstheme="majorBidi"/>
          <w:sz w:val="24"/>
          <w:szCs w:val="24"/>
        </w:rPr>
        <w:t xml:space="preserve"> unit at An-Najah National University Hospital (NNUH) for PCI. The sample </w:t>
      </w:r>
      <w:r w:rsidR="006F76AE">
        <w:rPr>
          <w:rFonts w:asciiTheme="majorBidi" w:hAnsiTheme="majorBidi" w:cstheme="majorBidi"/>
          <w:sz w:val="24"/>
          <w:szCs w:val="24"/>
        </w:rPr>
        <w:t>was</w:t>
      </w:r>
      <w:r w:rsidRPr="006B3495">
        <w:rPr>
          <w:rFonts w:asciiTheme="majorBidi" w:hAnsiTheme="majorBidi" w:cstheme="majorBidi"/>
          <w:sz w:val="24"/>
          <w:szCs w:val="24"/>
        </w:rPr>
        <w:t xml:space="preserve"> 200 patients with PCI using the TRA or TFA using the VCD procedure. </w:t>
      </w:r>
    </w:p>
    <w:p w14:paraId="2C20C7E6" w14:textId="40D0A8B9" w:rsidR="008A16DF" w:rsidRPr="002E77A0" w:rsidRDefault="00EC74E8" w:rsidP="00394A97">
      <w:pPr>
        <w:spacing w:after="0" w:line="480" w:lineRule="auto"/>
        <w:jc w:val="both"/>
        <w:rPr>
          <w:rFonts w:ascii="Times New Roman" w:eastAsia="Times New Roman" w:hAnsi="Times New Roman" w:cs="Times New Roman"/>
          <w:sz w:val="24"/>
          <w:szCs w:val="14"/>
          <w:lang w:val="en-US"/>
        </w:rPr>
      </w:pPr>
      <w:r w:rsidRPr="002E77A0">
        <w:rPr>
          <w:rFonts w:asciiTheme="majorBidi" w:hAnsiTheme="majorBidi" w:cstheme="majorBidi"/>
          <w:b/>
          <w:bCs/>
          <w:sz w:val="24"/>
          <w:szCs w:val="24"/>
        </w:rPr>
        <w:t>Result</w:t>
      </w:r>
      <w:r w:rsidRPr="002E77A0">
        <w:rPr>
          <w:rFonts w:asciiTheme="majorBidi" w:hAnsiTheme="majorBidi" w:cstheme="majorBidi"/>
          <w:sz w:val="24"/>
          <w:szCs w:val="24"/>
        </w:rPr>
        <w:t xml:space="preserve">: </w:t>
      </w:r>
      <w:r w:rsidR="0058271C" w:rsidRPr="002E77A0">
        <w:rPr>
          <w:rFonts w:ascii="Times New Roman" w:eastAsia="+mn-ea" w:hAnsi="Times New Roman" w:cs="Times New Roman"/>
          <w:color w:val="000000"/>
          <w:kern w:val="24"/>
          <w:sz w:val="24"/>
          <w:szCs w:val="24"/>
          <w:highlight w:val="yellow"/>
          <w:lang w:val="en-US"/>
        </w:rPr>
        <w:t>The results showed the highest statistical significance in complications among TFA with CVD group compared to the TRA group for numbness (37.5% vs. 24.2%, P= 0.025*), soreness (15.8% vs. 5%, P= 0.006*), arterial occlusion (16.7% vs. 5.8%, P= 0.008*), , Arteriole us fistula (10.8% vs. 0.8%, P= 0.001*), compartment syndrome (15% vs. 0%, P= 0.000*), infection (15.8% vs. 2.5%, P= 0.000*), leg ischemia (14.2% vs. 0%, P= 0.000*), and pseudoaneurysm (10% vs. 0%, P= 0.000*), respectively. In contrast, the</w:t>
      </w:r>
      <w:r w:rsidR="00394A97">
        <w:rPr>
          <w:rFonts w:ascii="Times New Roman" w:eastAsia="+mn-ea" w:hAnsi="Times New Roman" w:cs="Times New Roman"/>
          <w:color w:val="000000"/>
          <w:kern w:val="24"/>
          <w:sz w:val="24"/>
          <w:szCs w:val="24"/>
          <w:highlight w:val="yellow"/>
          <w:lang w:val="en-US"/>
        </w:rPr>
        <w:t xml:space="preserve">re </w:t>
      </w:r>
      <w:proofErr w:type="gramStart"/>
      <w:r w:rsidR="00394A97">
        <w:rPr>
          <w:rFonts w:ascii="Times New Roman" w:eastAsia="+mn-ea" w:hAnsi="Times New Roman" w:cs="Times New Roman"/>
          <w:color w:val="000000"/>
          <w:kern w:val="24"/>
          <w:sz w:val="24"/>
          <w:szCs w:val="24"/>
          <w:highlight w:val="yellow"/>
          <w:lang w:val="en-US"/>
        </w:rPr>
        <w:t>is</w:t>
      </w:r>
      <w:proofErr w:type="gramEnd"/>
      <w:r w:rsidR="0058271C" w:rsidRPr="002E77A0">
        <w:rPr>
          <w:rFonts w:ascii="Times New Roman" w:eastAsia="+mn-ea" w:hAnsi="Times New Roman" w:cs="Times New Roman"/>
          <w:color w:val="000000"/>
          <w:kern w:val="24"/>
          <w:sz w:val="24"/>
          <w:szCs w:val="24"/>
          <w:highlight w:val="yellow"/>
          <w:lang w:val="en-US"/>
        </w:rPr>
        <w:t xml:space="preserve"> statistically significant complications among TFA with the CVD group compared to the TRA group for patient discomfort (26.7% vs. 41.7%, P= 0.014*). </w:t>
      </w:r>
      <w:r w:rsidR="00212183" w:rsidRPr="002E77A0">
        <w:rPr>
          <w:rFonts w:asciiTheme="majorBidi" w:hAnsiTheme="majorBidi" w:cstheme="majorBidi"/>
          <w:sz w:val="24"/>
          <w:szCs w:val="24"/>
          <w:highlight w:val="yellow"/>
        </w:rPr>
        <w:t xml:space="preserve">The </w:t>
      </w:r>
      <w:r w:rsidR="003025FE" w:rsidRPr="002E77A0">
        <w:rPr>
          <w:rFonts w:asciiTheme="majorBidi" w:hAnsiTheme="majorBidi" w:cstheme="majorBidi"/>
          <w:sz w:val="24"/>
          <w:szCs w:val="24"/>
          <w:highlight w:val="yellow"/>
        </w:rPr>
        <w:t xml:space="preserve">findings </w:t>
      </w:r>
      <w:r w:rsidR="00212183" w:rsidRPr="002E77A0">
        <w:rPr>
          <w:rFonts w:asciiTheme="majorBidi" w:hAnsiTheme="majorBidi" w:cstheme="majorBidi"/>
          <w:sz w:val="24"/>
          <w:szCs w:val="24"/>
          <w:highlight w:val="yellow"/>
        </w:rPr>
        <w:t>indicate</w:t>
      </w:r>
      <w:r w:rsidR="00880C33" w:rsidRPr="002E77A0">
        <w:rPr>
          <w:rFonts w:asciiTheme="majorBidi" w:hAnsiTheme="majorBidi" w:cstheme="majorBidi"/>
          <w:sz w:val="24"/>
          <w:szCs w:val="24"/>
          <w:highlight w:val="yellow"/>
        </w:rPr>
        <w:t>d</w:t>
      </w:r>
      <w:r w:rsidR="00212183" w:rsidRPr="002E77A0">
        <w:rPr>
          <w:rFonts w:asciiTheme="majorBidi" w:hAnsiTheme="majorBidi" w:cstheme="majorBidi"/>
          <w:sz w:val="24"/>
          <w:szCs w:val="24"/>
          <w:highlight w:val="yellow"/>
        </w:rPr>
        <w:t xml:space="preserve"> that the two groups' access site </w:t>
      </w:r>
      <w:r w:rsidR="00212183" w:rsidRPr="009B270C">
        <w:rPr>
          <w:rFonts w:asciiTheme="majorBidi" w:hAnsiTheme="majorBidi" w:cstheme="majorBidi"/>
          <w:sz w:val="24"/>
          <w:szCs w:val="24"/>
          <w:highlight w:val="yellow"/>
        </w:rPr>
        <w:t xml:space="preserve">pain was approximately similar, 55% vs. 58.3%, </w:t>
      </w:r>
      <w:r w:rsidR="00212183" w:rsidRPr="009B270C">
        <w:rPr>
          <w:rFonts w:asciiTheme="majorBidi" w:hAnsiTheme="majorBidi" w:cstheme="majorBidi"/>
          <w:sz w:val="24"/>
          <w:szCs w:val="24"/>
          <w:highlight w:val="yellow"/>
        </w:rPr>
        <w:lastRenderedPageBreak/>
        <w:t>respectively (P&gt;0.05)</w:t>
      </w:r>
      <w:r w:rsidR="008A16DF" w:rsidRPr="009B270C">
        <w:rPr>
          <w:rFonts w:asciiTheme="majorBidi" w:hAnsiTheme="majorBidi" w:cstheme="majorBidi"/>
          <w:sz w:val="24"/>
          <w:szCs w:val="24"/>
          <w:highlight w:val="yellow"/>
        </w:rPr>
        <w:t>.</w:t>
      </w:r>
      <w:r w:rsidR="0002708C" w:rsidRPr="009B270C">
        <w:rPr>
          <w:rFonts w:asciiTheme="majorBidi" w:hAnsiTheme="majorBidi" w:cstheme="majorBidi"/>
          <w:sz w:val="24"/>
          <w:szCs w:val="24"/>
          <w:highlight w:val="yellow"/>
        </w:rPr>
        <w:t xml:space="preserve"> Furthermore, time to ambulation was </w:t>
      </w:r>
      <w:r w:rsidR="004A5C67" w:rsidRPr="009B270C">
        <w:rPr>
          <w:rFonts w:asciiTheme="majorBidi" w:hAnsiTheme="majorBidi" w:cstheme="majorBidi"/>
          <w:sz w:val="24"/>
          <w:szCs w:val="24"/>
          <w:highlight w:val="yellow"/>
        </w:rPr>
        <w:t xml:space="preserve">not </w:t>
      </w:r>
      <w:r w:rsidR="0002708C" w:rsidRPr="009B270C">
        <w:rPr>
          <w:rFonts w:asciiTheme="majorBidi" w:hAnsiTheme="majorBidi" w:cstheme="majorBidi"/>
          <w:sz w:val="24"/>
          <w:szCs w:val="24"/>
          <w:highlight w:val="yellow"/>
        </w:rPr>
        <w:t xml:space="preserve">statistically significant among </w:t>
      </w:r>
      <w:r w:rsidR="007A22CA" w:rsidRPr="009B270C">
        <w:rPr>
          <w:rFonts w:asciiTheme="majorBidi" w:hAnsiTheme="majorBidi" w:cstheme="majorBidi"/>
          <w:sz w:val="24"/>
          <w:szCs w:val="24"/>
          <w:highlight w:val="yellow"/>
        </w:rPr>
        <w:t>the TFA</w:t>
      </w:r>
      <w:r w:rsidR="0002708C" w:rsidRPr="009B270C">
        <w:rPr>
          <w:rFonts w:asciiTheme="majorBidi" w:hAnsiTheme="majorBidi" w:cstheme="majorBidi"/>
          <w:sz w:val="24"/>
          <w:szCs w:val="24"/>
          <w:highlight w:val="yellow"/>
        </w:rPr>
        <w:t xml:space="preserve"> with </w:t>
      </w:r>
      <w:r w:rsidR="004B4B08" w:rsidRPr="009B270C">
        <w:rPr>
          <w:rFonts w:asciiTheme="majorBidi" w:hAnsiTheme="majorBidi" w:cstheme="majorBidi"/>
          <w:sz w:val="24"/>
          <w:szCs w:val="24"/>
          <w:highlight w:val="yellow"/>
        </w:rPr>
        <w:t xml:space="preserve">VCD </w:t>
      </w:r>
      <w:r w:rsidR="0002708C" w:rsidRPr="009B270C">
        <w:rPr>
          <w:rFonts w:asciiTheme="majorBidi" w:hAnsiTheme="majorBidi" w:cstheme="majorBidi"/>
          <w:sz w:val="24"/>
          <w:szCs w:val="24"/>
          <w:highlight w:val="yellow"/>
        </w:rPr>
        <w:t xml:space="preserve">group compared to </w:t>
      </w:r>
      <w:r w:rsidR="007A22CA" w:rsidRPr="009B270C">
        <w:rPr>
          <w:rFonts w:asciiTheme="majorBidi" w:hAnsiTheme="majorBidi" w:cstheme="majorBidi"/>
          <w:sz w:val="24"/>
          <w:szCs w:val="24"/>
          <w:highlight w:val="yellow"/>
        </w:rPr>
        <w:t>the TRA</w:t>
      </w:r>
      <w:r w:rsidR="0002708C" w:rsidRPr="009B270C">
        <w:rPr>
          <w:rFonts w:asciiTheme="majorBidi" w:hAnsiTheme="majorBidi" w:cstheme="majorBidi"/>
          <w:sz w:val="24"/>
          <w:szCs w:val="24"/>
          <w:highlight w:val="yellow"/>
        </w:rPr>
        <w:t xml:space="preserve"> (P</w:t>
      </w:r>
      <w:r w:rsidR="004A5C67" w:rsidRPr="009B270C">
        <w:rPr>
          <w:rFonts w:asciiTheme="majorBidi" w:hAnsiTheme="majorBidi" w:cstheme="majorBidi"/>
          <w:sz w:val="24"/>
          <w:szCs w:val="24"/>
          <w:highlight w:val="yellow"/>
        </w:rPr>
        <w:t>&gt;</w:t>
      </w:r>
      <w:r w:rsidR="0002708C" w:rsidRPr="009B270C">
        <w:rPr>
          <w:rFonts w:asciiTheme="majorBidi" w:hAnsiTheme="majorBidi" w:cstheme="majorBidi"/>
          <w:sz w:val="24"/>
          <w:szCs w:val="24"/>
          <w:highlight w:val="yellow"/>
        </w:rPr>
        <w:t>0.0</w:t>
      </w:r>
      <w:r w:rsidR="004A5C67" w:rsidRPr="009B270C">
        <w:rPr>
          <w:rFonts w:asciiTheme="majorBidi" w:hAnsiTheme="majorBidi" w:cstheme="majorBidi"/>
          <w:sz w:val="24"/>
          <w:szCs w:val="24"/>
          <w:highlight w:val="yellow"/>
        </w:rPr>
        <w:t>5</w:t>
      </w:r>
      <w:r w:rsidR="0002708C" w:rsidRPr="009B270C">
        <w:rPr>
          <w:rFonts w:asciiTheme="majorBidi" w:hAnsiTheme="majorBidi" w:cstheme="majorBidi"/>
          <w:sz w:val="24"/>
          <w:szCs w:val="24"/>
          <w:highlight w:val="yellow"/>
        </w:rPr>
        <w:t>).</w:t>
      </w:r>
    </w:p>
    <w:p w14:paraId="08B669D8" w14:textId="52E51369" w:rsidR="00DE360C" w:rsidRPr="006B3495" w:rsidRDefault="009254D1" w:rsidP="00DE360C">
      <w:pPr>
        <w:spacing w:after="240" w:line="480" w:lineRule="auto"/>
        <w:jc w:val="both"/>
        <w:rPr>
          <w:rFonts w:asciiTheme="majorBidi" w:hAnsiTheme="majorBidi" w:cstheme="majorBidi"/>
          <w:sz w:val="24"/>
          <w:szCs w:val="24"/>
        </w:rPr>
      </w:pPr>
      <w:r w:rsidRPr="006B3495">
        <w:rPr>
          <w:rFonts w:asciiTheme="majorBidi" w:hAnsiTheme="majorBidi" w:cstheme="majorBidi"/>
          <w:b/>
          <w:bCs/>
          <w:sz w:val="24"/>
          <w:szCs w:val="24"/>
        </w:rPr>
        <w:t>Conclusion:</w:t>
      </w:r>
      <w:r w:rsidRPr="006B3495">
        <w:rPr>
          <w:rFonts w:asciiTheme="majorBidi" w:hAnsiTheme="majorBidi" w:cstheme="majorBidi"/>
          <w:sz w:val="24"/>
          <w:szCs w:val="24"/>
        </w:rPr>
        <w:t xml:space="preserve"> TFA with VCD was associated with longer ambulation time and hospital LOS</w:t>
      </w:r>
      <w:r w:rsidR="00194BB9" w:rsidRPr="006B3495">
        <w:rPr>
          <w:rFonts w:asciiTheme="majorBidi" w:hAnsiTheme="majorBidi" w:cstheme="majorBidi"/>
          <w:sz w:val="24"/>
          <w:szCs w:val="24"/>
        </w:rPr>
        <w:t xml:space="preserve"> but shorter time</w:t>
      </w:r>
      <w:r w:rsidRPr="006B3495">
        <w:rPr>
          <w:rFonts w:asciiTheme="majorBidi" w:hAnsiTheme="majorBidi" w:cstheme="majorBidi"/>
          <w:sz w:val="24"/>
          <w:szCs w:val="24"/>
        </w:rPr>
        <w:t xml:space="preserve"> to hemostasis. Vascular complications such as arterial occlusion and leg ischemia were higher in the TFA with VCD compared to TRA, whil</w:t>
      </w:r>
      <w:r w:rsidR="003473EB" w:rsidRPr="006B3495">
        <w:rPr>
          <w:rFonts w:asciiTheme="majorBidi" w:hAnsiTheme="majorBidi" w:cstheme="majorBidi"/>
          <w:sz w:val="24"/>
          <w:szCs w:val="24"/>
        </w:rPr>
        <w:t>e patient discomfort was lower.</w:t>
      </w:r>
    </w:p>
    <w:p w14:paraId="153AB34D" w14:textId="3C4B5D3E" w:rsidR="009D0361" w:rsidRPr="006B3495" w:rsidRDefault="009D0361" w:rsidP="00665AD7">
      <w:pPr>
        <w:spacing w:after="240" w:line="480" w:lineRule="auto"/>
        <w:jc w:val="both"/>
        <w:rPr>
          <w:rFonts w:asciiTheme="majorBidi" w:hAnsiTheme="majorBidi" w:cstheme="majorBidi"/>
          <w:sz w:val="24"/>
          <w:szCs w:val="24"/>
        </w:rPr>
      </w:pPr>
      <w:r w:rsidRPr="006B3495">
        <w:rPr>
          <w:rFonts w:asciiTheme="majorBidi" w:hAnsiTheme="majorBidi" w:cstheme="majorBidi"/>
          <w:b/>
          <w:bCs/>
          <w:sz w:val="24"/>
          <w:szCs w:val="24"/>
        </w:rPr>
        <w:t>Key words:</w:t>
      </w:r>
      <w:r w:rsidR="003473EB" w:rsidRPr="006B3495">
        <w:rPr>
          <w:rFonts w:asciiTheme="majorBidi" w:hAnsiTheme="majorBidi" w:cstheme="majorBidi"/>
          <w:sz w:val="24"/>
          <w:szCs w:val="24"/>
        </w:rPr>
        <w:t xml:space="preserve"> Radial access, Femoral access</w:t>
      </w:r>
      <w:r w:rsidR="005B0009" w:rsidRPr="006B3495">
        <w:rPr>
          <w:rFonts w:asciiTheme="majorBidi" w:hAnsiTheme="majorBidi" w:cstheme="majorBidi"/>
          <w:sz w:val="24"/>
          <w:szCs w:val="24"/>
        </w:rPr>
        <w:t>,</w:t>
      </w:r>
      <w:r w:rsidR="003473EB" w:rsidRPr="006B3495">
        <w:rPr>
          <w:rFonts w:asciiTheme="majorBidi" w:hAnsiTheme="majorBidi" w:cstheme="majorBidi"/>
          <w:sz w:val="24"/>
          <w:szCs w:val="24"/>
        </w:rPr>
        <w:t xml:space="preserve"> </w:t>
      </w:r>
      <w:r w:rsidR="003473EB" w:rsidRPr="006B3495">
        <w:rPr>
          <w:rFonts w:asciiTheme="majorBidi" w:hAnsiTheme="majorBidi" w:cstheme="majorBidi"/>
          <w:sz w:val="24"/>
          <w:szCs w:val="24"/>
          <w:highlight w:val="yellow"/>
        </w:rPr>
        <w:t>Vascular</w:t>
      </w:r>
      <w:r w:rsidR="003473EB" w:rsidRPr="006B3495">
        <w:rPr>
          <w:rFonts w:asciiTheme="majorBidi" w:hAnsiTheme="majorBidi" w:cstheme="majorBidi"/>
          <w:sz w:val="24"/>
          <w:szCs w:val="24"/>
        </w:rPr>
        <w:t xml:space="preserve"> closure device, percutaneous </w:t>
      </w:r>
      <w:r w:rsidR="00922A27" w:rsidRPr="006B3495">
        <w:rPr>
          <w:rFonts w:asciiTheme="majorBidi" w:hAnsiTheme="majorBidi" w:cstheme="majorBidi"/>
          <w:sz w:val="24"/>
          <w:szCs w:val="24"/>
        </w:rPr>
        <w:t xml:space="preserve">coronary </w:t>
      </w:r>
      <w:r w:rsidR="003473EB" w:rsidRPr="006B3495">
        <w:rPr>
          <w:rFonts w:asciiTheme="majorBidi" w:hAnsiTheme="majorBidi" w:cstheme="majorBidi"/>
          <w:sz w:val="24"/>
          <w:szCs w:val="24"/>
        </w:rPr>
        <w:t>intervention</w:t>
      </w:r>
    </w:p>
    <w:p w14:paraId="61B21E58" w14:textId="77777777" w:rsidR="00EC74E8" w:rsidRPr="006B3495" w:rsidRDefault="00EC74E8" w:rsidP="00665AD7">
      <w:pPr>
        <w:spacing w:after="240" w:line="480" w:lineRule="auto"/>
        <w:jc w:val="both"/>
        <w:rPr>
          <w:rFonts w:asciiTheme="majorBidi" w:hAnsiTheme="majorBidi" w:cstheme="majorBidi"/>
          <w:sz w:val="24"/>
          <w:szCs w:val="24"/>
        </w:rPr>
      </w:pPr>
    </w:p>
    <w:p w14:paraId="0942EF49" w14:textId="77777777" w:rsidR="00EC74E8" w:rsidRPr="006B3495" w:rsidRDefault="00EC74E8" w:rsidP="00665AD7">
      <w:pPr>
        <w:spacing w:after="240" w:line="480" w:lineRule="auto"/>
        <w:jc w:val="both"/>
        <w:rPr>
          <w:rFonts w:asciiTheme="majorBidi" w:hAnsiTheme="majorBidi" w:cstheme="majorBidi"/>
          <w:b/>
          <w:bCs/>
          <w:sz w:val="24"/>
          <w:szCs w:val="24"/>
        </w:rPr>
      </w:pPr>
      <w:bookmarkStart w:id="21" w:name="_Toc90472904"/>
      <w:bookmarkEnd w:id="20"/>
    </w:p>
    <w:p w14:paraId="67E28AC6" w14:textId="77777777" w:rsidR="00EC74E8" w:rsidRPr="006B3495" w:rsidRDefault="00EC74E8" w:rsidP="00665AD7">
      <w:pPr>
        <w:spacing w:after="200" w:line="480" w:lineRule="auto"/>
        <w:rPr>
          <w:b/>
          <w:bCs/>
          <w:sz w:val="28"/>
          <w:szCs w:val="28"/>
        </w:rPr>
      </w:pPr>
      <w:r w:rsidRPr="006B3495">
        <w:rPr>
          <w:b/>
          <w:bCs/>
          <w:sz w:val="28"/>
          <w:szCs w:val="28"/>
        </w:rPr>
        <w:br w:type="page"/>
      </w:r>
    </w:p>
    <w:p w14:paraId="78F2C42A" w14:textId="77777777" w:rsidR="00EC74E8" w:rsidRPr="006B3495" w:rsidRDefault="00EC74E8" w:rsidP="00665AD7">
      <w:pPr>
        <w:spacing w:after="240" w:line="480" w:lineRule="auto"/>
        <w:jc w:val="center"/>
        <w:rPr>
          <w:rFonts w:asciiTheme="majorBidi" w:hAnsiTheme="majorBidi" w:cstheme="majorBidi"/>
          <w:b/>
          <w:bCs/>
          <w:sz w:val="24"/>
          <w:szCs w:val="24"/>
        </w:rPr>
      </w:pPr>
      <w:r w:rsidRPr="006B3495">
        <w:rPr>
          <w:rFonts w:asciiTheme="majorBidi" w:hAnsiTheme="majorBidi" w:cstheme="majorBidi"/>
          <w:b/>
          <w:bCs/>
          <w:sz w:val="28"/>
          <w:szCs w:val="28"/>
        </w:rPr>
        <w:lastRenderedPageBreak/>
        <w:t>Chapter One</w:t>
      </w:r>
      <w:bookmarkEnd w:id="21"/>
    </w:p>
    <w:p w14:paraId="145C713A" w14:textId="77777777" w:rsidR="00EC74E8" w:rsidRPr="006B3495" w:rsidRDefault="00EC74E8" w:rsidP="00A11B6B">
      <w:pPr>
        <w:pStyle w:val="a"/>
      </w:pPr>
      <w:bookmarkStart w:id="22" w:name="_Toc90472905"/>
      <w:bookmarkStart w:id="23" w:name="_Toc90473386"/>
      <w:bookmarkStart w:id="24" w:name="_Toc212871500"/>
      <w:r w:rsidRPr="006B3495">
        <w:t>Introduction and Theoretical Background</w:t>
      </w:r>
      <w:bookmarkEnd w:id="22"/>
      <w:bookmarkEnd w:id="23"/>
      <w:bookmarkEnd w:id="24"/>
    </w:p>
    <w:p w14:paraId="39707C30" w14:textId="77777777" w:rsidR="00EC74E8" w:rsidRPr="006B3495" w:rsidRDefault="00EC74E8" w:rsidP="00A11B6B">
      <w:pPr>
        <w:pStyle w:val="a"/>
      </w:pPr>
      <w:bookmarkStart w:id="25" w:name="_Toc212871501"/>
      <w:r w:rsidRPr="006B3495">
        <w:t>Introduction</w:t>
      </w:r>
      <w:bookmarkEnd w:id="25"/>
    </w:p>
    <w:p w14:paraId="2B59072B" w14:textId="77777777" w:rsidR="00EC74E8" w:rsidRPr="006B3495" w:rsidRDefault="00EC74E8" w:rsidP="00A11B6B">
      <w:pPr>
        <w:pStyle w:val="a"/>
      </w:pPr>
      <w:bookmarkStart w:id="26" w:name="_Toc212871502"/>
      <w:r w:rsidRPr="006B3495">
        <w:t>Research Overview</w:t>
      </w:r>
      <w:bookmarkEnd w:id="26"/>
    </w:p>
    <w:p w14:paraId="535DCEAB" w14:textId="0E5F0968" w:rsidR="00455E8C"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Cardiovascular </w:t>
      </w:r>
      <w:r w:rsidR="009C759A">
        <w:rPr>
          <w:rFonts w:asciiTheme="majorBidi" w:hAnsiTheme="majorBidi" w:cstheme="majorBidi"/>
          <w:sz w:val="24"/>
          <w:szCs w:val="24"/>
        </w:rPr>
        <w:t>diseases</w:t>
      </w:r>
      <w:r w:rsidRPr="006B3495">
        <w:rPr>
          <w:rFonts w:asciiTheme="majorBidi" w:hAnsiTheme="majorBidi" w:cstheme="majorBidi"/>
          <w:sz w:val="24"/>
          <w:szCs w:val="24"/>
        </w:rPr>
        <w:t xml:space="preserve"> (CVDs) constitute the foremost contributing factor to mortality worldwide, affecting around 17.9 million lives annually. </w:t>
      </w:r>
      <w:r w:rsidR="00B30AB1" w:rsidRPr="006B3495">
        <w:rPr>
          <w:rFonts w:asciiTheme="majorBidi" w:hAnsiTheme="majorBidi" w:cstheme="majorBidi"/>
          <w:sz w:val="24"/>
          <w:szCs w:val="24"/>
        </w:rPr>
        <w:t xml:space="preserve">CVDs include a variety of health issues that impact the heart and blood vessels, such as coronary heart disease, cerebrovascular disease, rheumatic heart disease, and others. </w:t>
      </w:r>
      <w:r w:rsidR="007016F5" w:rsidRPr="006B3495">
        <w:rPr>
          <w:rFonts w:asciiTheme="majorBidi" w:hAnsiTheme="majorBidi" w:cstheme="majorBidi"/>
          <w:sz w:val="24"/>
          <w:szCs w:val="24"/>
        </w:rPr>
        <w:t xml:space="preserve">More than 80% of deaths caused by CVDs are attributable to heart attacks and strokes, with one-third of these fatalities occurring prematurely in people under 70 years of age </w:t>
      </w:r>
      <w:r w:rsidR="00D7085D"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{"citationItems":[{"id":"ITEM-1","itemData":{"URL":"https://www.who.int/health-topics/cardiovascular-diseases#tab=tab_1","author":[{"dropping-particle":"","family":"WHO","given":"","non-dropping-particle":"","parse-names":false,"suffix":""}],"container-title":"The World Health Organization","id":"ITEM-1","issued":{"date-parts":[["2019","6","11"]]},"title":"Cardiovascular diseases","type":"webpage"},"uris":["http://www.mendeley.com/documents/?uuid=645e1de1-88be-444a-b2e5-656206246600"]}],"mendeley":{"formattedCitation":"(1)","plainTextFormattedCitation":"(1)","previouslyFormattedCitation":"(1)"},"properties":{"noteIndex":0},"schema":"https://github.com/citation-style-language/schema/raw/master/csl-citation.json"}</w:instrText>
      </w:r>
      <w:r w:rsidR="00D7085D"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(1)</w:t>
      </w:r>
      <w:r w:rsidR="00D7085D" w:rsidRPr="006B3495">
        <w:rPr>
          <w:rFonts w:asciiTheme="majorBidi" w:hAnsiTheme="majorBidi" w:cstheme="majorBidi"/>
          <w:sz w:val="24"/>
          <w:szCs w:val="24"/>
        </w:rPr>
        <w:fldChar w:fldCharType="end"/>
      </w:r>
      <w:r w:rsidRPr="006B3495">
        <w:rPr>
          <w:rFonts w:asciiTheme="majorBidi" w:hAnsiTheme="majorBidi" w:cstheme="majorBidi"/>
          <w:sz w:val="24"/>
          <w:szCs w:val="24"/>
        </w:rPr>
        <w:t>.</w:t>
      </w:r>
    </w:p>
    <w:p w14:paraId="319D8091" w14:textId="374B1881" w:rsidR="00A274BA" w:rsidRPr="006B3495" w:rsidRDefault="00A274BA" w:rsidP="00A274BA">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The </w:t>
      </w:r>
      <w:r w:rsidRPr="006B3495">
        <w:rPr>
          <w:rFonts w:asciiTheme="majorBidi" w:hAnsiTheme="majorBidi" w:cstheme="majorBidi"/>
          <w:sz w:val="24"/>
          <w:szCs w:val="24"/>
          <w:highlight w:val="yellow"/>
        </w:rPr>
        <w:t>accumulation</w:t>
      </w:r>
      <w:r w:rsidRPr="006B3495">
        <w:rPr>
          <w:rFonts w:asciiTheme="majorBidi" w:hAnsiTheme="majorBidi" w:cstheme="majorBidi"/>
          <w:sz w:val="24"/>
          <w:szCs w:val="24"/>
        </w:rPr>
        <w:t xml:space="preserve"> of plaques in the coronary arteries is the leading factor contributing to mortality </w:t>
      </w:r>
      <w:r w:rsidRPr="006B3495">
        <w:rPr>
          <w:rFonts w:asciiTheme="majorBidi" w:hAnsiTheme="majorBidi" w:cstheme="majorBidi"/>
          <w:sz w:val="24"/>
          <w:szCs w:val="24"/>
          <w:highlight w:val="yellow"/>
        </w:rPr>
        <w:t>among</w:t>
      </w:r>
      <w:r w:rsidRPr="006B3495">
        <w:rPr>
          <w:rFonts w:asciiTheme="majorBidi" w:hAnsiTheme="majorBidi" w:cstheme="majorBidi"/>
          <w:sz w:val="24"/>
          <w:szCs w:val="24"/>
        </w:rPr>
        <w:t xml:space="preserve"> individuals with heart disorders. This </w:t>
      </w:r>
      <w:r w:rsidRPr="006B3495">
        <w:rPr>
          <w:rFonts w:asciiTheme="majorBidi" w:hAnsiTheme="majorBidi" w:cstheme="majorBidi"/>
          <w:sz w:val="24"/>
          <w:szCs w:val="24"/>
          <w:highlight w:val="yellow"/>
        </w:rPr>
        <w:t>condition, known as</w:t>
      </w:r>
      <w:r w:rsidRPr="006B3495">
        <w:rPr>
          <w:rFonts w:asciiTheme="majorBidi" w:hAnsiTheme="majorBidi" w:cstheme="majorBidi"/>
          <w:sz w:val="24"/>
          <w:szCs w:val="24"/>
        </w:rPr>
        <w:t xml:space="preserve"> </w:t>
      </w:r>
      <w:r w:rsidR="00D00B03" w:rsidRPr="006B3495">
        <w:rPr>
          <w:rFonts w:asciiTheme="majorBidi" w:hAnsiTheme="majorBidi" w:cstheme="majorBidi"/>
          <w:sz w:val="24"/>
          <w:szCs w:val="24"/>
        </w:rPr>
        <w:t>coronary artery disease</w:t>
      </w:r>
      <w:r w:rsidR="00947096"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(CAD), </w:t>
      </w:r>
      <w:r w:rsidRPr="006B3495">
        <w:rPr>
          <w:rFonts w:asciiTheme="majorBidi" w:hAnsiTheme="majorBidi" w:cstheme="majorBidi"/>
          <w:sz w:val="24"/>
          <w:szCs w:val="24"/>
          <w:highlight w:val="yellow"/>
        </w:rPr>
        <w:t>typically does not present any</w:t>
      </w:r>
      <w:r w:rsidRPr="006B3495">
        <w:rPr>
          <w:rFonts w:asciiTheme="majorBidi" w:hAnsiTheme="majorBidi" w:cstheme="majorBidi"/>
          <w:sz w:val="24"/>
          <w:szCs w:val="24"/>
        </w:rPr>
        <w:t xml:space="preserve"> symptoms in its early </w:t>
      </w:r>
      <w:r w:rsidRPr="006B3495">
        <w:rPr>
          <w:rFonts w:asciiTheme="majorBidi" w:hAnsiTheme="majorBidi" w:cstheme="majorBidi"/>
          <w:sz w:val="24"/>
          <w:szCs w:val="24"/>
          <w:highlight w:val="yellow"/>
        </w:rPr>
        <w:t>or</w:t>
      </w:r>
      <w:r w:rsidRPr="006B3495">
        <w:rPr>
          <w:rFonts w:asciiTheme="majorBidi" w:hAnsiTheme="majorBidi" w:cstheme="majorBidi"/>
          <w:sz w:val="24"/>
          <w:szCs w:val="24"/>
        </w:rPr>
        <w:t xml:space="preserve"> preclinical stages. </w:t>
      </w:r>
      <w:r w:rsidRPr="006B3495">
        <w:rPr>
          <w:rFonts w:asciiTheme="majorBidi" w:hAnsiTheme="majorBidi" w:cstheme="majorBidi"/>
          <w:sz w:val="24"/>
          <w:szCs w:val="24"/>
          <w:highlight w:val="yellow"/>
        </w:rPr>
        <w:t>As the disease progresses, however, restricted blood flow may result in</w:t>
      </w:r>
      <w:r w:rsidRPr="006B3495">
        <w:rPr>
          <w:rFonts w:asciiTheme="majorBidi" w:hAnsiTheme="majorBidi" w:cstheme="majorBidi"/>
          <w:sz w:val="24"/>
          <w:szCs w:val="24"/>
        </w:rPr>
        <w:t xml:space="preserve"> mild myocardial ischemia and thoracic pain during physical exertion. </w:t>
      </w:r>
      <w:r w:rsidRPr="006B3495">
        <w:rPr>
          <w:rFonts w:asciiTheme="majorBidi" w:hAnsiTheme="majorBidi" w:cstheme="majorBidi"/>
          <w:sz w:val="24"/>
          <w:szCs w:val="24"/>
          <w:highlight w:val="yellow"/>
        </w:rPr>
        <w:t>Appropriate</w:t>
      </w:r>
      <w:r w:rsidRPr="006B3495">
        <w:rPr>
          <w:rFonts w:asciiTheme="majorBidi" w:hAnsiTheme="majorBidi" w:cstheme="majorBidi"/>
          <w:sz w:val="24"/>
          <w:szCs w:val="24"/>
        </w:rPr>
        <w:t xml:space="preserve"> medical </w:t>
      </w:r>
      <w:r w:rsidRPr="006B3495">
        <w:rPr>
          <w:rFonts w:asciiTheme="majorBidi" w:hAnsiTheme="majorBidi" w:cstheme="majorBidi"/>
          <w:sz w:val="24"/>
          <w:szCs w:val="24"/>
          <w:highlight w:val="yellow"/>
        </w:rPr>
        <w:t>treatment</w:t>
      </w:r>
      <w:r w:rsidRPr="006B3495">
        <w:rPr>
          <w:rFonts w:asciiTheme="majorBidi" w:hAnsiTheme="majorBidi" w:cstheme="majorBidi"/>
          <w:sz w:val="24"/>
          <w:szCs w:val="24"/>
        </w:rPr>
        <w:t xml:space="preserve"> and lifestyle </w:t>
      </w:r>
      <w:r w:rsidRPr="006B3495">
        <w:rPr>
          <w:rFonts w:asciiTheme="majorBidi" w:hAnsiTheme="majorBidi" w:cstheme="majorBidi"/>
          <w:sz w:val="24"/>
          <w:szCs w:val="24"/>
          <w:highlight w:val="yellow"/>
        </w:rPr>
        <w:t>changes</w:t>
      </w:r>
      <w:r w:rsidRPr="006B3495">
        <w:rPr>
          <w:rFonts w:asciiTheme="majorBidi" w:hAnsiTheme="majorBidi" w:cstheme="majorBidi"/>
          <w:sz w:val="24"/>
          <w:szCs w:val="24"/>
        </w:rPr>
        <w:t xml:space="preserve"> can effectively address these issues initially (2).</w:t>
      </w:r>
    </w:p>
    <w:p w14:paraId="429B7B3F" w14:textId="753E759E" w:rsidR="00532541"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Coronary angiography (CAG), whether performed </w:t>
      </w:r>
      <w:r w:rsidR="00623C35" w:rsidRPr="006B3495">
        <w:rPr>
          <w:rFonts w:asciiTheme="majorBidi" w:hAnsiTheme="majorBidi" w:cstheme="majorBidi"/>
          <w:sz w:val="24"/>
          <w:szCs w:val="24"/>
        </w:rPr>
        <w:t xml:space="preserve">independently or alongside </w:t>
      </w:r>
      <w:r w:rsidRPr="006B3495">
        <w:rPr>
          <w:rFonts w:asciiTheme="majorBidi" w:hAnsiTheme="majorBidi" w:cstheme="majorBidi"/>
          <w:sz w:val="24"/>
          <w:szCs w:val="24"/>
        </w:rPr>
        <w:t xml:space="preserve">percutaneous coronary intervention (PCI), </w:t>
      </w:r>
      <w:r w:rsidR="00623C35" w:rsidRPr="006B3495">
        <w:rPr>
          <w:rFonts w:asciiTheme="majorBidi" w:hAnsiTheme="majorBidi" w:cstheme="majorBidi"/>
          <w:sz w:val="24"/>
          <w:szCs w:val="24"/>
        </w:rPr>
        <w:t>involves</w:t>
      </w:r>
      <w:r w:rsidRPr="006B3495">
        <w:rPr>
          <w:rFonts w:asciiTheme="majorBidi" w:hAnsiTheme="majorBidi" w:cstheme="majorBidi"/>
          <w:sz w:val="24"/>
          <w:szCs w:val="24"/>
        </w:rPr>
        <w:t xml:space="preserve"> arterial access, which is usually </w:t>
      </w:r>
      <w:r w:rsidR="00B53CD9" w:rsidRPr="006B3495">
        <w:rPr>
          <w:rFonts w:asciiTheme="majorBidi" w:hAnsiTheme="majorBidi" w:cstheme="majorBidi"/>
          <w:sz w:val="24"/>
          <w:szCs w:val="24"/>
          <w:highlight w:val="yellow"/>
        </w:rPr>
        <w:t>accomplished</w:t>
      </w:r>
      <w:r w:rsidRPr="006B3495">
        <w:rPr>
          <w:rFonts w:asciiTheme="majorBidi" w:hAnsiTheme="majorBidi" w:cstheme="majorBidi"/>
          <w:sz w:val="24"/>
          <w:szCs w:val="24"/>
        </w:rPr>
        <w:t xml:space="preserve"> via two vascular access sites: the radial and femoral arteries </w:t>
      </w:r>
      <w:r w:rsidR="005F1951"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{"citationItems":[{"id":"ITEM-1","itemData":{"DOI":"10.1016/S0140-6736(11)60404-2","ISSN":"01406736","abstract":"Background: Small trials have suggested that radial access for percutaneous coronary intervention (PCI) reduces vascular complications and bleeding compared with femoral access. We aimed to assess whether radial access was superior to femoral access in patients with acute coronary syndromes (ACS) who were undergoing coronary angiography with possible intervention. Methods: The RadIal Vs femorAL access for coronary intervention (RIVAL) trial was a randomised, parallel group, multicentre trial. Patients with ACS were randomly assigned (1:1) by a 24 h computerised central automated voice response system to radial or femoral artery access. The primary outcome was a composite of death, myocardial infarction, stroke, or non-coronary artery bypass graft (non-CABG)-related major bleeding at 30 days. Key secondary outcomes were death, myocardial infarction, or stroke; and non-CABG-related major bleeding at 30 days. A masked central committee adjudicated the primary outcome, components of the primary outcome, and stent thrombosis. All other outcomes were as reported by the investigators. Patients and investigators were not masked to treatment allocation. Analyses were by intention to treat. This trial is registered with ClinicalTrials.gov, NCT01014273. Findings: Between June 6, 2006, and Nov 3, 2010, 7021 patients were enrolled from 158 hospitals in 32 countries. 3507 patients were randomly assigned to radial access and 3514 to femoral access. The primary outcome occurred in 128 (3·7) of 3507 patients in the radial access group compared with 139 (4·0) of 3514 in the femoral access group (hazard ratio [HR] 0·92, 95 CI 0·72-1·17; p=0·50). Of the six prespecified subgroups, there was a significant interaction for the primary outcome with benefit for radial access in highest tertile volume radial centres (HR 0·49, 95 CI 0·28-0·87; p=0·015) and in patients with ST-segment elevation myocardial infarction (0·60, 0·38-0·94; p=0·026). The rate of death, myocardial infarction, or stroke at 30 days was 112 (3·2) of 3507 patients in the radial group compared with 114 (3·2) of 3514 in the femoral group (HR 0·98, 95 CI 0·76-1·28; p=0·90). The rate of non-CABG-related major bleeding at 30 days was 24 (0·7) of 3507 patients in the radial group compared with 33 (0·9) of 3514 patients in the femoral group (HR 0·73, 95 CI 0·43-1·23; p=0·23). At 30 days, 42 of 3507 patients in the radial group had large haematoma compared with 106 of 3514 in the femoral group (HR 0·40, 95 CI 0·28-0·…","author":[{"dropping-particle":"","family":"Jolly","given":"Sanjit S.","non-dropping-particle":"","parse-names":false,"suffix":""},{"dropping-particle":"","family":"Yusuf","given":"Salim","non-dropping-particle":"","parse-names":false,"suffix":""},{"dropping-particle":"","family":"Cairns","given":"John","non-dropping-particle":"","parse-names":false,"suffix":""},{"dropping-particle":"","family":"Niemelä","given":"Kari","non-dropping-particle":"","parse-names":false,"suffix":""},{"dropping-particle":"","family":"Xavier","given":"Denis","non-dropping-particle":"","parse-names":false,"suffix":""},{"dropping-particle":"","family":"Widimsky","given":"Petr","non-dropping-particle":"","parse-names":false,"suffix":""},{"dropping-particle":"","family":"Budaj","given":"Andrzej","non-dropping-particle":"","parse-names":false,"suffix":""},{"dropping-particle":"","family":"Niemelä","given":"Matti","non-dropping-particle":"","parse-names":false,"suffix":""},{"dropping-particle":"","family":"Valentin","given":"Vicent","non-dropping-particle":"","parse-names":false,"suffix":""},{"dropping-particle":"","family":"Lewis","given":"Basil S.","non-dropping-particle":"","parse-names":false,"suffix":""},{"dropping-particle":"","family":"Avezum","given":"Alvaro","non-dropping-particle":"","parse-names":false,"suffix":""},{"dropping-particle":"","family":"Steg","given":"Philippe Gabriel","non-dropping-particle":"","parse-names":false,"suffix":""},{"dropping-particle":"V.","family":"Rao","given":"Sunil","non-dropping-particle":"","parse-names":false,"suffix":""},{"dropping-particle":"","family":"Gao","given":"Peggy","non-dropping-particle":"","parse-names":false,"suffix":""},{"dropping-particle":"","family":"Afzal","given":"Rizwan","non-dropping-particle":"","parse-names":false,"suffix":""},{"dropping-particle":"","family":"Joyner","given":"Campbell D.","non-dropping-particle":"","parse-names":false,"suffix":""},{"dropping-particle":"","family":"Chrolavicius","given":"Susan","non-dropping-particle":"","parse-names":false,"suffix":""},{"dropping-particle":"","family":"Mehta","given":"Shamir R.","non-dropping-particle":"","parse-names":false,"suffix":""}],"container-title":"The Lancet","id":"ITEM-1","issue":"9775","issued":{"date-parts":[["2011"]]},"title":"Radial versus femoral access for coronary angiography and intervention in patients with acute coronary syndromes (RIVAL): A randomised, parallel group, multicentre trial","type":"article-journal","volume":"377"},"uris":["http://www.mendeley.com/documents/?uuid=1605aa10-d3c3-3731-b2cf-3e1f0f89920a"]},{"id":"ITEM-2","itemData":{"DOI":"10.1016/j.ahj.2012.01.015","ISSN":"00028703","abstract":"Background: Despite lower risks of access site-related complications with transradial approach (TRA), its clinical benefit for percutaneous coronary intervention (PCI) is uncertain. We conducted a systematic review and meta-analysis of clinical studies comparing TRA and transfemoral approach (TFA) for PCI. Methods: Randomized trials and observational studies (1993-2011) comparing TRA with TFA for PCI with reports of ischemic and bleeding outcomes were included. Crude and adjusted (for age and sex) odds ratios (OR) were estimated by a hierarchical Bayesian random-effects model with prespecified stratification for observational and randomized designs. The primary outcomes were rates of death, combined incidence of death or myocardial infarction, bleeding, and transfusions, early (≤30 days) and late after PCI. Results: We collected data from 76 studies (15 randomized, 61 observational) involving a total of 761,919 patients. Compared with TFA, TRA was associated with a 78% reduction in bleeding (OR 0.22, 95% credible interval [CrI] 0.16-0.29) and 80% in transfusions (OR 0.20, 95% CrI 0.11-0.32). These findings were consistent in both randomized and observational studies. Early after PCI, there was a 44% reduction of mortality with TRA (OR 0.56, 95% CrI 0.45-0.67), although the effect was mainly due to observational studies (OR 0.52, 95% CrI 0.40-0.63, adjusted OR 0.49 [95% CrI 0.37-0.60]), with an OR of 0.80 (95% CrI 0.49-1.23) in randomized trials. Conclusion: Our results combining observational and randomized studies show that PCI performed by TRA is associated with substantially less risks of bleeding and transfusions compared with TFA. Benefit on the incidence of death or combined death or myocardial infarction is found in observational studies but remains inconclusive in randomized trials. © 2012 Mosby, Inc.","author":[{"dropping-particle":"","family":"Bertrand","given":"Olivier F.","non-dropping-particle":"","parse-names":false,"suffix":""},{"dropping-particle":"","family":"Bélisle","given":"Patrick","non-dropping-particle":"","parse-names":false,"suffix":""},{"dropping-particle":"","family":"Joyal","given":"Dominique","non-dropping-particle":"","parse-names":false,"suffix":""},{"dropping-particle":"","family":"Costerousse","given":"Olivier","non-dropping-particle":"","parse-names":false,"suffix":""},{"dropping-particle":"V.","family":"Rao","given":"Sunil","non-dropping-particle":"","parse-names":false,"suffix":""},{"dropping-particle":"","family":"Jolly","given":"Sanjit S.","non-dropping-particle":"","parse-names":false,"suffix":""},{"dropping-particle":"","family":"Meerkin","given":"David","non-dropping-particle":"","parse-names":false,"suffix":""},{"dropping-particle":"","family":"Joseph","given":"Lawrence","non-dropping-particle":"","parse-names":false,"suffix":""}],"container-title":"American Heart Journal","id":"ITEM-2","issue":"4","issued":{"date-parts":[["2012"]]},"title":"Comparison of transradial and femoral approaches for percutaneous coronary interventions: A systematic review and hierarchical Bayesian meta-analysis","type":"article-journal","volume":"163"},"uris":["http://www.mendeley.com/documents/?uuid=7e0370e8-de18-3521-a6d4-dee957baea5d"]},{"id":"ITEM-3","itemData":{"DOI":"10.1016/j.ahj.2008.08.023","ISSN":"00028703","abstract":"Background: Small randomized trials have demonstrated that radial access reduces access site complications compared to a femoral approach. The objective of this meta-analysis was to determine if radial access reduces major bleeding and as a result can reduce death and ischemic events compared to femoral access. Methods: MEDLINE, EMBASE, and CENTRAL were searched from 1980 to April 2008. Relevant conference abstracts from 2005 to April 2008 were searched. Randomized trials comparing radial versus femoral access coronary angiography or intervention that reported major bleeding, death, myocardial infarction, and procedural or fluoroscopy time were included. A fixed-effects model was used with a random effects for sensitivity analysis. Results: Radial access reduced major bleeding by 73% compared to femoral access (0.05% vs 2.3%, OR 0.27 [95% CI 0.16, 0.45], P &lt; .001). There was a trend for reductions in the composite of death, myocardial infarction, or stroke (2.5% vs 3.8%, OR 0.71 [95% CI 0.49-1.01], P = .058) as well as death (1.2% vs 1.8% OR 0.74 [95% CI 0.42-1.30], P = .29). There was a trend for higher rate of inability to the cross lesion with wire, balloon, or stent during percutaneous coronary intervention with radial access (4.7% vs 3.4% OR 1.29 [95% CI 0.87, 1.94], P = .21). Radial access reduced hospital stay by 0.4 days (95% CI 0.2-0.5, P = .0001). Conclusions: Radial access reduced major bleeding and there was a corresponding trend for reduction in ischemic events compared to femoral access. Large randomized trials are needed to confirm the benefit of radial access on death and ischemic events. © 2009 Mosby, Inc. All rights reserved.","author":[{"dropping-particle":"","family":"Jolly","given":"Sanjit S.","non-dropping-particle":"","parse-names":false,"suffix":""},{"dropping-particle":"","family":"Amlani","given":"Shoaib","non-dropping-particle":"","parse-names":false,"suffix":""},{"dropping-particle":"","family":"Hamon","given":"Martial","non-dropping-particle":"","parse-names":false,"suffix":""},{"dropping-particle":"","family":"Yusuf","given":"Salim","non-dropping-particle":"","parse-names":false,"suffix":""},{"dropping-particle":"","family":"Mehta","given":"Shamir R.","non-dropping-particle":"","parse-names":false,"suffix":""}],"container-title":"American Heart Journal","id":"ITEM-3","issue":"1","issued":{"date-parts":[["2009"]]},"title":"Radial versus femoral access for coronary angiography or intervention and the impact on major bleeding and ischemic events: A systematic review and meta-analysis of randomized trials","type":"article-journal","volume":"157"},"uris":["http://www.mendeley.com/documents/?uuid=51eb1a70-9743-3302-9f86-ae70c57bf658"]},{"id":"ITEM-4","itemData":{"DOI":"10.1016/S0735-1097(97)00064-8","ISSN":"07351097","abstract":"Objectives. This study sought to compare procedural and clinical outcomes of percutaneous transluminal coronary angioplasty (PTCA) performed with 6F guiding catheters introduced through the radial, brachial or femoral arteries. Background. Transradial PTCA has been demonstrated to be an effective and safe alternative to transfemoral PTCA; however, no randomized data are currently available. Methods. A randomized comparison between transradial, transbrachial and transfemoral PTCA with 6F guiding catheters was performed in 900 patients. Primary end points were entry site and angioplasty related. Secondary end points were quantitative coronary analysis after PTCA, procedural and fluoroscopy times, consumption of angioplasty equipment and length of hospital stay. Results. Successful coronary cannulation was achieved in 279 (93.0%), 287 (95.7%) and 299 (99.7%) patients randomized to undergo PTCA by the radial, brachial and femoral approaches, respectively. PTCA success was achieved in 91.7%, 90.7% and 90.7% (p = NS) of patients, with 88.0%, 87.7% and 90.0% event free at 1-month follow-up, respectively (p = NS). Major entry site complications were encountered in seven patients (2.3%) in the transbrachial group, six (2.0%) in the transfemoral group and none in the transradial group (p = 0.035). Transradial PTCA led to asymptomatic loss of radial pulsations in nine patients (3%). Procedural and fluoroscopy times were similar, as were consumption of guiding and balloon catheters and length of hospital stay ([mean ± SD] 1.5 ± 2.5, 1.8 ± 3.8 and 1.8 ± 4.2 days, respectively). Conclusions. With experience, procedural and clinical outcomes of PTCA were similar for the three subgroups, but access failure is more common during transradial PTCA. Major access site complications were more frequently encountered after transbrachial and transfemoral PTCA.","author":[{"dropping-particle":"","family":"Kiemeneij","given":"Ferdinand","non-dropping-particle":"","parse-names":false,"suffix":""},{"dropping-particle":"","family":"Laarman","given":"Gert Jan","non-dropping-particle":"","parse-names":false,"suffix":""},{"dropping-particle":"","family":"Odekerken","given":"Diego","non-dropping-particle":"","parse-names":false,"suffix":""},{"dropping-particle":"","family":"Slagboom","given":"Ton","non-dropping-particle":"","parse-names":false,"suffix":""},{"dropping-particle":"","family":"Wieken","given":"Ron","non-dropping-particle":"Van Der","parse-names":false,"suffix":""}],"container-title":"Journal of the American College of Cardiology","id":"ITEM-4","issue":"6","issued":{"date-parts":[["1997"]]},"title":"A randomized comparison of percutaneous transluminal coronary angioplasty by the radial, brachial and femoral approaches: The access study","type":"article-journal","volume":"29"},"uris":["http://www.mendeley.com/documents/?uuid=8cad3efc-9589-34ae-ba72-e30e7a809dd2"]}],"mendeley":{"formattedCitation":"(2–5)","plainTextFormattedCitation":"(2–5)","previouslyFormattedCitation":"(2–5)"},"properties":{"noteIndex":0},"schema":"https://github.com/citation-style-language/schema/raw/master/csl-citation.json"}</w:instrText>
      </w:r>
      <w:r w:rsidR="005F1951"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(2–5)</w:t>
      </w:r>
      <w:r w:rsidR="005F1951" w:rsidRPr="006B3495">
        <w:rPr>
          <w:rFonts w:asciiTheme="majorBidi" w:hAnsiTheme="majorBidi" w:cstheme="majorBidi"/>
          <w:sz w:val="24"/>
          <w:szCs w:val="24"/>
        </w:rPr>
        <w:fldChar w:fldCharType="end"/>
      </w:r>
      <w:r w:rsidR="00C66963" w:rsidRPr="006B3495">
        <w:rPr>
          <w:rFonts w:asciiTheme="majorBidi" w:hAnsiTheme="majorBidi" w:cstheme="majorBidi"/>
          <w:sz w:val="24"/>
          <w:szCs w:val="24"/>
        </w:rPr>
        <w:t>.</w:t>
      </w:r>
    </w:p>
    <w:p w14:paraId="104575D0" w14:textId="7CEB486A" w:rsidR="003F31E1"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The femoral approach is linked to more accurate and faster arterial puncture, no arterial spasms, more backup during PCI, and </w:t>
      </w:r>
      <w:r w:rsidR="00FC232C">
        <w:rPr>
          <w:rFonts w:asciiTheme="majorBidi" w:hAnsiTheme="majorBidi" w:cstheme="majorBidi"/>
          <w:sz w:val="24"/>
          <w:szCs w:val="24"/>
        </w:rPr>
        <w:t>diminished</w:t>
      </w:r>
      <w:r w:rsidRPr="006B3495">
        <w:rPr>
          <w:rFonts w:asciiTheme="majorBidi" w:hAnsiTheme="majorBidi" w:cstheme="majorBidi"/>
          <w:sz w:val="24"/>
          <w:szCs w:val="24"/>
        </w:rPr>
        <w:t xml:space="preserve"> radiation time related to PCI. Moreover, the femoral approach facilitates numerous punctures and accommodates larger </w:t>
      </w:r>
      <w:r w:rsidRPr="006B3495">
        <w:rPr>
          <w:rFonts w:asciiTheme="majorBidi" w:hAnsiTheme="majorBidi" w:cstheme="majorBidi"/>
          <w:sz w:val="24"/>
          <w:szCs w:val="24"/>
        </w:rPr>
        <w:lastRenderedPageBreak/>
        <w:t>sheath diameters. Limb ischemia, pseudoaneurysms and arteriovenous fistulae resulting from femoral artery occlusion after PCI are infrequent but have significant effects</w:t>
      </w:r>
      <w:r w:rsidR="003F31E1">
        <w:rPr>
          <w:rFonts w:asciiTheme="majorBidi" w:hAnsiTheme="majorBidi" w:cstheme="majorBidi"/>
          <w:sz w:val="24"/>
          <w:szCs w:val="24"/>
        </w:rPr>
        <w:t xml:space="preserve"> </w:t>
      </w:r>
      <w:r w:rsidR="003F31E1" w:rsidRPr="006B3495">
        <w:rPr>
          <w:rFonts w:asciiTheme="majorBidi" w:hAnsiTheme="majorBidi" w:cstheme="majorBidi"/>
          <w:sz w:val="24"/>
          <w:szCs w:val="24"/>
        </w:rPr>
        <w:fldChar w:fldCharType="begin" w:fldLock="1"/>
      </w:r>
      <w:r w:rsidR="003F31E1" w:rsidRPr="006B3495">
        <w:rPr>
          <w:rFonts w:asciiTheme="majorBidi" w:hAnsiTheme="majorBidi" w:cstheme="majorBidi"/>
          <w:sz w:val="24"/>
          <w:szCs w:val="24"/>
        </w:rPr>
        <w:instrText>ADDIN CSL_CITATION {"citationItems":[{"id":"ITEM-1","itemData":{"DOI":"10.4137/CMC.S31932","ISSN":"11795468","abstract":"Background: Bleeding events after percutaneous coronary interventions (PCI) are associated with patients’ age, gender, and the presence of chronic kidney disease, antithrombotic treatment, as well as arterial access site. Patients being treated by PCI using radial access site are associated with an improved prognosis. However, the safety of femoral closure devices has never been compared to radial compression devices following PCI. Therefore, the aim of this study is to evaluate the safety of femoral closure compared to radial compression devices in patients treated by PCI envisaging access site bleedings as well as short- and long-term prognostic outcomes. Methods: The Femoral Closure versus Radial Compression Devices Related to Percutaneous Coronary Interventions (FERARI) study is a single-center observational study comparing 400 consecutive patients undergoing PCI either using radial compression devices (TR Band™) or femoral closure devices (Angio-Seal™) at the corresponding access site. The primary outcome consists of the occurrence of vascular complications at the arterial access site, including major bleedings as defined by common classification systems. Secondary outcomes consist of the occurrence of adverse cardiac events, including all-cause mortality, target lesion revascularization, and target vessel revascularization during 30 days and 12 months of follow-up. Results: Study enrollment was initiated in February 2014. The enrollment phase is expected to last until May 2015. Conclusions: The FERARI study intends to comparatively evaluate the safety and prognostic outcome of patients being treated by radial or femoral arterial closure devices following PCI during daily clinical practice.","author":[{"dropping-particle":"","family":"Behnes","given":"Michael","non-dropping-particle":"","parse-names":false,"suffix":""},{"dropping-particle":"","family":"Ünsal","given":"Melike","non-dropping-particle":"","parse-names":false,"suffix":""},{"dropping-particle":"","family":"Hoffmann","given":"Ursula","non-dropping-particle":"","parse-names":false,"suffix":""},{"dropping-particle":"","family":"Fastner","given":"Christian","non-dropping-particle":"","parse-names":false,"suffix":""},{"dropping-particle":"","family":"El-Battrawy","given":"Ibrahim","non-dropping-particle":"","parse-names":false,"suffix":""},{"dropping-particle":"","family":"Lang","given":"Siegfried","non-dropping-particle":"","parse-names":false,"suffix":""},{"dropping-particle":"","family":"Mashayekhi","given":"Kambis","non-dropping-particle":"","parse-names":false,"suffix":""},{"dropping-particle":"","family":"Lehmann","given":"Ralf","non-dropping-particle":"","parse-names":false,"suffix":""},{"dropping-particle":"","family":"Borggrefe","given":"Martin","non-dropping-particle":"","parse-names":false,"suffix":""},{"dropping-particle":"","family":"Akin","given":"Ibrahim","non-dropping-particle":"","parse-names":false,"suffix":""}],"container-title":"Clinical Medicine Insights: Cardiology","id":"ITEM-1","issued":{"date-parts":[["2015"]]},"title":"Design and rationale of the femoral closure versus radial compression devices related to percutaneous coronary interventions (FERARI) study","type":"article-journal","volume":"9"},"uris":["http://www.mendeley.com/documents/?uuid=c9a61c5e-c928-34f5-8a2d-f6bc97c7e0bc"]}],"mendeley":{"formattedCitation":"(6)","plainTextFormattedCitation":"(6)","previouslyFormattedCitation":"(6)"},"properties":{"noteIndex":0},"schema":"https://github.com/citation-style-language/schema/raw/master/csl-citation.json"}</w:instrText>
      </w:r>
      <w:r w:rsidR="003F31E1" w:rsidRPr="006B3495">
        <w:rPr>
          <w:rFonts w:asciiTheme="majorBidi" w:hAnsiTheme="majorBidi" w:cstheme="majorBidi"/>
          <w:sz w:val="24"/>
          <w:szCs w:val="24"/>
        </w:rPr>
        <w:fldChar w:fldCharType="separate"/>
      </w:r>
      <w:r w:rsidR="003F31E1" w:rsidRPr="006B3495">
        <w:rPr>
          <w:rFonts w:asciiTheme="majorBidi" w:hAnsiTheme="majorBidi" w:cstheme="majorBidi"/>
          <w:sz w:val="24"/>
          <w:szCs w:val="24"/>
        </w:rPr>
        <w:t>(6)</w:t>
      </w:r>
      <w:r w:rsidR="003F31E1"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w:t>
      </w:r>
    </w:p>
    <w:p w14:paraId="2DB94614" w14:textId="76B81D35" w:rsidR="003F31E1"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Risk factors elevating the likelihood of significant femoral complications, such as bleeding, are more likely in older people, women, people who are taking aggressive antithrombotic therapies, and people who have chronic kidney disease. In the mid-1990s, researchers developed a vascular closure device (VCD) to decrease relevant bleeding rates following femoral PCI</w:t>
      </w:r>
      <w:r w:rsidR="003F31E1">
        <w:rPr>
          <w:rFonts w:asciiTheme="majorBidi" w:hAnsiTheme="majorBidi" w:cstheme="majorBidi"/>
          <w:sz w:val="24"/>
          <w:szCs w:val="24"/>
        </w:rPr>
        <w:t xml:space="preserve"> </w:t>
      </w:r>
      <w:r w:rsidR="003F31E1" w:rsidRPr="006B3495">
        <w:rPr>
          <w:rFonts w:asciiTheme="majorBidi" w:hAnsiTheme="majorBidi" w:cstheme="majorBidi"/>
          <w:sz w:val="24"/>
          <w:szCs w:val="24"/>
        </w:rPr>
        <w:fldChar w:fldCharType="begin" w:fldLock="1"/>
      </w:r>
      <w:r w:rsidR="003F31E1" w:rsidRPr="006B3495">
        <w:rPr>
          <w:rFonts w:asciiTheme="majorBidi" w:hAnsiTheme="majorBidi" w:cstheme="majorBidi"/>
          <w:sz w:val="24"/>
          <w:szCs w:val="24"/>
        </w:rPr>
        <w:instrText>ADDIN CSL_CITATION {"citationItems":[{"id":"ITEM-1","itemData":{"DOI":"10.4137/CMC.S31932","ISSN":"11795468","abstract":"Background: Bleeding events after percutaneous coronary interventions (PCI) are associated with patients’ age, gender, and the presence of chronic kidney disease, antithrombotic treatment, as well as arterial access site. Patients being treated by PCI using radial access site are associated with an improved prognosis. However, the safety of femoral closure devices has never been compared to radial compression devices following PCI. Therefore, the aim of this study is to evaluate the safety of femoral closure compared to radial compression devices in patients treated by PCI envisaging access site bleedings as well as short- and long-term prognostic outcomes. Methods: The Femoral Closure versus Radial Compression Devices Related to Percutaneous Coronary Interventions (FERARI) study is a single-center observational study comparing 400 consecutive patients undergoing PCI either using radial compression devices (TR Band™) or femoral closure devices (Angio-Seal™) at the corresponding access site. The primary outcome consists of the occurrence of vascular complications at the arterial access site, including major bleedings as defined by common classification systems. Secondary outcomes consist of the occurrence of adverse cardiac events, including all-cause mortality, target lesion revascularization, and target vessel revascularization during 30 days and 12 months of follow-up. Results: Study enrollment was initiated in February 2014. The enrollment phase is expected to last until May 2015. Conclusions: The FERARI study intends to comparatively evaluate the safety and prognostic outcome of patients being treated by radial or femoral arterial closure devices following PCI during daily clinical practice.","author":[{"dropping-particle":"","family":"Behnes","given":"Michael","non-dropping-particle":"","parse-names":false,"suffix":""},{"dropping-particle":"","family":"Ünsal","given":"Melike","non-dropping-particle":"","parse-names":false,"suffix":""},{"dropping-particle":"","family":"Hoffmann","given":"Ursula","non-dropping-particle":"","parse-names":false,"suffix":""},{"dropping-particle":"","family":"Fastner","given":"Christian","non-dropping-particle":"","parse-names":false,"suffix":""},{"dropping-particle":"","family":"El-Battrawy","given":"Ibrahim","non-dropping-particle":"","parse-names":false,"suffix":""},{"dropping-particle":"","family":"Lang","given":"Siegfried","non-dropping-particle":"","parse-names":false,"suffix":""},{"dropping-particle":"","family":"Mashayekhi","given":"Kambis","non-dropping-particle":"","parse-names":false,"suffix":""},{"dropping-particle":"","family":"Lehmann","given":"Ralf","non-dropping-particle":"","parse-names":false,"suffix":""},{"dropping-particle":"","family":"Borggrefe","given":"Martin","non-dropping-particle":"","parse-names":false,"suffix":""},{"dropping-particle":"","family":"Akin","given":"Ibrahim","non-dropping-particle":"","parse-names":false,"suffix":""}],"container-title":"Clinical Medicine Insights: Cardiology","id":"ITEM-1","issued":{"date-parts":[["2015"]]},"title":"Design and rationale of the femoral closure versus radial compression devices related to percutaneous coronary interventions (FERARI) study","type":"article-journal","volume":"9"},"uris":["http://www.mendeley.com/documents/?uuid=c9a61c5e-c928-34f5-8a2d-f6bc97c7e0bc"]}],"mendeley":{"formattedCitation":"(6)","plainTextFormattedCitation":"(6)","previouslyFormattedCitation":"(6)"},"properties":{"noteIndex":0},"schema":"https://github.com/citation-style-language/schema/raw/master/csl-citation.json"}</w:instrText>
      </w:r>
      <w:r w:rsidR="003F31E1" w:rsidRPr="006B3495">
        <w:rPr>
          <w:rFonts w:asciiTheme="majorBidi" w:hAnsiTheme="majorBidi" w:cstheme="majorBidi"/>
          <w:sz w:val="24"/>
          <w:szCs w:val="24"/>
        </w:rPr>
        <w:fldChar w:fldCharType="separate"/>
      </w:r>
      <w:r w:rsidR="003F31E1" w:rsidRPr="006B3495">
        <w:rPr>
          <w:rFonts w:asciiTheme="majorBidi" w:hAnsiTheme="majorBidi" w:cstheme="majorBidi"/>
          <w:sz w:val="24"/>
          <w:szCs w:val="24"/>
        </w:rPr>
        <w:t>(6)</w:t>
      </w:r>
      <w:r w:rsidR="003F31E1"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w:t>
      </w:r>
    </w:p>
    <w:p w14:paraId="7FB90053" w14:textId="522F9CDE"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There are currently three fundamental categories of VCD: suture-based (Perclose ProGlide; Abbott Vascular, Inc.), collagen-based (Angio-Seal™; St. Jude Medical, Inc.), and </w:t>
      </w:r>
      <w:r w:rsidR="00703C2C" w:rsidRPr="006B3495">
        <w:rPr>
          <w:rFonts w:asciiTheme="majorBidi" w:hAnsiTheme="majorBidi" w:cstheme="majorBidi"/>
          <w:sz w:val="24"/>
          <w:szCs w:val="24"/>
        </w:rPr>
        <w:t xml:space="preserve">devices using clips </w:t>
      </w:r>
      <w:r w:rsidRPr="006B3495">
        <w:rPr>
          <w:rFonts w:asciiTheme="majorBidi" w:hAnsiTheme="majorBidi" w:cstheme="majorBidi"/>
          <w:sz w:val="24"/>
          <w:szCs w:val="24"/>
        </w:rPr>
        <w:t xml:space="preserve">and </w:t>
      </w:r>
      <w:r w:rsidR="00703C2C" w:rsidRPr="006B3495">
        <w:rPr>
          <w:rFonts w:asciiTheme="majorBidi" w:hAnsiTheme="majorBidi" w:cstheme="majorBidi"/>
          <w:sz w:val="24"/>
          <w:szCs w:val="24"/>
        </w:rPr>
        <w:t>staples</w:t>
      </w:r>
      <w:r w:rsidRPr="006B3495">
        <w:rPr>
          <w:rFonts w:asciiTheme="majorBidi" w:hAnsiTheme="majorBidi" w:cstheme="majorBidi"/>
          <w:sz w:val="24"/>
          <w:szCs w:val="24"/>
        </w:rPr>
        <w:t xml:space="preserve">. Their main objective is to facilitate efficient and </w:t>
      </w:r>
      <w:r w:rsidR="00212946" w:rsidRPr="006B3495">
        <w:rPr>
          <w:rFonts w:asciiTheme="majorBidi" w:hAnsiTheme="majorBidi" w:cstheme="majorBidi"/>
          <w:sz w:val="24"/>
          <w:szCs w:val="24"/>
        </w:rPr>
        <w:t>fast</w:t>
      </w:r>
      <w:r w:rsidRPr="006B3495">
        <w:rPr>
          <w:rFonts w:asciiTheme="majorBidi" w:hAnsiTheme="majorBidi" w:cstheme="majorBidi"/>
          <w:sz w:val="24"/>
          <w:szCs w:val="24"/>
        </w:rPr>
        <w:t xml:space="preserve"> haemostasis to minimise </w:t>
      </w:r>
      <w:r w:rsidR="00703C2C" w:rsidRPr="006B3495">
        <w:rPr>
          <w:rFonts w:asciiTheme="majorBidi" w:hAnsiTheme="majorBidi" w:cstheme="majorBidi"/>
          <w:sz w:val="24"/>
          <w:szCs w:val="24"/>
        </w:rPr>
        <w:t xml:space="preserve">bleeding-related </w:t>
      </w:r>
      <w:r w:rsidRPr="006B3495">
        <w:rPr>
          <w:rFonts w:asciiTheme="majorBidi" w:hAnsiTheme="majorBidi" w:cstheme="majorBidi"/>
          <w:sz w:val="24"/>
          <w:szCs w:val="24"/>
        </w:rPr>
        <w:t xml:space="preserve">complications and </w:t>
      </w:r>
      <w:r w:rsidR="00A3221E">
        <w:rPr>
          <w:rFonts w:asciiTheme="majorBidi" w:hAnsiTheme="majorBidi" w:cstheme="majorBidi"/>
          <w:sz w:val="24"/>
          <w:szCs w:val="24"/>
        </w:rPr>
        <w:t>shorten</w:t>
      </w:r>
      <w:r w:rsidR="00703C2C" w:rsidRPr="006B3495">
        <w:rPr>
          <w:rFonts w:asciiTheme="majorBidi" w:hAnsiTheme="majorBidi" w:cstheme="majorBidi"/>
          <w:sz w:val="24"/>
          <w:szCs w:val="24"/>
        </w:rPr>
        <w:t xml:space="preserve"> discharge time</w:t>
      </w:r>
      <w:r w:rsidRPr="006B3495">
        <w:rPr>
          <w:rFonts w:asciiTheme="majorBidi" w:hAnsiTheme="majorBidi" w:cstheme="majorBidi"/>
          <w:sz w:val="24"/>
          <w:szCs w:val="24"/>
        </w:rPr>
        <w:t xml:space="preserve">. Nevertheless, contradictory findings about their safety have lately emerged </w:t>
      </w:r>
      <w:r w:rsidR="003E5354"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{"citationItems":[{"id":"ITEM-1","itemData":{"DOI":"10.4137/CMC.S31932","ISSN":"11795468","abstract":"Background: Bleeding events after percutaneous coronary interventions (PCI) are associated with patients’ age, gender, and the presence of chronic kidney disease, antithrombotic treatment, as well as arterial access site. Patients being treated by PCI using radial access site are associated with an improved prognosis. However, the safety of femoral closure devices has never been compared to radial compression devices following PCI. Therefore, the aim of this study is to evaluate the safety of femoral closure compared to radial compression devices in patients treated by PCI envisaging access site bleedings as well as short- and long-term prognostic outcomes. Methods: The Femoral Closure versus Radial Compression Devices Related to Percutaneous Coronary Interventions (FERARI) study is a single-center observational study comparing 400 consecutive patients undergoing PCI either using radial compression devices (TR Band™) or femoral closure devices (Angio-Seal™) at the corresponding access site. The primary outcome consists of the occurrence of vascular complications at the arterial access site, including major bleedings as defined by common classification systems. Secondary outcomes consist of the occurrence of adverse cardiac events, including all-cause mortality, target lesion revascularization, and target vessel revascularization during 30 days and 12 months of follow-up. Results: Study enrollment was initiated in February 2014. The enrollment phase is expected to last until May 2015. Conclusions: The FERARI study intends to comparatively evaluate the safety and prognostic outcome of patients being treated by radial or femoral arterial closure devices following PCI during daily clinical practice.","author":[{"dropping-particle":"","family":"Behnes","given":"Michael","non-dropping-particle":"","parse-names":false,"suffix":""},{"dropping-particle":"","family":"Ünsal","given":"Melike","non-dropping-particle":"","parse-names":false,"suffix":""},{"dropping-particle":"","family":"Hoffmann","given":"Ursula","non-dropping-particle":"","parse-names":false,"suffix":""},{"dropping-particle":"","family":"Fastner","given":"Christian","non-dropping-particle":"","parse-names":false,"suffix":""},{"dropping-particle":"","family":"El-Battrawy","given":"Ibrahim","non-dropping-particle":"","parse-names":false,"suffix":""},{"dropping-particle":"","family":"Lang","given":"Siegfried","non-dropping-particle":"","parse-names":false,"suffix":""},{"dropping-particle":"","family":"Mashayekhi","given":"Kambis","non-dropping-particle":"","parse-names":false,"suffix":""},{"dropping-particle":"","family":"Lehmann","given":"Ralf","non-dropping-particle":"","parse-names":false,"suffix":""},{"dropping-particle":"","family":"Borggrefe","given":"Martin","non-dropping-particle":"","parse-names":false,"suffix":""},{"dropping-particle":"","family":"Akin","given":"Ibrahim","non-dropping-particle":"","parse-names":false,"suffix":""}],"container-title":"Clinical Medicine Insights: Cardiology","id":"ITEM-1","issued":{"date-parts":[["2015"]]},"title":"Design and rationale of the femoral closure versus radial compression devices related to percutaneous coronary interventions (FERARI) study","type":"article-journal","volume":"9"},"uris":["http://www.mendeley.com/documents/?uuid=c9a61c5e-c928-34f5-8a2d-f6bc97c7e0bc"]}],"mendeley":{"formattedCitation":"(6)","plainTextFormattedCitation":"(6)","previouslyFormattedCitation":"(6)"},"properties":{"noteIndex":0},"schema":"https://github.com/citation-style-language/schema/raw/master/csl-citation.json"}</w:instrText>
      </w:r>
      <w:r w:rsidR="003E5354"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(6)</w:t>
      </w:r>
      <w:r w:rsidR="003E5354" w:rsidRPr="006B3495">
        <w:rPr>
          <w:rFonts w:asciiTheme="majorBidi" w:hAnsiTheme="majorBidi" w:cstheme="majorBidi"/>
          <w:sz w:val="24"/>
          <w:szCs w:val="24"/>
        </w:rPr>
        <w:fldChar w:fldCharType="end"/>
      </w:r>
      <w:r w:rsidRPr="006B3495">
        <w:rPr>
          <w:rFonts w:asciiTheme="majorBidi" w:hAnsiTheme="majorBidi" w:cstheme="majorBidi"/>
          <w:sz w:val="24"/>
          <w:szCs w:val="24"/>
        </w:rPr>
        <w:t>.</w:t>
      </w:r>
    </w:p>
    <w:p w14:paraId="0CA1D40F" w14:textId="74B5872B" w:rsidR="008A6D25" w:rsidRDefault="00880A46" w:rsidP="00775EC0">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The radial approach is considerably more complicated </w:t>
      </w:r>
      <w:r w:rsidRPr="006B3495">
        <w:rPr>
          <w:rFonts w:asciiTheme="majorBidi" w:hAnsiTheme="majorBidi" w:cstheme="majorBidi"/>
          <w:sz w:val="24"/>
          <w:szCs w:val="24"/>
          <w:highlight w:val="yellow"/>
        </w:rPr>
        <w:t>due to</w:t>
      </w:r>
      <w:r w:rsidRPr="006B3495">
        <w:rPr>
          <w:rFonts w:asciiTheme="majorBidi" w:hAnsiTheme="majorBidi" w:cstheme="majorBidi"/>
          <w:sz w:val="24"/>
          <w:szCs w:val="24"/>
        </w:rPr>
        <w:t xml:space="preserve"> anatomical differences and arterial tortuosity. </w:t>
      </w:r>
      <w:r w:rsidRPr="006B3495">
        <w:rPr>
          <w:rFonts w:asciiTheme="majorBidi" w:hAnsiTheme="majorBidi" w:cstheme="majorBidi"/>
          <w:sz w:val="24"/>
          <w:szCs w:val="24"/>
          <w:highlight w:val="yellow"/>
        </w:rPr>
        <w:t>As a result,</w:t>
      </w:r>
      <w:r w:rsidRPr="006B3495">
        <w:rPr>
          <w:rFonts w:asciiTheme="majorBidi" w:hAnsiTheme="majorBidi" w:cstheme="majorBidi"/>
          <w:sz w:val="24"/>
          <w:szCs w:val="24"/>
        </w:rPr>
        <w:t xml:space="preserve"> transradial access (TRA) </w:t>
      </w:r>
      <w:r w:rsidRPr="006B3495">
        <w:rPr>
          <w:rFonts w:asciiTheme="majorBidi" w:hAnsiTheme="majorBidi" w:cstheme="majorBidi"/>
          <w:sz w:val="24"/>
          <w:szCs w:val="24"/>
          <w:highlight w:val="yellow"/>
        </w:rPr>
        <w:t>experiences</w:t>
      </w:r>
      <w:r w:rsidRPr="006B3495">
        <w:rPr>
          <w:rFonts w:asciiTheme="majorBidi" w:hAnsiTheme="majorBidi" w:cstheme="majorBidi"/>
          <w:sz w:val="24"/>
          <w:szCs w:val="24"/>
        </w:rPr>
        <w:t xml:space="preserve"> a higher rate of procedural failures and access-site crossings </w:t>
      </w:r>
      <w:r w:rsidRPr="006B3495">
        <w:rPr>
          <w:rFonts w:asciiTheme="majorBidi" w:hAnsiTheme="majorBidi" w:cstheme="majorBidi"/>
          <w:sz w:val="24"/>
          <w:szCs w:val="24"/>
          <w:highlight w:val="yellow"/>
        </w:rPr>
        <w:t>in comparison</w:t>
      </w:r>
      <w:r w:rsidRPr="006B3495">
        <w:rPr>
          <w:rFonts w:asciiTheme="majorBidi" w:hAnsiTheme="majorBidi" w:cstheme="majorBidi"/>
          <w:sz w:val="24"/>
          <w:szCs w:val="24"/>
        </w:rPr>
        <w:t xml:space="preserve"> to the more </w:t>
      </w:r>
      <w:r w:rsidRPr="006B3495">
        <w:rPr>
          <w:rFonts w:asciiTheme="majorBidi" w:hAnsiTheme="majorBidi" w:cstheme="majorBidi"/>
          <w:sz w:val="24"/>
          <w:szCs w:val="24"/>
          <w:highlight w:val="yellow"/>
        </w:rPr>
        <w:t>straightforward femoral approach</w:t>
      </w:r>
      <w:r w:rsidRPr="006B3495">
        <w:rPr>
          <w:rFonts w:asciiTheme="majorBidi" w:hAnsiTheme="majorBidi" w:cstheme="majorBidi"/>
          <w:sz w:val="24"/>
          <w:szCs w:val="24"/>
        </w:rPr>
        <w:t xml:space="preserve">. </w:t>
      </w:r>
      <w:r w:rsidRPr="006B3495">
        <w:rPr>
          <w:rFonts w:asciiTheme="majorBidi" w:hAnsiTheme="majorBidi" w:cstheme="majorBidi"/>
          <w:sz w:val="24"/>
          <w:szCs w:val="24"/>
          <w:highlight w:val="yellow"/>
        </w:rPr>
        <w:t>Therefore,</w:t>
      </w:r>
      <w:r w:rsidRPr="006B3495">
        <w:rPr>
          <w:rFonts w:asciiTheme="majorBidi" w:hAnsiTheme="majorBidi" w:cstheme="majorBidi"/>
          <w:sz w:val="24"/>
          <w:szCs w:val="24"/>
        </w:rPr>
        <w:t xml:space="preserve"> radiological interventions </w:t>
      </w:r>
      <w:r w:rsidRPr="006B3495">
        <w:rPr>
          <w:rFonts w:asciiTheme="majorBidi" w:hAnsiTheme="majorBidi" w:cstheme="majorBidi"/>
          <w:sz w:val="24"/>
          <w:szCs w:val="24"/>
          <w:highlight w:val="yellow"/>
        </w:rPr>
        <w:t xml:space="preserve">require </w:t>
      </w:r>
      <w:r w:rsidR="00A3221E">
        <w:rPr>
          <w:rFonts w:asciiTheme="majorBidi" w:hAnsiTheme="majorBidi" w:cstheme="majorBidi"/>
          <w:sz w:val="24"/>
          <w:szCs w:val="24"/>
          <w:highlight w:val="yellow"/>
        </w:rPr>
        <w:t>specialised</w:t>
      </w:r>
      <w:r w:rsidRPr="006B3495">
        <w:rPr>
          <w:rFonts w:asciiTheme="majorBidi" w:hAnsiTheme="majorBidi" w:cstheme="majorBidi"/>
          <w:sz w:val="24"/>
          <w:szCs w:val="24"/>
          <w:highlight w:val="yellow"/>
        </w:rPr>
        <w:t xml:space="preserve"> </w:t>
      </w:r>
      <w:r w:rsidRPr="006B3495">
        <w:rPr>
          <w:rFonts w:asciiTheme="majorBidi" w:hAnsiTheme="majorBidi" w:cstheme="majorBidi"/>
          <w:sz w:val="24"/>
          <w:szCs w:val="24"/>
        </w:rPr>
        <w:t xml:space="preserve">expertise and the </w:t>
      </w:r>
      <w:r w:rsidR="00A3221E" w:rsidRPr="00A3221E">
        <w:rPr>
          <w:rFonts w:asciiTheme="majorBidi" w:hAnsiTheme="majorBidi" w:cstheme="majorBidi"/>
          <w:sz w:val="24"/>
          <w:szCs w:val="24"/>
          <w:highlight w:val="yellow"/>
        </w:rPr>
        <w:t>utilisation</w:t>
      </w:r>
      <w:r w:rsidRPr="006B3495">
        <w:rPr>
          <w:rFonts w:asciiTheme="majorBidi" w:hAnsiTheme="majorBidi" w:cstheme="majorBidi"/>
          <w:sz w:val="24"/>
          <w:szCs w:val="24"/>
        </w:rPr>
        <w:t xml:space="preserve"> of small-diameter instruments, </w:t>
      </w:r>
      <w:r w:rsidRPr="006B3495">
        <w:rPr>
          <w:rFonts w:asciiTheme="majorBidi" w:hAnsiTheme="majorBidi" w:cstheme="majorBidi"/>
          <w:sz w:val="24"/>
          <w:szCs w:val="24"/>
          <w:highlight w:val="yellow"/>
        </w:rPr>
        <w:t>demanding a high level of precision</w:t>
      </w:r>
      <w:r w:rsidRPr="006B3495">
        <w:rPr>
          <w:rFonts w:asciiTheme="majorBidi" w:hAnsiTheme="majorBidi" w:cstheme="majorBidi"/>
          <w:sz w:val="24"/>
          <w:szCs w:val="24"/>
        </w:rPr>
        <w:t xml:space="preserve"> (2, 5). </w:t>
      </w:r>
    </w:p>
    <w:p w14:paraId="17BEC28C" w14:textId="7DED1DEC" w:rsidR="00D53999" w:rsidRPr="006B3495" w:rsidRDefault="00880A46" w:rsidP="00775EC0">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The radial artery, </w:t>
      </w:r>
      <w:r w:rsidRPr="006B3495">
        <w:rPr>
          <w:rFonts w:asciiTheme="majorBidi" w:hAnsiTheme="majorBidi" w:cstheme="majorBidi"/>
          <w:sz w:val="24"/>
          <w:szCs w:val="24"/>
          <w:highlight w:val="yellow"/>
        </w:rPr>
        <w:t>being a</w:t>
      </w:r>
      <w:r w:rsidRPr="006B3495">
        <w:rPr>
          <w:rFonts w:asciiTheme="majorBidi" w:hAnsiTheme="majorBidi" w:cstheme="majorBidi"/>
          <w:sz w:val="24"/>
          <w:szCs w:val="24"/>
        </w:rPr>
        <w:t xml:space="preserve"> muscular artery, </w:t>
      </w:r>
      <w:r w:rsidRPr="006B3495">
        <w:rPr>
          <w:rFonts w:asciiTheme="majorBidi" w:hAnsiTheme="majorBidi" w:cstheme="majorBidi"/>
          <w:sz w:val="24"/>
          <w:szCs w:val="24"/>
          <w:highlight w:val="yellow"/>
        </w:rPr>
        <w:t>is susceptible</w:t>
      </w:r>
      <w:r w:rsidRPr="006B3495">
        <w:rPr>
          <w:rFonts w:asciiTheme="majorBidi" w:hAnsiTheme="majorBidi" w:cstheme="majorBidi"/>
          <w:sz w:val="24"/>
          <w:szCs w:val="24"/>
        </w:rPr>
        <w:t xml:space="preserve"> to significant spasms, </w:t>
      </w:r>
      <w:r w:rsidRPr="006B3495">
        <w:rPr>
          <w:rFonts w:asciiTheme="majorBidi" w:hAnsiTheme="majorBidi" w:cstheme="majorBidi"/>
          <w:sz w:val="24"/>
          <w:szCs w:val="24"/>
          <w:highlight w:val="yellow"/>
        </w:rPr>
        <w:t>which can lead to</w:t>
      </w:r>
      <w:r w:rsidRPr="006B3495">
        <w:rPr>
          <w:rFonts w:asciiTheme="majorBidi" w:hAnsiTheme="majorBidi" w:cstheme="majorBidi"/>
          <w:sz w:val="24"/>
          <w:szCs w:val="24"/>
        </w:rPr>
        <w:t xml:space="preserve"> discomfort for patients and </w:t>
      </w:r>
      <w:r w:rsidRPr="006B3495">
        <w:rPr>
          <w:rFonts w:asciiTheme="majorBidi" w:hAnsiTheme="majorBidi" w:cstheme="majorBidi"/>
          <w:sz w:val="24"/>
          <w:szCs w:val="24"/>
          <w:highlight w:val="yellow"/>
        </w:rPr>
        <w:t>may extend</w:t>
      </w:r>
      <w:r w:rsidRPr="006B3495">
        <w:rPr>
          <w:rFonts w:asciiTheme="majorBidi" w:hAnsiTheme="majorBidi" w:cstheme="majorBidi"/>
          <w:sz w:val="24"/>
          <w:szCs w:val="24"/>
        </w:rPr>
        <w:t xml:space="preserve"> procedural duration and radiation exposure (3). </w:t>
      </w:r>
      <w:r w:rsidRPr="006B3495">
        <w:rPr>
          <w:rFonts w:asciiTheme="majorBidi" w:hAnsiTheme="majorBidi" w:cstheme="majorBidi"/>
          <w:sz w:val="24"/>
          <w:szCs w:val="24"/>
          <w:highlight w:val="yellow"/>
        </w:rPr>
        <w:t>However,</w:t>
      </w:r>
      <w:r w:rsidRPr="006B3495">
        <w:rPr>
          <w:rFonts w:asciiTheme="majorBidi" w:hAnsiTheme="majorBidi" w:cstheme="majorBidi"/>
          <w:sz w:val="24"/>
          <w:szCs w:val="24"/>
        </w:rPr>
        <w:t xml:space="preserve"> some studies have </w:t>
      </w:r>
      <w:r w:rsidRPr="006B3495">
        <w:rPr>
          <w:rFonts w:asciiTheme="majorBidi" w:hAnsiTheme="majorBidi" w:cstheme="majorBidi"/>
          <w:sz w:val="24"/>
          <w:szCs w:val="24"/>
          <w:highlight w:val="yellow"/>
        </w:rPr>
        <w:t>reported</w:t>
      </w:r>
      <w:r w:rsidRPr="006B3495">
        <w:rPr>
          <w:rFonts w:asciiTheme="majorBidi" w:hAnsiTheme="majorBidi" w:cstheme="majorBidi"/>
          <w:sz w:val="24"/>
          <w:szCs w:val="24"/>
        </w:rPr>
        <w:t xml:space="preserve"> differing </w:t>
      </w:r>
      <w:r w:rsidRPr="006B3495">
        <w:rPr>
          <w:rFonts w:asciiTheme="majorBidi" w:hAnsiTheme="majorBidi" w:cstheme="majorBidi"/>
          <w:sz w:val="24"/>
          <w:szCs w:val="24"/>
          <w:highlight w:val="yellow"/>
        </w:rPr>
        <w:t>findings</w:t>
      </w:r>
      <w:r w:rsidRPr="006B3495">
        <w:rPr>
          <w:rFonts w:asciiTheme="majorBidi" w:hAnsiTheme="majorBidi" w:cstheme="majorBidi"/>
          <w:sz w:val="24"/>
          <w:szCs w:val="24"/>
        </w:rPr>
        <w:t xml:space="preserve"> (7). Vascular complications </w:t>
      </w:r>
      <w:r w:rsidRPr="006B3495">
        <w:rPr>
          <w:rFonts w:asciiTheme="majorBidi" w:hAnsiTheme="majorBidi" w:cstheme="majorBidi"/>
          <w:sz w:val="24"/>
          <w:szCs w:val="24"/>
          <w:highlight w:val="yellow"/>
        </w:rPr>
        <w:t>following</w:t>
      </w:r>
      <w:r w:rsidRPr="006B3495">
        <w:rPr>
          <w:rFonts w:asciiTheme="majorBidi" w:hAnsiTheme="majorBidi" w:cstheme="majorBidi"/>
          <w:sz w:val="24"/>
          <w:szCs w:val="24"/>
        </w:rPr>
        <w:t xml:space="preserve"> transradial PCI primarily s</w:t>
      </w:r>
      <w:r w:rsidRPr="006B3495">
        <w:rPr>
          <w:rFonts w:asciiTheme="majorBidi" w:hAnsiTheme="majorBidi" w:cstheme="majorBidi"/>
          <w:sz w:val="24"/>
          <w:szCs w:val="24"/>
          <w:highlight w:val="yellow"/>
        </w:rPr>
        <w:t>tem from</w:t>
      </w:r>
      <w:r w:rsidRPr="006B3495">
        <w:rPr>
          <w:rFonts w:asciiTheme="majorBidi" w:hAnsiTheme="majorBidi" w:cstheme="majorBidi"/>
          <w:sz w:val="24"/>
          <w:szCs w:val="24"/>
        </w:rPr>
        <w:t xml:space="preserve"> the closure of the radial artery access site (8, 9).</w:t>
      </w:r>
    </w:p>
    <w:p w14:paraId="569A35DB" w14:textId="77777777" w:rsidR="008A6D25" w:rsidRDefault="00D00B03" w:rsidP="00D00B03">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lastRenderedPageBreak/>
        <w:t>Vascular closure devices (VCDs) enhance comfort for patients, free medical staff resources, and reduce the overall duration required for haemostasis, ambulation, and discharge</w:t>
      </w:r>
      <w:r w:rsidR="008A6D25">
        <w:rPr>
          <w:rFonts w:asciiTheme="majorBidi" w:hAnsiTheme="majorBidi" w:cstheme="majorBidi"/>
          <w:sz w:val="24"/>
          <w:szCs w:val="24"/>
        </w:rPr>
        <w:t xml:space="preserve"> </w:t>
      </w:r>
      <w:r w:rsidR="008A6D25" w:rsidRPr="006B3495">
        <w:rPr>
          <w:rFonts w:asciiTheme="majorBidi" w:hAnsiTheme="majorBidi" w:cstheme="majorBidi"/>
          <w:sz w:val="24"/>
          <w:szCs w:val="24"/>
        </w:rPr>
        <w:fldChar w:fldCharType="begin" w:fldLock="1"/>
      </w:r>
      <w:r w:rsidR="008A6D25" w:rsidRPr="006B3495">
        <w:rPr>
          <w:rFonts w:asciiTheme="majorBidi" w:hAnsiTheme="majorBidi" w:cstheme="majorBidi"/>
          <w:sz w:val="24"/>
          <w:szCs w:val="24"/>
        </w:rPr>
        <w:instrText>ADDIN CSL_CITATION {"citationItems":[{"id":"ITEM-1","itemData":{"ISSN":"10423931","abstract":"BACKGROUND: Vascular access-site complications are an important cause of morbidity following catheterization procedures. Manual compression is the \"gold standard\" in achieving hemostasis of an arteriotomy site; however, manual compression is limited by the need to interrupt anticoagulation, prolonged bed rest, patient discomfort and time demands for healthcare providers. Vascular closure devices (VCDs) improve patient comfort, free medical staff resources and shorten the time needed for hemostasis, ambulation and discharge. However, the safety of VCDs remains in question and they may increase the risks of infection and leg ischemia. Compared with manual compression, the rate of major complications appears to be increased with VasoSeal, decreased with Angio-Seal and decreased in diagnostic cases with Perclose. The safety of VCDs cannot be assumed due to \"class effect,\" and nearly all individual trials are underpowered to detect differences in complication rates, so the safety of other individual VCDs is unclear. In the absence of puncture site-related risk factors, VCDs as a whole appear to have little influence on complication rates, and patients at high baseline risk for bleeding due to clinical factors may benefit from these devices. Screening with femoral angiography prior to VCD placement and avoidance of VCDs in the presence of puncture site-related risk factors might reduce the risk of vascular complications. This review describes the mechanism, efficacy and safety of VCDs including hemostasis pads, the FemoStop, Clamp Ease, Mynx, Duett, FISH, Boomerang, ExoSeal, Starclose, VasoSeal, Angio-Seal and Perclose devices.","author":[{"dropping-particle":"","family":"Schwartz","given":"Bryan G.","non-dropping-particle":"","parse-names":false,"suffix":""},{"dropping-particle":"","family":"Burstein","given":"Steven","non-dropping-particle":"","parse-names":false,"suffix":""},{"dropping-particle":"","family":"Economides","given":"Christina","non-dropping-particle":"","parse-names":false,"suffix":""},{"dropping-particle":"","family":"Kloner","given":"Robert A.","non-dropping-particle":"","parse-names":false,"suffix":""},{"dropping-particle":"","family":"Shavelle","given":"David M.","non-dropping-particle":"","parse-names":false,"suffix":""},{"dropping-particle":"","family":"Mayeda","given":"Guy S.","non-dropping-particle":"","parse-names":false,"suffix":""}],"container-title":"Journal of Invasive Cardiology","id":"ITEM-1","issue":"7","issued":{"date-parts":[["2011"]]},"title":"Review of vascular closure devices","type":"article","volume":"19"},"uris":["http://www.mendeley.com/documents/?uuid=d3e5cbc4-42af-3812-a3aa-6d164f283ea4"]}],"mendeley":{"formattedCitation":"(10)","plainTextFormattedCitation":"(10)","previouslyFormattedCitation":"(10)"},"properties":{"noteIndex":0},"schema":"https://github.com/citation-style-language/schema/raw/master/csl-citation.json"}</w:instrText>
      </w:r>
      <w:r w:rsidR="008A6D25" w:rsidRPr="006B3495">
        <w:rPr>
          <w:rFonts w:asciiTheme="majorBidi" w:hAnsiTheme="majorBidi" w:cstheme="majorBidi"/>
          <w:sz w:val="24"/>
          <w:szCs w:val="24"/>
        </w:rPr>
        <w:fldChar w:fldCharType="separate"/>
      </w:r>
      <w:r w:rsidR="008A6D25" w:rsidRPr="006B3495">
        <w:rPr>
          <w:rFonts w:asciiTheme="majorBidi" w:hAnsiTheme="majorBidi" w:cstheme="majorBidi"/>
          <w:sz w:val="24"/>
          <w:szCs w:val="24"/>
        </w:rPr>
        <w:t>(10)</w:t>
      </w:r>
      <w:r w:rsidR="008A6D25"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w:t>
      </w:r>
    </w:p>
    <w:p w14:paraId="491D923D" w14:textId="264721F1" w:rsidR="008A6D25" w:rsidRDefault="00D00B03" w:rsidP="00D00B03">
      <w:pPr>
        <w:spacing w:after="240" w:line="480" w:lineRule="auto"/>
        <w:jc w:val="both"/>
        <w:rPr>
          <w:rFonts w:asciiTheme="majorBidi" w:hAnsiTheme="majorBidi" w:cstheme="majorBidi"/>
          <w:sz w:val="24"/>
          <w:szCs w:val="24"/>
        </w:rPr>
      </w:pPr>
      <w:r w:rsidRPr="00CB454E">
        <w:rPr>
          <w:rFonts w:asciiTheme="majorBidi" w:hAnsiTheme="majorBidi" w:cstheme="majorBidi"/>
          <w:sz w:val="24"/>
          <w:szCs w:val="24"/>
        </w:rPr>
        <w:t xml:space="preserve">In addition, </w:t>
      </w:r>
      <w:r w:rsidR="00CB454E" w:rsidRPr="00CB454E">
        <w:rPr>
          <w:rFonts w:asciiTheme="majorBidi" w:hAnsiTheme="majorBidi" w:cstheme="majorBidi"/>
          <w:sz w:val="24"/>
          <w:szCs w:val="24"/>
          <w:highlight w:val="yellow"/>
        </w:rPr>
        <w:t>decreasing</w:t>
      </w:r>
      <w:r w:rsidRPr="00CB454E">
        <w:rPr>
          <w:rFonts w:asciiTheme="majorBidi" w:hAnsiTheme="majorBidi" w:cstheme="majorBidi"/>
          <w:sz w:val="24"/>
          <w:szCs w:val="24"/>
          <w:highlight w:val="yellow"/>
        </w:rPr>
        <w:t xml:space="preserve"> the risk of vascular complications</w:t>
      </w:r>
      <w:r w:rsidRPr="00CB454E">
        <w:rPr>
          <w:rFonts w:asciiTheme="majorBidi" w:hAnsiTheme="majorBidi" w:cstheme="majorBidi"/>
          <w:sz w:val="24"/>
          <w:szCs w:val="24"/>
        </w:rPr>
        <w:t xml:space="preserve">. Nonetheless, the safety of </w:t>
      </w:r>
      <w:r w:rsidRPr="006B3495">
        <w:rPr>
          <w:rFonts w:asciiTheme="majorBidi" w:hAnsiTheme="majorBidi" w:cstheme="majorBidi"/>
          <w:sz w:val="24"/>
          <w:szCs w:val="24"/>
        </w:rPr>
        <w:t xml:space="preserve">VCDs is still uncertain, and they may elevate the risks for infection and leg ischaemia. In contrast to manual compression, the safety of VCDs cannot be presumed because of the "class </w:t>
      </w:r>
      <w:r w:rsidR="00D35D0D">
        <w:rPr>
          <w:rFonts w:asciiTheme="majorBidi" w:hAnsiTheme="majorBidi" w:cstheme="majorBidi"/>
          <w:sz w:val="24"/>
          <w:szCs w:val="24"/>
        </w:rPr>
        <w:t>effect”</w:t>
      </w:r>
      <w:r w:rsidRPr="006B3495">
        <w:rPr>
          <w:rFonts w:asciiTheme="majorBidi" w:hAnsiTheme="majorBidi" w:cstheme="majorBidi"/>
          <w:sz w:val="24"/>
          <w:szCs w:val="24"/>
        </w:rPr>
        <w:t xml:space="preserve"> as the majority of individual trials lack sufficient power to identify variations in percentages of </w:t>
      </w:r>
      <w:r w:rsidR="00D35D0D">
        <w:rPr>
          <w:rFonts w:asciiTheme="majorBidi" w:hAnsiTheme="majorBidi" w:cstheme="majorBidi"/>
          <w:sz w:val="24"/>
          <w:szCs w:val="24"/>
        </w:rPr>
        <w:t>complications,</w:t>
      </w:r>
      <w:r w:rsidRPr="006B3495">
        <w:rPr>
          <w:rFonts w:asciiTheme="majorBidi" w:hAnsiTheme="majorBidi" w:cstheme="majorBidi"/>
          <w:sz w:val="24"/>
          <w:szCs w:val="24"/>
        </w:rPr>
        <w:t xml:space="preserve"> rendering the safety of further specific VCDs ambiguous. If there aren't any risk factors related to the puncture site, VCDs don't seem to have much of an effect on the rates of complications</w:t>
      </w:r>
      <w:r w:rsidR="008A6D25">
        <w:rPr>
          <w:rFonts w:asciiTheme="majorBidi" w:hAnsiTheme="majorBidi" w:cstheme="majorBidi"/>
          <w:sz w:val="24"/>
          <w:szCs w:val="24"/>
        </w:rPr>
        <w:t xml:space="preserve"> </w:t>
      </w:r>
      <w:r w:rsidR="008A6D25" w:rsidRPr="006B3495">
        <w:rPr>
          <w:rFonts w:asciiTheme="majorBidi" w:hAnsiTheme="majorBidi" w:cstheme="majorBidi"/>
          <w:sz w:val="24"/>
          <w:szCs w:val="24"/>
        </w:rPr>
        <w:fldChar w:fldCharType="begin" w:fldLock="1"/>
      </w:r>
      <w:r w:rsidR="008A6D25" w:rsidRPr="006B3495">
        <w:rPr>
          <w:rFonts w:asciiTheme="majorBidi" w:hAnsiTheme="majorBidi" w:cstheme="majorBidi"/>
          <w:sz w:val="24"/>
          <w:szCs w:val="24"/>
        </w:rPr>
        <w:instrText>ADDIN CSL_CITATION {"citationItems":[{"id":"ITEM-1","itemData":{"ISSN":"10423931","abstract":"BACKGROUND: Vascular access-site complications are an important cause of morbidity following catheterization procedures. Manual compression is the \"gold standard\" in achieving hemostasis of an arteriotomy site; however, manual compression is limited by the need to interrupt anticoagulation, prolonged bed rest, patient discomfort and time demands for healthcare providers. Vascular closure devices (VCDs) improve patient comfort, free medical staff resources and shorten the time needed for hemostasis, ambulation and discharge. However, the safety of VCDs remains in question and they may increase the risks of infection and leg ischemia. Compared with manual compression, the rate of major complications appears to be increased with VasoSeal, decreased with Angio-Seal and decreased in diagnostic cases with Perclose. The safety of VCDs cannot be assumed due to \"class effect,\" and nearly all individual trials are underpowered to detect differences in complication rates, so the safety of other individual VCDs is unclear. In the absence of puncture site-related risk factors, VCDs as a whole appear to have little influence on complication rates, and patients at high baseline risk for bleeding due to clinical factors may benefit from these devices. Screening with femoral angiography prior to VCD placement and avoidance of VCDs in the presence of puncture site-related risk factors might reduce the risk of vascular complications. This review describes the mechanism, efficacy and safety of VCDs including hemostasis pads, the FemoStop, Clamp Ease, Mynx, Duett, FISH, Boomerang, ExoSeal, Starclose, VasoSeal, Angio-Seal and Perclose devices.","author":[{"dropping-particle":"","family":"Schwartz","given":"Bryan G.","non-dropping-particle":"","parse-names":false,"suffix":""},{"dropping-particle":"","family":"Burstein","given":"Steven","non-dropping-particle":"","parse-names":false,"suffix":""},{"dropping-particle":"","family":"Economides","given":"Christina","non-dropping-particle":"","parse-names":false,"suffix":""},{"dropping-particle":"","family":"Kloner","given":"Robert A.","non-dropping-particle":"","parse-names":false,"suffix":""},{"dropping-particle":"","family":"Shavelle","given":"David M.","non-dropping-particle":"","parse-names":false,"suffix":""},{"dropping-particle":"","family":"Mayeda","given":"Guy S.","non-dropping-particle":"","parse-names":false,"suffix":""}],"container-title":"Journal of Invasive Cardiology","id":"ITEM-1","issue":"7","issued":{"date-parts":[["2011"]]},"title":"Review of vascular closure devices","type":"article","volume":"19"},"uris":["http://www.mendeley.com/documents/?uuid=d3e5cbc4-42af-3812-a3aa-6d164f283ea4"]}],"mendeley":{"formattedCitation":"(10)","plainTextFormattedCitation":"(10)","previouslyFormattedCitation":"(10)"},"properties":{"noteIndex":0},"schema":"https://github.com/citation-style-language/schema/raw/master/csl-citation.json"}</w:instrText>
      </w:r>
      <w:r w:rsidR="008A6D25" w:rsidRPr="006B3495">
        <w:rPr>
          <w:rFonts w:asciiTheme="majorBidi" w:hAnsiTheme="majorBidi" w:cstheme="majorBidi"/>
          <w:sz w:val="24"/>
          <w:szCs w:val="24"/>
        </w:rPr>
        <w:fldChar w:fldCharType="separate"/>
      </w:r>
      <w:r w:rsidR="008A6D25" w:rsidRPr="006B3495">
        <w:rPr>
          <w:rFonts w:asciiTheme="majorBidi" w:hAnsiTheme="majorBidi" w:cstheme="majorBidi"/>
          <w:sz w:val="24"/>
          <w:szCs w:val="24"/>
        </w:rPr>
        <w:t>(10)</w:t>
      </w:r>
      <w:r w:rsidR="008A6D25"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w:t>
      </w:r>
    </w:p>
    <w:p w14:paraId="3B603621" w14:textId="38059478" w:rsidR="00D00B03" w:rsidRDefault="00D00B03" w:rsidP="00D00B03">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highlight w:val="yellow"/>
        </w:rPr>
        <w:t>However,</w:t>
      </w:r>
      <w:r w:rsidRPr="006B3495">
        <w:rPr>
          <w:rFonts w:asciiTheme="majorBidi" w:hAnsiTheme="majorBidi" w:cstheme="majorBidi"/>
          <w:sz w:val="24"/>
          <w:szCs w:val="24"/>
        </w:rPr>
        <w:t xml:space="preserve"> these devices may help people who are already at a high risk for bleeding because of their medical condition. Screening with femoral angiography before the placement of VCD and not using VCDs if there are risk factors related to the puncture site could lower the risk of vascular complications </w:t>
      </w:r>
      <w:r w:rsidRPr="006B3495">
        <w:rPr>
          <w:rFonts w:asciiTheme="majorBidi" w:hAnsiTheme="majorBidi" w:cstheme="majorBidi"/>
          <w:sz w:val="24"/>
          <w:szCs w:val="24"/>
        </w:rPr>
        <w:fldChar w:fldCharType="begin" w:fldLock="1"/>
      </w:r>
      <w:r w:rsidRPr="006B3495">
        <w:rPr>
          <w:rFonts w:asciiTheme="majorBidi" w:hAnsiTheme="majorBidi" w:cstheme="majorBidi"/>
          <w:sz w:val="24"/>
          <w:szCs w:val="24"/>
        </w:rPr>
        <w:instrText>ADDIN CSL_CITATION {"citationItems":[{"id":"ITEM-1","itemData":{"ISSN":"10423931","abstract":"BACKGROUND: Vascular access-site complications are an important cause of morbidity following catheterization procedures. Manual compression is the \"gold standard\" in achieving hemostasis of an arteriotomy site; however, manual compression is limited by the need to interrupt anticoagulation, prolonged bed rest, patient discomfort and time demands for healthcare providers. Vascular closure devices (VCDs) improve patient comfort, free medical staff resources and shorten the time needed for hemostasis, ambulation and discharge. However, the safety of VCDs remains in question and they may increase the risks of infection and leg ischemia. Compared with manual compression, the rate of major complications appears to be increased with VasoSeal, decreased with Angio-Seal and decreased in diagnostic cases with Perclose. The safety of VCDs cannot be assumed due to \"class effect,\" and nearly all individual trials are underpowered to detect differences in complication rates, so the safety of other individual VCDs is unclear. In the absence of puncture site-related risk factors, VCDs as a whole appear to have little influence on complication rates, and patients at high baseline risk for bleeding due to clinical factors may benefit from these devices. Screening with femoral angiography prior to VCD placement and avoidance of VCDs in the presence of puncture site-related risk factors might reduce the risk of vascular complications. This review describes the mechanism, efficacy and safety of VCDs including hemostasis pads, the FemoStop, Clamp Ease, Mynx, Duett, FISH, Boomerang, ExoSeal, Starclose, VasoSeal, Angio-Seal and Perclose devices.","author":[{"dropping-particle":"","family":"Schwartz","given":"Bryan G.","non-dropping-particle":"","parse-names":false,"suffix":""},{"dropping-particle":"","family":"Burstein","given":"Steven","non-dropping-particle":"","parse-names":false,"suffix":""},{"dropping-particle":"","family":"Economides","given":"Christina","non-dropping-particle":"","parse-names":false,"suffix":""},{"dropping-particle":"","family":"Kloner","given":"Robert A.","non-dropping-particle":"","parse-names":false,"suffix":""},{"dropping-particle":"","family":"Shavelle","given":"David M.","non-dropping-particle":"","parse-names":false,"suffix":""},{"dropping-particle":"","family":"Mayeda","given":"Guy S.","non-dropping-particle":"","parse-names":false,"suffix":""}],"container-title":"Journal of Invasive Cardiology","id":"ITEM-1","issue":"7","issued":{"date-parts":[["2011"]]},"title":"Review of vascular closure devices","type":"article","volume":"19"},"uris":["http://www.mendeley.com/documents/?uuid=d3e5cbc4-42af-3812-a3aa-6d164f283ea4"]}],"mendeley":{"formattedCitation":"(10)","plainTextFormattedCitation":"(10)","previouslyFormattedCitation":"(10)"},"properties":{"noteIndex":0},"schema":"https://github.com/citation-style-language/schema/raw/master/csl-citation.json"}</w:instrText>
      </w:r>
      <w:r w:rsidRPr="006B3495">
        <w:rPr>
          <w:rFonts w:asciiTheme="majorBidi" w:hAnsiTheme="majorBidi" w:cstheme="majorBidi"/>
          <w:sz w:val="24"/>
          <w:szCs w:val="24"/>
        </w:rPr>
        <w:fldChar w:fldCharType="separate"/>
      </w:r>
      <w:r w:rsidRPr="006B3495">
        <w:rPr>
          <w:rFonts w:asciiTheme="majorBidi" w:hAnsiTheme="majorBidi" w:cstheme="majorBidi"/>
          <w:sz w:val="24"/>
          <w:szCs w:val="24"/>
        </w:rPr>
        <w:t>(10)</w:t>
      </w:r>
      <w:r w:rsidRPr="006B3495">
        <w:rPr>
          <w:rFonts w:asciiTheme="majorBidi" w:hAnsiTheme="majorBidi" w:cstheme="majorBidi"/>
          <w:sz w:val="24"/>
          <w:szCs w:val="24"/>
        </w:rPr>
        <w:fldChar w:fldCharType="end"/>
      </w:r>
      <w:r w:rsidRPr="006B3495">
        <w:rPr>
          <w:rFonts w:asciiTheme="majorBidi" w:hAnsiTheme="majorBidi" w:cstheme="majorBidi"/>
          <w:sz w:val="24"/>
          <w:szCs w:val="24"/>
        </w:rPr>
        <w:t>.</w:t>
      </w:r>
    </w:p>
    <w:p w14:paraId="42B36042" w14:textId="3F077065" w:rsidR="009C2CF8" w:rsidRPr="0083425F" w:rsidRDefault="009C2CF8" w:rsidP="00D00B03">
      <w:pPr>
        <w:spacing w:after="240" w:line="480" w:lineRule="auto"/>
        <w:jc w:val="both"/>
        <w:rPr>
          <w:rFonts w:asciiTheme="majorBidi" w:hAnsiTheme="majorBidi" w:cstheme="majorBidi"/>
          <w:sz w:val="24"/>
          <w:szCs w:val="24"/>
        </w:rPr>
      </w:pPr>
      <w:r w:rsidRPr="0083425F">
        <w:rPr>
          <w:rFonts w:asciiTheme="majorBidi" w:hAnsiTheme="majorBidi" w:cstheme="majorBidi"/>
          <w:sz w:val="24"/>
          <w:szCs w:val="24"/>
        </w:rPr>
        <w:t>The incidence and clinical impact of VCD failure remain insufficiently characterised. Although several studies have documented reductions in access-site complications and improvements in procedural efficiency, other investigations have reported higher rates of device failure, arterial injury, and infection. These conflicting findings underscore the necessity for additional comparative studies across diverse patient populations</w:t>
      </w:r>
      <w:r w:rsidR="003A4446" w:rsidRPr="0083425F">
        <w:rPr>
          <w:rFonts w:asciiTheme="majorBidi" w:hAnsiTheme="majorBidi" w:cstheme="majorBidi"/>
          <w:sz w:val="24"/>
          <w:szCs w:val="24"/>
        </w:rPr>
        <w:t xml:space="preserve"> (66)</w:t>
      </w:r>
      <w:r w:rsidRPr="0083425F">
        <w:rPr>
          <w:rFonts w:asciiTheme="majorBidi" w:hAnsiTheme="majorBidi" w:cstheme="majorBidi"/>
          <w:sz w:val="24"/>
          <w:szCs w:val="24"/>
        </w:rPr>
        <w:t>, including the setting examined in this research.</w:t>
      </w:r>
    </w:p>
    <w:p w14:paraId="4EB95D2C" w14:textId="01174053" w:rsidR="00004AAA" w:rsidRPr="0083425F" w:rsidRDefault="00004AAA" w:rsidP="00944CBE">
      <w:pPr>
        <w:spacing w:after="240" w:line="480" w:lineRule="auto"/>
        <w:jc w:val="both"/>
        <w:rPr>
          <w:rFonts w:asciiTheme="majorBidi" w:hAnsiTheme="majorBidi" w:cstheme="majorBidi"/>
          <w:sz w:val="24"/>
          <w:szCs w:val="24"/>
        </w:rPr>
      </w:pPr>
      <w:r w:rsidRPr="0083425F">
        <w:rPr>
          <w:rFonts w:asciiTheme="majorBidi" w:hAnsiTheme="majorBidi" w:cstheme="majorBidi"/>
          <w:sz w:val="24"/>
          <w:szCs w:val="24"/>
        </w:rPr>
        <w:t xml:space="preserve">PCI performed via radial arterial access has been shown in multiple large-scale </w:t>
      </w:r>
      <w:r w:rsidR="00D35D0D" w:rsidRPr="0083425F">
        <w:rPr>
          <w:rFonts w:asciiTheme="majorBidi" w:hAnsiTheme="majorBidi" w:cstheme="majorBidi"/>
          <w:sz w:val="24"/>
          <w:szCs w:val="24"/>
        </w:rPr>
        <w:t>randomised</w:t>
      </w:r>
      <w:r w:rsidRPr="0083425F">
        <w:rPr>
          <w:rFonts w:asciiTheme="majorBidi" w:hAnsiTheme="majorBidi" w:cstheme="majorBidi"/>
          <w:sz w:val="24"/>
          <w:szCs w:val="24"/>
        </w:rPr>
        <w:t xml:space="preserve"> controlled trials and meta-analyses to reduce vascular complications, including major bleeding, and improve overall patient outcomes compared with femoral </w:t>
      </w:r>
      <w:r w:rsidRPr="0083425F">
        <w:rPr>
          <w:rFonts w:asciiTheme="majorBidi" w:hAnsiTheme="majorBidi" w:cstheme="majorBidi"/>
          <w:sz w:val="24"/>
          <w:szCs w:val="24"/>
        </w:rPr>
        <w:lastRenderedPageBreak/>
        <w:t>access. Nevertheless, the evidence regarding major adverse events following PCI using either femoral or radial access remains inconclusive (67).</w:t>
      </w:r>
    </w:p>
    <w:p w14:paraId="663BA335" w14:textId="4711CCD2" w:rsidR="00EC74E8" w:rsidRPr="00A11B6B" w:rsidRDefault="00D5674C" w:rsidP="00A11B6B">
      <w:pPr>
        <w:pStyle w:val="a"/>
      </w:pPr>
      <w:bookmarkStart w:id="27" w:name="_Toc212871503"/>
      <w:r w:rsidRPr="00A11B6B">
        <w:rPr>
          <w:highlight w:val="yellow"/>
        </w:rPr>
        <w:t>Conceptual definitions</w:t>
      </w:r>
      <w:bookmarkEnd w:id="27"/>
    </w:p>
    <w:p w14:paraId="002D72F6" w14:textId="006324D2" w:rsidR="001A0726" w:rsidRPr="006B3495" w:rsidRDefault="00B90BF8" w:rsidP="00665AD7">
      <w:pPr>
        <w:spacing w:after="240" w:line="480" w:lineRule="auto"/>
        <w:jc w:val="both"/>
        <w:rPr>
          <w:rFonts w:asciiTheme="majorBidi" w:hAnsiTheme="majorBidi" w:cstheme="majorBidi"/>
          <w:sz w:val="24"/>
          <w:szCs w:val="24"/>
        </w:rPr>
      </w:pPr>
      <w:r w:rsidRPr="006B3495">
        <w:rPr>
          <w:rFonts w:asciiTheme="majorBidi" w:hAnsiTheme="majorBidi" w:cstheme="majorBidi"/>
          <w:b/>
          <w:bCs/>
          <w:sz w:val="24"/>
          <w:szCs w:val="24"/>
        </w:rPr>
        <w:t xml:space="preserve">Radial access: </w:t>
      </w:r>
      <w:r w:rsidR="001A0726" w:rsidRPr="006B3495">
        <w:rPr>
          <w:rFonts w:asciiTheme="majorBidi" w:hAnsiTheme="majorBidi" w:cstheme="majorBidi"/>
          <w:sz w:val="24"/>
          <w:szCs w:val="24"/>
        </w:rPr>
        <w:t>The radial artery at the wrist serves as the catheter's entrance location. The cardiovascular specialist threads the slender catheter into the arm's arterial network, then into the chest, finally getting to the heart.</w:t>
      </w:r>
      <w:r w:rsidR="00917E05" w:rsidRPr="006B3495">
        <w:rPr>
          <w:rFonts w:asciiTheme="majorBidi" w:hAnsiTheme="majorBidi" w:cstheme="majorBidi"/>
          <w:sz w:val="24"/>
          <w:szCs w:val="24"/>
        </w:rPr>
        <w:t xml:space="preserve"> Following puncturing the radial artery and passing the sheath, a solution consisting of two ml of lidocaine, 40 mg of isosorbide mononitrate, and 5000 IU of unfractionated heparin is administered into the radial artery.</w:t>
      </w:r>
      <w:r w:rsidR="005618CA" w:rsidRPr="006B3495">
        <w:rPr>
          <w:rFonts w:asciiTheme="majorBidi" w:hAnsiTheme="majorBidi" w:cstheme="majorBidi"/>
          <w:sz w:val="24"/>
          <w:szCs w:val="24"/>
        </w:rPr>
        <w:t xml:space="preserve"> Two types of transradial compression wristband devices are </w:t>
      </w:r>
      <w:r w:rsidR="00D35D0D">
        <w:rPr>
          <w:rFonts w:asciiTheme="majorBidi" w:hAnsiTheme="majorBidi" w:cstheme="majorBidi"/>
          <w:sz w:val="24"/>
          <w:szCs w:val="24"/>
        </w:rPr>
        <w:t>utilised:</w:t>
      </w:r>
      <w:r w:rsidR="005618CA" w:rsidRPr="006B3495">
        <w:rPr>
          <w:rFonts w:asciiTheme="majorBidi" w:hAnsiTheme="majorBidi" w:cstheme="majorBidi"/>
          <w:sz w:val="24"/>
          <w:szCs w:val="24"/>
        </w:rPr>
        <w:t xml:space="preserve"> the radio stop device (St. Jude Medical, St. Paul, United States of America) and the TR band compressive device (Terumo Medical, Tokyo, Japan).</w:t>
      </w:r>
      <w:r w:rsidR="00FD0262" w:rsidRPr="006B3495">
        <w:rPr>
          <w:rFonts w:asciiTheme="majorBidi" w:hAnsiTheme="majorBidi" w:cstheme="majorBidi"/>
          <w:sz w:val="24"/>
          <w:szCs w:val="24"/>
        </w:rPr>
        <w:t xml:space="preserve"> Following the manufacturer's guidelines, the </w:t>
      </w:r>
      <w:r w:rsidR="00066290">
        <w:rPr>
          <w:rFonts w:asciiTheme="majorBidi" w:hAnsiTheme="majorBidi" w:cstheme="majorBidi"/>
          <w:sz w:val="24"/>
          <w:szCs w:val="24"/>
        </w:rPr>
        <w:t xml:space="preserve">specialist </w:t>
      </w:r>
      <w:r w:rsidR="00FD0262" w:rsidRPr="006B3495">
        <w:rPr>
          <w:rFonts w:asciiTheme="majorBidi" w:hAnsiTheme="majorBidi" w:cstheme="majorBidi"/>
          <w:sz w:val="24"/>
          <w:szCs w:val="24"/>
        </w:rPr>
        <w:t xml:space="preserve">placed the pressure point approximately one cm above the puncture site with balloon </w:t>
      </w:r>
      <w:r w:rsidR="00F26BDA" w:rsidRPr="006B3495">
        <w:rPr>
          <w:rFonts w:asciiTheme="majorBidi" w:hAnsiTheme="majorBidi" w:cstheme="majorBidi"/>
          <w:sz w:val="24"/>
          <w:szCs w:val="24"/>
        </w:rPr>
        <w:t>inflation</w:t>
      </w:r>
      <w:r w:rsidR="00FD0262" w:rsidRPr="006B3495">
        <w:rPr>
          <w:rFonts w:asciiTheme="majorBidi" w:hAnsiTheme="majorBidi" w:cstheme="majorBidi"/>
          <w:sz w:val="24"/>
          <w:szCs w:val="24"/>
        </w:rPr>
        <w:t xml:space="preserve"> </w:t>
      </w:r>
      <w:r w:rsidR="00BC76F3" w:rsidRPr="006B3495">
        <w:rPr>
          <w:rFonts w:asciiTheme="majorBidi" w:hAnsiTheme="majorBidi" w:cstheme="majorBidi"/>
          <w:sz w:val="24"/>
          <w:szCs w:val="24"/>
        </w:rPr>
        <w:t>utilizing</w:t>
      </w:r>
      <w:r w:rsidR="00FD0262" w:rsidRPr="006B3495">
        <w:rPr>
          <w:rFonts w:asciiTheme="majorBidi" w:hAnsiTheme="majorBidi" w:cstheme="majorBidi"/>
          <w:sz w:val="24"/>
          <w:szCs w:val="24"/>
        </w:rPr>
        <w:t xml:space="preserve"> 15 ml of air after </w:t>
      </w:r>
      <w:r w:rsidR="008E33F5" w:rsidRPr="006B3495">
        <w:rPr>
          <w:rFonts w:asciiTheme="majorBidi" w:hAnsiTheme="majorBidi" w:cstheme="majorBidi"/>
          <w:sz w:val="24"/>
          <w:szCs w:val="24"/>
        </w:rPr>
        <w:t>submitt</w:t>
      </w:r>
      <w:r w:rsidR="008E33F5">
        <w:rPr>
          <w:rFonts w:asciiTheme="majorBidi" w:hAnsiTheme="majorBidi" w:cstheme="majorBidi"/>
          <w:sz w:val="24"/>
          <w:szCs w:val="24"/>
        </w:rPr>
        <w:t>ing</w:t>
      </w:r>
      <w:r w:rsidR="008E33F5" w:rsidRPr="006B3495">
        <w:rPr>
          <w:rFonts w:asciiTheme="majorBidi" w:hAnsiTheme="majorBidi" w:cstheme="majorBidi"/>
          <w:sz w:val="24"/>
          <w:szCs w:val="24"/>
        </w:rPr>
        <w:t xml:space="preserve"> </w:t>
      </w:r>
      <w:r w:rsidR="00FD0262" w:rsidRPr="006B3495">
        <w:rPr>
          <w:rFonts w:asciiTheme="majorBidi" w:hAnsiTheme="majorBidi" w:cstheme="majorBidi"/>
          <w:sz w:val="24"/>
          <w:szCs w:val="24"/>
        </w:rPr>
        <w:t>the sheath to traction and removed. Deflation is then gradually initiated in three</w:t>
      </w:r>
      <w:r w:rsidR="008E33F5">
        <w:rPr>
          <w:rFonts w:asciiTheme="majorBidi" w:hAnsiTheme="majorBidi" w:cstheme="majorBidi"/>
          <w:sz w:val="24"/>
          <w:szCs w:val="24"/>
        </w:rPr>
        <w:t xml:space="preserve"> </w:t>
      </w:r>
      <w:r w:rsidR="00FD0262" w:rsidRPr="006B3495">
        <w:rPr>
          <w:rFonts w:asciiTheme="majorBidi" w:hAnsiTheme="majorBidi" w:cstheme="majorBidi"/>
          <w:sz w:val="24"/>
          <w:szCs w:val="24"/>
        </w:rPr>
        <w:t>mL increments with careful monitoring for any occurrence of bleeding.</w:t>
      </w:r>
      <w:r w:rsidR="00544D2E" w:rsidRPr="006B3495">
        <w:rPr>
          <w:rFonts w:asciiTheme="majorBidi" w:hAnsiTheme="majorBidi" w:cstheme="majorBidi"/>
          <w:sz w:val="24"/>
          <w:szCs w:val="24"/>
        </w:rPr>
        <w:t xml:space="preserve"> Upon observation of blood extravasation, a subsequent insufflation of three ml of air </w:t>
      </w:r>
      <w:r w:rsidR="00687B2A">
        <w:rPr>
          <w:rFonts w:asciiTheme="majorBidi" w:hAnsiTheme="majorBidi" w:cstheme="majorBidi"/>
          <w:sz w:val="24"/>
          <w:szCs w:val="24"/>
        </w:rPr>
        <w:t>was</w:t>
      </w:r>
      <w:r w:rsidR="00544D2E" w:rsidRPr="006B3495">
        <w:rPr>
          <w:rFonts w:asciiTheme="majorBidi" w:hAnsiTheme="majorBidi" w:cstheme="majorBidi"/>
          <w:sz w:val="24"/>
          <w:szCs w:val="24"/>
        </w:rPr>
        <w:t xml:space="preserve"> conducted, and the patient</w:t>
      </w:r>
      <w:r w:rsidR="008E33F5">
        <w:rPr>
          <w:rFonts w:asciiTheme="majorBidi" w:hAnsiTheme="majorBidi" w:cstheme="majorBidi"/>
          <w:sz w:val="24"/>
          <w:szCs w:val="24"/>
        </w:rPr>
        <w:t xml:space="preserve"> </w:t>
      </w:r>
      <w:r w:rsidR="00544D2E" w:rsidRPr="006B3495">
        <w:rPr>
          <w:rFonts w:asciiTheme="majorBidi" w:hAnsiTheme="majorBidi" w:cstheme="majorBidi"/>
          <w:sz w:val="24"/>
          <w:szCs w:val="24"/>
        </w:rPr>
        <w:t xml:space="preserve">instructed to maintain the limb rest for an hour. Subsequently, decompression </w:t>
      </w:r>
      <w:r w:rsidR="00687B2A">
        <w:rPr>
          <w:rFonts w:asciiTheme="majorBidi" w:hAnsiTheme="majorBidi" w:cstheme="majorBidi"/>
          <w:sz w:val="24"/>
          <w:szCs w:val="24"/>
        </w:rPr>
        <w:t>was</w:t>
      </w:r>
      <w:r w:rsidR="00544D2E" w:rsidRPr="006B3495">
        <w:rPr>
          <w:rFonts w:asciiTheme="majorBidi" w:hAnsiTheme="majorBidi" w:cstheme="majorBidi"/>
          <w:sz w:val="24"/>
          <w:szCs w:val="24"/>
        </w:rPr>
        <w:t xml:space="preserve"> conducted, involving withdrawing three ml of air every 30 minutes until complete deflation is achieved</w:t>
      </w:r>
      <w:r w:rsidR="005B3222" w:rsidRPr="006B3495">
        <w:rPr>
          <w:rFonts w:asciiTheme="majorBidi" w:hAnsiTheme="majorBidi" w:cstheme="majorBidi"/>
          <w:sz w:val="24"/>
          <w:szCs w:val="24"/>
        </w:rPr>
        <w:t xml:space="preserve"> </w:t>
      </w:r>
      <w:r w:rsidR="00E764E4"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{"citationItems":[{"id":"ITEM-1","itemData":{"DOI":"10.1016/j.rbciev.2017.02.014","ISSN":"22141235","abstract":"BACKGROUND Wristband devices used in the compression of the radial puncture site add cost to the procedure and have not been adequately compared with conventional compressive dressings. This study evaluated the effectiveness and safety of both forms of hemostasis in patients undergoing coronary angiography and/or percutaneous coronary intervention in daily practice. METHODS A prospective, multicenter, nonrandomized study, which included consecutive patients who underwent procedures through radial access. The type of compression was at the interventionist's discretion and the availability of wristband devices. The main objective was to compare the patency of the radial artery on the 7th day after the procedure, measured by Doppler. Secondarily, the authors evaluated the occurrence of bleeding/hematoma at the puncture site during compression, after removal of the device and on the 7th day after the procedure. RESULTS This study evaluated 528 patients, 416 using conventional compressive dressings and 112 using wristband devices. When the sheath was removed and soon after its removal, a higher incidence of bleeding in the conventional compressive dressings group was observed (13.4% vs. 0%; p &lt; 0.001). All bleeding events were small (type I or type II) and did not require further actions. At 7 days, there were only small hematomas at the puncture site in 7.1% of cases that used the wristband device. There was no difference in the patency rates of the radial artery (3.8% vs. 7.1%; p = 0.20). CONCLUSIONS The use of wristband devices for radial artery hemostasis did not result in higher rates of late arterial patency when compared to conventional compressive dressings. INTRODUÇÃO Dispositivos dedicados à compressão do sítio de punção radial adicionam custo ao procedimento e não foram adequadamente comparados aos curativos compressivos. Avaliamos a efetividade e a segurança de ambas as formas de hemostasia em pacientes submetidos à cinecoronariografia e/ou intervenção coronária percutânea na prática diária. MÉTODOS Estudo prospectivo, multicêntrico e não randomizado, que incluiu pacientes consecutivamente submetidos a procedimentos por via radial. A modalidade de compressão ficou a critério do operador e da disponibilidade das pulseiras hemostáticas. O objetivo primário foi a comparação da patência da artéria radial no sétimo dia pós-procedimento, aferida por meio do Doppler. Secundariamente, avaliamos a ocorrência de hemorragia/hematoma no sítio de punção duran…","author":[{"dropping-particle":"","family":"Neto","given":"Said Assaf","non-dropping-particle":"","parse-names":false,"suffix":""},{"dropping-particle":"","family":"Freitas","given":"João Orávio","non-dropping-particle":"de","parse-names":false,"suffix":""},{"dropping-particle":"","family":"Berti","given":"Sérgio Luis","non-dropping-particle":"","parse-names":false,"suffix":""},{"dropping-particle":"","family":"Costa","given":"J. Ribamar","non-dropping-particle":"","parse-names":false,"suffix":""},{"dropping-particle":"","family":"Zbeid","given":"Jorge Augusto L.","non-dropping-particle":"","parse-names":false,"suffix":""}],"container-title":"Revista Brasileira de Cardiologia Invasiva (English Edition)","id":"ITEM-1","issue":"4","issued":{"date-parts":[["2015"]]},"title":"Comparison of conventional compressive dressings vs. wristband devices after catheterization by radial approach","type":"article-journal","volume":"23"},"uris":["http://www.mendeley.com/documents/?uuid=2ec20d8f-598f-37dc-ac3f-ab7610cd8048"]}],"mendeley":{"formattedCitation":"(11)","plainTextFormattedCitation":"(11)","previouslyFormattedCitation":"(11)"},"properties":{"noteIndex":0},"schema":"https://github.com/citation-style-language/schema/raw/master/csl-citation.json"}</w:instrText>
      </w:r>
      <w:r w:rsidR="00E764E4"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(11)</w:t>
      </w:r>
      <w:r w:rsidR="00E764E4" w:rsidRPr="006B3495">
        <w:rPr>
          <w:rFonts w:asciiTheme="majorBidi" w:hAnsiTheme="majorBidi" w:cstheme="majorBidi"/>
          <w:sz w:val="24"/>
          <w:szCs w:val="24"/>
        </w:rPr>
        <w:fldChar w:fldCharType="end"/>
      </w:r>
      <w:r w:rsidR="00544D2E" w:rsidRPr="006B3495">
        <w:rPr>
          <w:rFonts w:asciiTheme="majorBidi" w:hAnsiTheme="majorBidi" w:cstheme="majorBidi"/>
          <w:sz w:val="24"/>
          <w:szCs w:val="24"/>
        </w:rPr>
        <w:t>.</w:t>
      </w:r>
    </w:p>
    <w:p w14:paraId="73B30451" w14:textId="6DF8B03B"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b/>
          <w:bCs/>
          <w:sz w:val="24"/>
          <w:szCs w:val="24"/>
        </w:rPr>
        <w:t xml:space="preserve">Femoral access: </w:t>
      </w:r>
      <w:r w:rsidR="000C15B6" w:rsidRPr="006B3495">
        <w:rPr>
          <w:rFonts w:asciiTheme="majorBidi" w:hAnsiTheme="majorBidi" w:cstheme="majorBidi"/>
          <w:sz w:val="24"/>
          <w:szCs w:val="24"/>
        </w:rPr>
        <w:t xml:space="preserve">The femoral access facilitates multiple punctures along with </w:t>
      </w:r>
      <w:r w:rsidR="00D35D0D">
        <w:rPr>
          <w:rFonts w:asciiTheme="majorBidi" w:hAnsiTheme="majorBidi" w:cstheme="majorBidi"/>
          <w:sz w:val="24"/>
          <w:szCs w:val="24"/>
        </w:rPr>
        <w:t>allowing</w:t>
      </w:r>
      <w:r w:rsidR="000C15B6" w:rsidRPr="006B3495">
        <w:rPr>
          <w:rFonts w:asciiTheme="majorBidi" w:hAnsiTheme="majorBidi" w:cstheme="majorBidi"/>
          <w:sz w:val="24"/>
          <w:szCs w:val="24"/>
        </w:rPr>
        <w:t xml:space="preserve"> for larger sheath sizes</w:t>
      </w:r>
      <w:r w:rsidRPr="006B3495">
        <w:rPr>
          <w:rFonts w:asciiTheme="majorBidi" w:hAnsiTheme="majorBidi" w:cstheme="majorBidi"/>
          <w:sz w:val="24"/>
          <w:szCs w:val="24"/>
        </w:rPr>
        <w:t xml:space="preserve">. </w:t>
      </w:r>
      <w:r w:rsidR="003B2DD7" w:rsidRPr="006B3495">
        <w:rPr>
          <w:rFonts w:asciiTheme="majorBidi" w:hAnsiTheme="majorBidi" w:cstheme="majorBidi"/>
          <w:sz w:val="24"/>
          <w:szCs w:val="24"/>
        </w:rPr>
        <w:t>Less frequently occurring but having significant consequences like limb ischemia, arterio-venous fistulae and pseudoaneurysms resulting from femoral artery occlusion after PCI</w:t>
      </w:r>
      <w:r w:rsidRPr="006B3495">
        <w:rPr>
          <w:rFonts w:asciiTheme="majorBidi" w:hAnsiTheme="majorBidi" w:cstheme="majorBidi"/>
          <w:sz w:val="24"/>
          <w:szCs w:val="24"/>
        </w:rPr>
        <w:t xml:space="preserve">. </w:t>
      </w:r>
      <w:r w:rsidR="00673E5E" w:rsidRPr="006B3495">
        <w:rPr>
          <w:rFonts w:asciiTheme="majorBidi" w:hAnsiTheme="majorBidi" w:cstheme="majorBidi"/>
          <w:sz w:val="24"/>
          <w:szCs w:val="24"/>
        </w:rPr>
        <w:t xml:space="preserve">Factors that elevate the likelihood of significant femoral </w:t>
      </w:r>
      <w:r w:rsidR="00D35D0D">
        <w:rPr>
          <w:rFonts w:asciiTheme="majorBidi" w:hAnsiTheme="majorBidi" w:cstheme="majorBidi"/>
          <w:sz w:val="24"/>
          <w:szCs w:val="24"/>
        </w:rPr>
        <w:t>complications include</w:t>
      </w:r>
      <w:r w:rsidR="00673E5E" w:rsidRPr="006B3495">
        <w:rPr>
          <w:rFonts w:asciiTheme="majorBidi" w:hAnsiTheme="majorBidi" w:cstheme="majorBidi"/>
          <w:sz w:val="24"/>
          <w:szCs w:val="24"/>
        </w:rPr>
        <w:t xml:space="preserve"> bleeding, aggressive antithrombotic therapies, age, female gender, </w:t>
      </w:r>
      <w:r w:rsidR="00673E5E" w:rsidRPr="006B3495">
        <w:rPr>
          <w:rFonts w:asciiTheme="majorBidi" w:hAnsiTheme="majorBidi" w:cstheme="majorBidi"/>
          <w:sz w:val="24"/>
          <w:szCs w:val="24"/>
        </w:rPr>
        <w:lastRenderedPageBreak/>
        <w:t>and chronic kidney disease.</w:t>
      </w:r>
      <w:r w:rsidRPr="006B3495">
        <w:rPr>
          <w:rFonts w:asciiTheme="majorBidi" w:hAnsiTheme="majorBidi" w:cstheme="majorBidi"/>
          <w:sz w:val="24"/>
          <w:szCs w:val="24"/>
        </w:rPr>
        <w:t xml:space="preserve"> </w:t>
      </w:r>
      <w:r w:rsidR="00260754" w:rsidRPr="006B3495">
        <w:rPr>
          <w:rFonts w:asciiTheme="majorBidi" w:hAnsiTheme="majorBidi" w:cstheme="majorBidi"/>
          <w:sz w:val="24"/>
          <w:szCs w:val="24"/>
        </w:rPr>
        <w:t>VCD came into existence in the mid</w:t>
      </w:r>
      <w:r w:rsidR="00FD471A">
        <w:rPr>
          <w:rFonts w:asciiTheme="majorBidi" w:hAnsiTheme="majorBidi" w:cstheme="majorBidi"/>
          <w:sz w:val="24"/>
          <w:szCs w:val="24"/>
        </w:rPr>
        <w:t>-</w:t>
      </w:r>
      <w:r w:rsidR="00260754" w:rsidRPr="006B3495">
        <w:rPr>
          <w:rFonts w:asciiTheme="majorBidi" w:hAnsiTheme="majorBidi" w:cstheme="majorBidi"/>
          <w:sz w:val="24"/>
          <w:szCs w:val="24"/>
        </w:rPr>
        <w:t xml:space="preserve">1990s to decrease bleeding rates associated with femoral PCI </w:t>
      </w:r>
      <w:r w:rsidR="003E5354"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{"citationItems":[{"id":"ITEM-1","itemData":{"DOI":"10.4137/CMC.S31932","ISSN":"11795468","abstract":"Background: Bleeding events after percutaneous coronary interventions (PCI) are associated with patients’ age, gender, and the presence of chronic kidney disease, antithrombotic treatment, as well as arterial access site. Patients being treated by PCI using radial access site are associated with an improved prognosis. However, the safety of femoral closure devices has never been compared to radial compression devices following PCI. Therefore, the aim of this study is to evaluate the safety of femoral closure compared to radial compression devices in patients treated by PCI envisaging access site bleedings as well as short- and long-term prognostic outcomes. Methods: The Femoral Closure versus Radial Compression Devices Related to Percutaneous Coronary Interventions (FERARI) study is a single-center observational study comparing 400 consecutive patients undergoing PCI either using radial compression devices (TR Band™) or femoral closure devices (Angio-Seal™) at the corresponding access site. The primary outcome consists of the occurrence of vascular complications at the arterial access site, including major bleedings as defined by common classification systems. Secondary outcomes consist of the occurrence of adverse cardiac events, including all-cause mortality, target lesion revascularization, and target vessel revascularization during 30 days and 12 months of follow-up. Results: Study enrollment was initiated in February 2014. The enrollment phase is expected to last until May 2015. Conclusions: The FERARI study intends to comparatively evaluate the safety and prognostic outcome of patients being treated by radial or femoral arterial closure devices following PCI during daily clinical practice.","author":[{"dropping-particle":"","family":"Behnes","given":"Michael","non-dropping-particle":"","parse-names":false,"suffix":""},{"dropping-particle":"","family":"Ünsal","given":"Melike","non-dropping-particle":"","parse-names":false,"suffix":""},{"dropping-particle":"","family":"Hoffmann","given":"Ursula","non-dropping-particle":"","parse-names":false,"suffix":""},{"dropping-particle":"","family":"Fastner","given":"Christian","non-dropping-particle":"","parse-names":false,"suffix":""},{"dropping-particle":"","family":"El-Battrawy","given":"Ibrahim","non-dropping-particle":"","parse-names":false,"suffix":""},{"dropping-particle":"","family":"Lang","given":"Siegfried","non-dropping-particle":"","parse-names":false,"suffix":""},{"dropping-particle":"","family":"Mashayekhi","given":"Kambis","non-dropping-particle":"","parse-names":false,"suffix":""},{"dropping-particle":"","family":"Lehmann","given":"Ralf","non-dropping-particle":"","parse-names":false,"suffix":""},{"dropping-particle":"","family":"Borggrefe","given":"Martin","non-dropping-particle":"","parse-names":false,"suffix":""},{"dropping-particle":"","family":"Akin","given":"Ibrahim","non-dropping-particle":"","parse-names":false,"suffix":""}],"container-title":"Clinical Medicine Insights: Cardiology","id":"ITEM-1","issued":{"date-parts":[["2015"]]},"title":"Design and rationale of the femoral closure versus radial compression devices related to percutaneous coronary interventions (FERARI) study","type":"article-journal","volume":"9"},"uris":["http://www.mendeley.com/documents/?uuid=c9a61c5e-c928-34f5-8a2d-f6bc97c7e0bc"]}],"mendeley":{"formattedCitation":"(6)","plainTextFormattedCitation":"(6)","previouslyFormattedCitation":"(6)"},"properties":{"noteIndex":0},"schema":"https://github.com/citation-style-language/schema/raw/master/csl-citation.json"}</w:instrText>
      </w:r>
      <w:r w:rsidR="003E5354"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(6)</w:t>
      </w:r>
      <w:r w:rsidR="003E5354" w:rsidRPr="006B3495">
        <w:rPr>
          <w:rFonts w:asciiTheme="majorBidi" w:hAnsiTheme="majorBidi" w:cstheme="majorBidi"/>
          <w:sz w:val="24"/>
          <w:szCs w:val="24"/>
        </w:rPr>
        <w:fldChar w:fldCharType="end"/>
      </w:r>
      <w:r w:rsidR="003E5354" w:rsidRPr="006B3495">
        <w:rPr>
          <w:rFonts w:asciiTheme="majorBidi" w:hAnsiTheme="majorBidi" w:cstheme="majorBidi"/>
          <w:sz w:val="24"/>
          <w:szCs w:val="24"/>
        </w:rPr>
        <w:t>.</w:t>
      </w:r>
    </w:p>
    <w:p w14:paraId="35B97E9A" w14:textId="78C925F9" w:rsidR="00EC74E8" w:rsidRPr="006B3495" w:rsidRDefault="00EC74E8" w:rsidP="00504C23">
      <w:pPr>
        <w:spacing w:after="240" w:line="480" w:lineRule="auto"/>
        <w:jc w:val="both"/>
        <w:rPr>
          <w:rFonts w:asciiTheme="majorBidi" w:hAnsiTheme="majorBidi" w:cstheme="majorBidi"/>
          <w:sz w:val="24"/>
          <w:szCs w:val="24"/>
        </w:rPr>
      </w:pPr>
      <w:r w:rsidRPr="006B3495">
        <w:rPr>
          <w:rFonts w:asciiTheme="majorBidi" w:hAnsiTheme="majorBidi" w:cstheme="majorBidi"/>
          <w:b/>
          <w:bCs/>
          <w:sz w:val="24"/>
          <w:szCs w:val="24"/>
        </w:rPr>
        <w:t xml:space="preserve">Vascular Closure Devices: </w:t>
      </w:r>
      <w:r w:rsidR="00B07DC6" w:rsidRPr="006B3495">
        <w:rPr>
          <w:rFonts w:asciiTheme="majorBidi" w:hAnsiTheme="majorBidi" w:cstheme="majorBidi"/>
          <w:sz w:val="24"/>
          <w:szCs w:val="24"/>
        </w:rPr>
        <w:t xml:space="preserve">VCDs are medical devices </w:t>
      </w:r>
      <w:r w:rsidR="0002487B" w:rsidRPr="006B3495">
        <w:rPr>
          <w:rFonts w:asciiTheme="majorBidi" w:hAnsiTheme="majorBidi" w:cstheme="majorBidi"/>
          <w:sz w:val="24"/>
          <w:szCs w:val="24"/>
        </w:rPr>
        <w:t>used to seal the small hole in an artery after a catheter-based medical procedure, such as an angiogram. These devices aim to achieve </w:t>
      </w:r>
      <w:hyperlink r:id="rId9" w:tgtFrame="_blank" w:history="1">
        <w:r w:rsidR="0002487B" w:rsidRPr="006B3495">
          <w:rPr>
            <w:rFonts w:asciiTheme="majorBidi" w:hAnsiTheme="majorBidi" w:cstheme="majorBidi"/>
            <w:sz w:val="24"/>
            <w:szCs w:val="24"/>
          </w:rPr>
          <w:t>hemostasis</w:t>
        </w:r>
      </w:hyperlink>
      <w:r w:rsidR="0002487B" w:rsidRPr="006B3495">
        <w:rPr>
          <w:rFonts w:asciiTheme="majorBidi" w:hAnsiTheme="majorBidi" w:cstheme="majorBidi"/>
          <w:sz w:val="24"/>
          <w:szCs w:val="24"/>
        </w:rPr>
        <w:t xml:space="preserve"> more quickly and comfortably than traditional manual compression for artery closure. </w:t>
      </w:r>
      <w:r w:rsidR="00CB5561" w:rsidRPr="00D35D0D">
        <w:rPr>
          <w:rFonts w:asciiTheme="majorBidi" w:hAnsiTheme="majorBidi" w:cstheme="majorBidi"/>
          <w:color w:val="000000" w:themeColor="text1"/>
          <w:sz w:val="24"/>
          <w:szCs w:val="24"/>
          <w:highlight w:val="yellow"/>
        </w:rPr>
        <w:t>It is</w:t>
      </w:r>
      <w:r w:rsidR="00684997" w:rsidRPr="00D35D0D">
        <w:rPr>
          <w:rFonts w:asciiTheme="majorBidi" w:hAnsiTheme="majorBidi" w:cstheme="majorBidi"/>
          <w:color w:val="000000" w:themeColor="text1"/>
          <w:sz w:val="24"/>
          <w:szCs w:val="24"/>
          <w:highlight w:val="yellow"/>
        </w:rPr>
        <w:t xml:space="preserve"> used to seal the small hole in an artery after a catheter-based medical procedure, such as an angiogram. These devices aim to achieve hemostasis more quickly and comfortably than traditional manual compression for artery closure.</w:t>
      </w:r>
      <w:r w:rsidR="00684997" w:rsidRPr="00D35D0D">
        <w:rPr>
          <w:rFonts w:asciiTheme="majorBidi" w:hAnsiTheme="majorBidi" w:cstheme="majorBidi"/>
          <w:color w:val="000000" w:themeColor="text1"/>
          <w:sz w:val="24"/>
          <w:szCs w:val="24"/>
        </w:rPr>
        <w:t xml:space="preserve"> </w:t>
      </w:r>
      <w:r w:rsidR="006D11B9" w:rsidRPr="006B3495">
        <w:rPr>
          <w:rFonts w:asciiTheme="majorBidi" w:hAnsiTheme="majorBidi" w:cstheme="majorBidi"/>
          <w:sz w:val="24"/>
          <w:szCs w:val="24"/>
        </w:rPr>
        <w:t>VCDs are classified into three main types</w:t>
      </w:r>
      <w:r w:rsidRPr="006B3495">
        <w:rPr>
          <w:rFonts w:asciiTheme="majorBidi" w:hAnsiTheme="majorBidi" w:cstheme="majorBidi"/>
          <w:sz w:val="24"/>
          <w:szCs w:val="24"/>
        </w:rPr>
        <w:t xml:space="preserve">: </w:t>
      </w:r>
      <w:r w:rsidR="006D11B9" w:rsidRPr="006B3495">
        <w:rPr>
          <w:rFonts w:asciiTheme="majorBidi" w:hAnsiTheme="majorBidi" w:cstheme="majorBidi"/>
          <w:sz w:val="24"/>
          <w:szCs w:val="24"/>
        </w:rPr>
        <w:t xml:space="preserve">suture-based (Perclose ProGlide, Abbott Vascular, Inc.), </w:t>
      </w:r>
      <w:r w:rsidRPr="006B3495">
        <w:rPr>
          <w:rFonts w:asciiTheme="majorBidi" w:hAnsiTheme="majorBidi" w:cstheme="majorBidi"/>
          <w:sz w:val="24"/>
          <w:szCs w:val="24"/>
        </w:rPr>
        <w:t xml:space="preserve">collagen-based (Angio-Seal™; St. Jude Medical, Inc.) and </w:t>
      </w:r>
      <w:r w:rsidR="006D11B9" w:rsidRPr="006B3495">
        <w:rPr>
          <w:rFonts w:asciiTheme="majorBidi" w:hAnsiTheme="majorBidi" w:cstheme="majorBidi"/>
          <w:sz w:val="24"/>
          <w:szCs w:val="24"/>
        </w:rPr>
        <w:t xml:space="preserve">clips </w:t>
      </w:r>
      <w:r w:rsidRPr="006B3495">
        <w:rPr>
          <w:rFonts w:asciiTheme="majorBidi" w:hAnsiTheme="majorBidi" w:cstheme="majorBidi"/>
          <w:sz w:val="24"/>
          <w:szCs w:val="24"/>
        </w:rPr>
        <w:t>and</w:t>
      </w:r>
      <w:r w:rsidR="006D11B9" w:rsidRPr="006B3495">
        <w:rPr>
          <w:rFonts w:asciiTheme="majorBidi" w:hAnsiTheme="majorBidi" w:cstheme="majorBidi"/>
          <w:sz w:val="24"/>
          <w:szCs w:val="24"/>
        </w:rPr>
        <w:t xml:space="preserve"> staples</w:t>
      </w:r>
      <w:r w:rsidRPr="006B3495">
        <w:rPr>
          <w:rFonts w:asciiTheme="majorBidi" w:hAnsiTheme="majorBidi" w:cstheme="majorBidi"/>
          <w:sz w:val="24"/>
          <w:szCs w:val="24"/>
        </w:rPr>
        <w:t xml:space="preserve">. </w:t>
      </w:r>
      <w:r w:rsidR="005B386F" w:rsidRPr="006B3495">
        <w:rPr>
          <w:rFonts w:asciiTheme="majorBidi" w:hAnsiTheme="majorBidi" w:cstheme="majorBidi"/>
          <w:sz w:val="24"/>
          <w:szCs w:val="24"/>
        </w:rPr>
        <w:t xml:space="preserve">The main goal of VCDs is to deliver efficient and speedy haemostasis in order to limit the </w:t>
      </w:r>
      <w:r w:rsidR="00CD1A02">
        <w:rPr>
          <w:rFonts w:asciiTheme="majorBidi" w:hAnsiTheme="majorBidi" w:cstheme="majorBidi"/>
          <w:sz w:val="24"/>
          <w:szCs w:val="24"/>
        </w:rPr>
        <w:t>number</w:t>
      </w:r>
      <w:r w:rsidR="005B386F" w:rsidRPr="006B3495">
        <w:rPr>
          <w:rFonts w:asciiTheme="majorBidi" w:hAnsiTheme="majorBidi" w:cstheme="majorBidi"/>
          <w:sz w:val="24"/>
          <w:szCs w:val="24"/>
        </w:rPr>
        <w:t xml:space="preserve"> of bleeding issues and the time it takes to discharge a patient. However, recent studies have reported conflicting data regarding their safety </w:t>
      </w:r>
      <w:r w:rsidR="003E5354"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{"citationItems":[{"id":"ITEM-1","itemData":{"DOI":"10.4137/CMC.S31932","ISSN":"11795468","abstract":"Background: Bleeding events after percutaneous coronary interventions (PCI) are associated with patients’ age, gender, and the presence of chronic kidney disease, antithrombotic treatment, as well as arterial access site. Patients being treated by PCI using radial access site are associated with an improved prognosis. However, the safety of femoral closure devices has never been compared to radial compression devices following PCI. Therefore, the aim of this study is to evaluate the safety of femoral closure compared to radial compression devices in patients treated by PCI envisaging access site bleedings as well as short- and long-term prognostic outcomes. Methods: The Femoral Closure versus Radial Compression Devices Related to Percutaneous Coronary Interventions (FERARI) study is a single-center observational study comparing 400 consecutive patients undergoing PCI either using radial compression devices (TR Band™) or femoral closure devices (Angio-Seal™) at the corresponding access site. The primary outcome consists of the occurrence of vascular complications at the arterial access site, including major bleedings as defined by common classification systems. Secondary outcomes consist of the occurrence of adverse cardiac events, including all-cause mortality, target lesion revascularization, and target vessel revascularization during 30 days and 12 months of follow-up. Results: Study enrollment was initiated in February 2014. The enrollment phase is expected to last until May 2015. Conclusions: The FERARI study intends to comparatively evaluate the safety and prognostic outcome of patients being treated by radial or femoral arterial closure devices following PCI during daily clinical practice.","author":[{"dropping-particle":"","family":"Behnes","given":"Michael","non-dropping-particle":"","parse-names":false,"suffix":""},{"dropping-particle":"","family":"Ünsal","given":"Melike","non-dropping-particle":"","parse-names":false,"suffix":""},{"dropping-particle":"","family":"Hoffmann","given":"Ursula","non-dropping-particle":"","parse-names":false,"suffix":""},{"dropping-particle":"","family":"Fastner","given":"Christian","non-dropping-particle":"","parse-names":false,"suffix":""},{"dropping-particle":"","family":"El-Battrawy","given":"Ibrahim","non-dropping-particle":"","parse-names":false,"suffix":""},{"dropping-particle":"","family":"Lang","given":"Siegfried","non-dropping-particle":"","parse-names":false,"suffix":""},{"dropping-particle":"","family":"Mashayekhi","given":"Kambis","non-dropping-particle":"","parse-names":false,"suffix":""},{"dropping-particle":"","family":"Lehmann","given":"Ralf","non-dropping-particle":"","parse-names":false,"suffix":""},{"dropping-particle":"","family":"Borggrefe","given":"Martin","non-dropping-particle":"","parse-names":false,"suffix":""},{"dropping-particle":"","family":"Akin","given":"Ibrahim","non-dropping-particle":"","parse-names":false,"suffix":""}],"container-title":"Clinical Medicine Insights: Cardiology","id":"ITEM-1","issued":{"date-parts":[["2015"]]},"title":"Design and rationale of the femoral closure versus radial compression devices related to percutaneous coronary interventions (FERARI) study","type":"article-journal","volume":"9"},"uris":["http://www.mendeley.com/documents/?uuid=c9a61c5e-c928-34f5-8a2d-f6bc97c7e0bc"]}],"mendeley":{"formattedCitation":"(6)","plainTextFormattedCitation":"(6)","previouslyFormattedCitation":"(6)"},"properties":{"noteIndex":0},"schema":"https://github.com/citation-style-language/schema/raw/master/csl-citation.json"}</w:instrText>
      </w:r>
      <w:r w:rsidR="003E5354"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(6)</w:t>
      </w:r>
      <w:r w:rsidR="003E5354" w:rsidRPr="006B3495">
        <w:rPr>
          <w:rFonts w:asciiTheme="majorBidi" w:hAnsiTheme="majorBidi" w:cstheme="majorBidi"/>
          <w:sz w:val="24"/>
          <w:szCs w:val="24"/>
        </w:rPr>
        <w:fldChar w:fldCharType="end"/>
      </w:r>
      <w:r w:rsidR="003E5354" w:rsidRPr="006B3495">
        <w:rPr>
          <w:rFonts w:asciiTheme="majorBidi" w:hAnsiTheme="majorBidi" w:cstheme="majorBidi"/>
          <w:sz w:val="24"/>
          <w:szCs w:val="24"/>
        </w:rPr>
        <w:t>.</w:t>
      </w:r>
      <w:r w:rsidR="005B386F" w:rsidRPr="006B3495">
        <w:rPr>
          <w:rFonts w:asciiTheme="majorBidi" w:hAnsiTheme="majorBidi" w:cstheme="majorBidi"/>
          <w:sz w:val="24"/>
          <w:szCs w:val="24"/>
        </w:rPr>
        <w:t xml:space="preserve"> </w:t>
      </w:r>
      <w:r w:rsidR="002907E6" w:rsidRPr="006B3495">
        <w:rPr>
          <w:rFonts w:asciiTheme="majorBidi" w:hAnsiTheme="majorBidi" w:cstheme="majorBidi"/>
          <w:sz w:val="24"/>
          <w:szCs w:val="24"/>
        </w:rPr>
        <w:t xml:space="preserve">These medical devices can potentially lower the risk of </w:t>
      </w:r>
      <w:r w:rsidR="00504C23" w:rsidRPr="005C51DE">
        <w:rPr>
          <w:rFonts w:asciiTheme="majorBidi" w:hAnsiTheme="majorBidi" w:cstheme="majorBidi"/>
          <w:color w:val="000000" w:themeColor="text1"/>
          <w:sz w:val="24"/>
          <w:szCs w:val="24"/>
        </w:rPr>
        <w:t>arterial</w:t>
      </w:r>
      <w:r w:rsidR="00504C23" w:rsidRPr="001E3800">
        <w:rPr>
          <w:rFonts w:asciiTheme="majorBidi" w:hAnsiTheme="majorBidi" w:cstheme="majorBidi"/>
          <w:color w:val="000000" w:themeColor="text1"/>
          <w:sz w:val="24"/>
          <w:szCs w:val="24"/>
        </w:rPr>
        <w:t xml:space="preserve"> </w:t>
      </w:r>
      <w:r w:rsidR="002907E6" w:rsidRPr="006B3495">
        <w:rPr>
          <w:rFonts w:asciiTheme="majorBidi" w:hAnsiTheme="majorBidi" w:cstheme="majorBidi"/>
          <w:sz w:val="24"/>
          <w:szCs w:val="24"/>
        </w:rPr>
        <w:t xml:space="preserve">complications, shorten hospital stays (through reduction of complications and early </w:t>
      </w:r>
      <w:r w:rsidR="00A86F88">
        <w:rPr>
          <w:rFonts w:asciiTheme="majorBidi" w:hAnsiTheme="majorBidi" w:cstheme="majorBidi"/>
          <w:sz w:val="24"/>
          <w:szCs w:val="24"/>
        </w:rPr>
        <w:t>mobilisation),</w:t>
      </w:r>
      <w:r w:rsidR="002907E6" w:rsidRPr="006B3495">
        <w:rPr>
          <w:rFonts w:asciiTheme="majorBidi" w:hAnsiTheme="majorBidi" w:cstheme="majorBidi"/>
          <w:sz w:val="24"/>
          <w:szCs w:val="24"/>
        </w:rPr>
        <w:t xml:space="preserve"> enhance patient satisfaction, alleviate discomfort linked to extended bed rest, enable early patient </w:t>
      </w:r>
      <w:r w:rsidR="00A86F88">
        <w:rPr>
          <w:rFonts w:asciiTheme="majorBidi" w:hAnsiTheme="majorBidi" w:cstheme="majorBidi"/>
          <w:sz w:val="24"/>
          <w:szCs w:val="24"/>
        </w:rPr>
        <w:t>mobilisation,</w:t>
      </w:r>
      <w:r w:rsidR="002907E6" w:rsidRPr="006B3495">
        <w:rPr>
          <w:rFonts w:asciiTheme="majorBidi" w:hAnsiTheme="majorBidi" w:cstheme="majorBidi"/>
          <w:sz w:val="24"/>
          <w:szCs w:val="24"/>
        </w:rPr>
        <w:t xml:space="preserve"> and shorten the time to hemostasis</w:t>
      </w:r>
      <w:r w:rsidRPr="006B3495">
        <w:rPr>
          <w:rFonts w:asciiTheme="majorBidi" w:hAnsiTheme="majorBidi" w:cstheme="majorBidi"/>
          <w:sz w:val="24"/>
          <w:szCs w:val="24"/>
        </w:rPr>
        <w:t xml:space="preserve"> </w:t>
      </w:r>
      <w:r w:rsidR="00945982"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{"citationItems":[{"id":"ITEM-1","itemData":{"URL":"https://www.thecardiologyadvisor.com/home/decision-support-in-medicine/cardiology/vascular-closure-devices/","accessed":{"date-parts":[["2021","12","5"]]},"author":[{"dropping-particle":"","family":"The Cardiology Advisor","given":"","non-dropping-particle":"","parse-names":false,"suffix":""}],"container-title":"The Cardiology Advisor Website","id":"ITEM-1","issued":{"date-parts":[["2019"]]},"title":"Vascular Closure Devices.","type":"webpage"},"uris":["http://www.mendeley.com/documents/?uuid=cf77401d-b593-40be-90a2-0c562382e329"]}],"mendeley":{"formattedCitation":"(12)","plainTextFormattedCitation":"(12)","previouslyFormattedCitation":"(12)"},"properties":{"noteIndex":0},"schema":"https://github.com/citation-style-language/schema/raw/master/csl-citation.json"}</w:instrText>
      </w:r>
      <w:r w:rsidR="00945982"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(12)</w:t>
      </w:r>
      <w:r w:rsidR="00945982" w:rsidRPr="006B3495">
        <w:rPr>
          <w:rFonts w:asciiTheme="majorBidi" w:hAnsiTheme="majorBidi" w:cstheme="majorBidi"/>
          <w:sz w:val="24"/>
          <w:szCs w:val="24"/>
        </w:rPr>
        <w:fldChar w:fldCharType="end"/>
      </w:r>
      <w:r w:rsidRPr="006B3495">
        <w:rPr>
          <w:rFonts w:asciiTheme="majorBidi" w:hAnsiTheme="majorBidi" w:cstheme="majorBidi"/>
          <w:sz w:val="24"/>
          <w:szCs w:val="24"/>
        </w:rPr>
        <w:t>.</w:t>
      </w:r>
    </w:p>
    <w:p w14:paraId="283AB86F" w14:textId="77777777" w:rsidR="00EC74E8" w:rsidRPr="006B3495" w:rsidRDefault="00EC74E8" w:rsidP="00A11B6B">
      <w:pPr>
        <w:pStyle w:val="a"/>
      </w:pPr>
      <w:bookmarkStart w:id="28" w:name="_Toc212871504"/>
      <w:r w:rsidRPr="006B3495">
        <w:t>Significance of the study</w:t>
      </w:r>
      <w:bookmarkEnd w:id="28"/>
    </w:p>
    <w:p w14:paraId="6FC22FAC" w14:textId="623BCDD5" w:rsidR="00EC74E8" w:rsidRPr="006B3495" w:rsidRDefault="00EC74E8" w:rsidP="00F93408">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As coronary artery disease becomes more prevalent, the significance of percutaneous coronary artery procedures has intensified. The discussion surrounding the optimal vascular access site, specifically radial versus femoral, for CAG and/or PCI continues, as both of them present distinct advantages and disadvantages </w:t>
      </w:r>
      <w:r w:rsidR="009C7C8A"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{"citationItems":[{"id":"ITEM-1","itemData":{"DOI":"10.1016/j.ahj.2012.01.015","ISSN":"00028703","abstract":"Background: Despite lower risks of access site-related complications with transradial approach (TRA), its clinical benefit for percutaneous coronary intervention (PCI) is uncertain. We conducted a systematic review and meta-analysis of clinical studies comparing TRA and transfemoral approach (TFA) for PCI. Methods: Randomized trials and observational studies (1993-2011) comparing TRA with TFA for PCI with reports of ischemic and bleeding outcomes were included. Crude and adjusted (for age and sex) odds ratios (OR) were estimated by a hierarchical Bayesian random-effects model with prespecified stratification for observational and randomized designs. The primary outcomes were rates of death, combined incidence of death or myocardial infarction, bleeding, and transfusions, early (≤30 days) and late after PCI. Results: We collected data from 76 studies (15 randomized, 61 observational) involving a total of 761,919 patients. Compared with TFA, TRA was associated with a 78% reduction in bleeding (OR 0.22, 95% credible interval [CrI] 0.16-0.29) and 80% in transfusions (OR 0.20, 95% CrI 0.11-0.32). These findings were consistent in both randomized and observational studies. Early after PCI, there was a 44% reduction of mortality with TRA (OR 0.56, 95% CrI 0.45-0.67), although the effect was mainly due to observational studies (OR 0.52, 95% CrI 0.40-0.63, adjusted OR 0.49 [95% CrI 0.37-0.60]), with an OR of 0.80 (95% CrI 0.49-1.23) in randomized trials. Conclusion: Our results combining observational and randomized studies show that PCI performed by TRA is associated with substantially less risks of bleeding and transfusions compared with TFA. Benefit on the incidence of death or combined death or myocardial infarction is found in observational studies but remains inconclusive in randomized trials. © 2012 Mosby, Inc.","author":[{"dropping-particle":"","family":"Bertrand","given":"Olivier F.","non-dropping-particle":"","parse-names":false,"suffix":""},{"dropping-particle":"","family":"Bélisle","given":"Patrick","non-dropping-particle":"","parse-names":false,"suffix":""},{"dropping-particle":"","family":"Joyal","given":"Dominique","non-dropping-particle":"","parse-names":false,"suffix":""},{"dropping-particle":"","family":"Costerousse","given":"Olivier","non-dropping-particle":"","parse-names":false,"suffix":""},{"dropping-particle":"V.","family":"Rao","given":"Sunil","non-dropping-particle":"","parse-names":false,"suffix":""},{"dropping-particle":"","family":"Jolly","given":"Sanjit S.","non-dropping-particle":"","parse-names":false,"suffix":""},{"dropping-particle":"","family":"Meerkin","given":"David","non-dropping-particle":"","parse-names":false,"suffix":""},{"dropping-particle":"","family":"Joseph","given":"Lawrence","non-dropping-particle":"","parse-names":false,"suffix":""}],"container-title":"American Heart Journal","id":"ITEM-1","issue":"4","issued":{"date-parts":[["2012"]]},"title":"Comparison of transradial and femoral approaches for percutaneous coronary interventions: A systematic review and hierarchical Bayesian meta-analysis","type":"article-journal","volume":"163"},"uris":["http://www.mendeley.com/documents/?uuid=7e0370e8-de18-3521-a6d4-dee957baea5d"]},{"id":"ITEM-2","itemData":{"DOI":"10.1093/eurheartj/ehs169","ISSN":"0195668X","abstract":"The adoption of transradial coronary angiography and coronary intervention is growing because of emerging data on its potential advantages over the femoral approach. As the adoption of radial procedures increases, it is important to understand the remaining challenges of both the technique and its implementation. In this review, we discuss four important issues related to transradial procedures-radial access site bleeding, radial artery injury and occlusion, radiation exposure, and implementation of a successful transradial primary percutaneous coronary intervention (PCI) programme. Although the radial artery is superficial and haemostasis can be achieved readily, access site bleeding can occur that, if left unchecked, can lead to forearm haematoma and, rarely, to compartment syndrome. Radial artery injury and occlusion are consequences of radial access, and randomized trials show that use of smaller diameter sheaths, adequate anticoagulation, and post-procedure 'patent' haemostasis reduce the risk of occlusion. The published literature demonstrates an association between transradial procedures and increased radiation exposure; therefore, reduction of radiation dosing during transradial procedures should be a priority for operators and catheterization laboratories. The potential reduction in mortality seen with transradial primary PCI must be balanced against the clinical imperative of timely reperfusion. Operators and catheterization laboratories should not begin a transradial primary PCI programme until sufficient radial experience has been gained in the elective setting. In addition, a protocol for femoral bailout should be considered to maintain door-to-reperfusion metrics. © 2012 The Author.","author":[{"dropping-particle":"V.","family":"Rao","given":"Sunil","non-dropping-particle":"","parse-names":false,"suffix":""},{"dropping-particle":"","family":"Bernat","given":"Ivo","non-dropping-particle":"","parse-names":false,"suffix":""},{"dropping-particle":"","family":"Bertrand","given":"Olivier F.","non-dropping-particle":"","parse-names":false,"suffix":""}],"container-title":"European Heart Journal","id":"ITEM-2","issue":"20","issued":{"date-parts":[["2012"]]},"title":"Remaining challenges and opportunities for improvement in percutaneous transradial coronary procedures","type":"article","volume":"33"},"uris":["http://www.mendeley.com/documents/?uuid=0d1ba0e8-1628-3f06-92c7-4d5aaeb92df4"]}],"mendeley":{"formattedCitation":"(2,9)","plainTextFormattedCitation":"(2,9)","previouslyFormattedCitation":"(2,9)"},"properties":{"noteIndex":0},"schema":"https://github.com/citation-style-language/schema/raw/master/csl-citation.json"}</w:instrText>
      </w:r>
      <w:r w:rsidR="009C7C8A"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(2,9)</w:t>
      </w:r>
      <w:r w:rsidR="009C7C8A" w:rsidRPr="006B3495">
        <w:rPr>
          <w:rFonts w:asciiTheme="majorBidi" w:hAnsiTheme="majorBidi" w:cstheme="majorBidi"/>
          <w:sz w:val="24"/>
          <w:szCs w:val="24"/>
        </w:rPr>
        <w:fldChar w:fldCharType="end"/>
      </w:r>
      <w:r w:rsidRPr="006B3495">
        <w:rPr>
          <w:rFonts w:asciiTheme="majorBidi" w:hAnsiTheme="majorBidi" w:cstheme="majorBidi"/>
          <w:sz w:val="24"/>
          <w:szCs w:val="24"/>
        </w:rPr>
        <w:t>. Nonetheless, neither demonstrates superiority in some clinical outcomes</w:t>
      </w:r>
      <w:r w:rsidR="00C1201F" w:rsidRPr="006B3495">
        <w:rPr>
          <w:rFonts w:asciiTheme="majorBidi" w:hAnsiTheme="majorBidi" w:cstheme="majorBidi"/>
          <w:sz w:val="24"/>
          <w:szCs w:val="24"/>
        </w:rPr>
        <w:t xml:space="preserve"> </w:t>
      </w:r>
      <w:r w:rsidR="00C1201F"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{"citationItems":[{"id":"ITEM-1","itemData":{"DOI":"10.1016/j.ahj.2012.01.015","ISSN":"00028703","abstract":"Background: Despite lower risks of access site-related complications with transradial approach (TRA), its clinical benefit for percutaneous coronary intervention (PCI) is uncertain. We conducted a systematic review and meta-analysis of clinical studies comparing TRA and transfemoral approach (TFA) for PCI. Methods: Randomized trials and observational studies (1993-2011) comparing TRA with TFA for PCI with reports of ischemic and bleeding outcomes were included. Crude and adjusted (for age and sex) odds ratios (OR) were estimated by a hierarchical Bayesian random-effects model with prespecified stratification for observational and randomized designs. The primary outcomes were rates of death, combined incidence of death or myocardial infarction, bleeding, and transfusions, early (≤30 days) and late after PCI. Results: We collected data from 76 studies (15 randomized, 61 observational) involving a total of 761,919 patients. Compared with TFA, TRA was associated with a 78% reduction in bleeding (OR 0.22, 95% credible interval [CrI] 0.16-0.29) and 80% in transfusions (OR 0.20, 95% CrI 0.11-0.32). These findings were consistent in both randomized and observational studies. Early after PCI, there was a 44% reduction of mortality with TRA (OR 0.56, 95% CrI 0.45-0.67), although the effect was mainly due to observational studies (OR 0.52, 95% CrI 0.40-0.63, adjusted OR 0.49 [95% CrI 0.37-0.60]), with an OR of 0.80 (95% CrI 0.49-1.23) in randomized trials. Conclusion: Our results combining observational and randomized studies show that PCI performed by TRA is associated with substantially less risks of bleeding and transfusions compared with TFA. Benefit on the incidence of death or combined death or myocardial infarction is found in observational studies but remains inconclusive in randomized trials. © 2012 Mosby, Inc.","author":[{"dropping-particle":"","family":"Bertrand","given":"Olivier F.","non-dropping-particle":"","parse-names":false,"suffix":""},{"dropping-particle":"","family":"Bélisle","given":"Patrick","non-dropping-particle":"","parse-names":false,"suffix":""},{"dropping-particle":"","family":"Joyal","given":"Dominique","non-dropping-particle":"","parse-names":false,"suffix":""},{"dropping-particle":"","family":"Costerousse","given":"Olivier","non-dropping-particle":"","parse-names":false,"suffix":""},{"dropping-particle":"V.","family":"Rao","given":"Sunil","non-dropping-particle":"","parse-names":false,"suffix":""},{"dropping-particle":"","family":"Jolly","given":"Sanjit S.","non-dropping-particle":"","parse-names":false,"suffix":""},{"dropping-particle":"","family":"Meerkin","given":"David","non-dropping-particle":"","parse-names":false,"suffix":""},{"dropping-particle":"","family":"Joseph","given":"Lawrence","non-dropping-particle":"","parse-names":false,"suffix":""}],"container-title":"American Heart Journal","id":"ITEM-1","issue":"4","issued":{"date-parts":[["2012"]]},"title":"Comparison of transradial and femoral approaches for percutaneous coronary interventions: A systematic review and hierarchical Bayesian meta-analysis","type":"article-journal","volume":"163"},"uris":["http://www.mendeley.com/documents/?uuid=7e0370e8-de18-3521-a6d4-dee957baea5d"]},{"id":"ITEM-2","itemData":{"DOI":"10.1016/j.ahj.2008.08.023","ISSN":"00028703","abstract":"Background: Small randomized trials have demonstrated that radial access reduces access site complications compared to a femoral approach. The objective of this meta-analysis was to determine if radial access reduces major bleeding and as a result can reduce death and ischemic events compared to femoral access. Methods: MEDLINE, EMBASE, and CENTRAL were searched from 1980 to April 2008. Relevant conference abstracts from 2005 to April 2008 were searched. Randomized trials comparing radial versus femoral access coronary angiography or intervention that reported major bleeding, death, myocardial infarction, and procedural or fluoroscopy time were included. A fixed-effects model was used with a random effects for sensitivity analysis. Results: Radial access reduced major bleeding by 73% compared to femoral access (0.05% vs 2.3%, OR 0.27 [95% CI 0.16, 0.45], P &lt; .001). There was a trend for reductions in the composite of death, myocardial infarction, or stroke (2.5% vs 3.8%, OR 0.71 [95% CI 0.49-1.01], P = .058) as well as death (1.2% vs 1.8% OR 0.74 [95% CI 0.42-1.30], P = .29). There was a trend for higher rate of inability to the cross lesion with wire, balloon, or stent during percutaneous coronary intervention with radial access (4.7% vs 3.4% OR 1.29 [95% CI 0.87, 1.94], P = .21). Radial access reduced hospital stay by 0.4 days (95% CI 0.2-0.5, P = .0001). Conclusions: Radial access reduced major bleeding and there was a corresponding trend for reduction in ischemic events compared to femoral access. Large randomized trials are needed to confirm the benefit of radial access on death and ischemic events. © 2009 Mosby, Inc. All rights reserved.","author":[{"dropping-particle":"","family":"Jolly","given":"Sanjit S.","non-dropping-particle":"","parse-names":false,"suffix":""},{"dropping-particle":"","family":"Amlani","given":"Shoaib","non-dropping-particle":"","parse-names":false,"suffix":""},{"dropping-particle":"","family":"Hamon","given":"Martial","non-dropping-particle":"","parse-names":false,"suffix":""},{"dropping-particle":"","family":"Yusuf","given":"Salim","non-dropping-particle":"","parse-names":false,"suffix":""},{"dropping-particle":"","family":"Mehta","given":"Shamir R.","non-dropping-particle":"","parse-names":false,"suffix":""}],"container-title":"American Heart Journal","id":"ITEM-2","issue":"1","issued":{"date-parts":[["2009"]]},"title":"Radial versus femoral access for coronary angiography or intervention and the impact on major bleeding and ischemic events: A systematic review and meta-analysis of randomized trials","type":"article-journal","volume":"157"},"uris":["http://www.mendeley.com/documents/?uuid=51eb1a70-9743-3302-9f86-ae70c57bf658"]},{"id":"ITEM-3","itemData":{"DOI":"10.1016/S0140-6736(11)60404-2","ISSN":"01406736","abstract":"Background: Small trials have suggested that radial access for percutaneous coronary intervention (PCI) reduces vascular complications and bleeding compared with femoral access. We aimed to assess whether radial access was superior to femoral access in patients with acute coronary syndromes (ACS) who were undergoing coronary angiography with possible intervention. Methods: The RadIal Vs femorAL access for coronary intervention (RIVAL) trial was a randomised, parallel group, multicentre trial. Patients with ACS were randomly assigned (1:1) by a 24 h computerised central automated voice response system to radial or femoral artery access. The primary outcome was a composite of death, myocardial infarction, stroke, or non-coronary artery bypass graft (non-CABG)-related major bleeding at 30 days. Key secondary outcomes were death, myocardial infarction, or stroke; and non-CABG-related major bleeding at 30 days. A masked central committee adjudicated the primary outcome, components of the primary outcome, and stent thrombosis. All other outcomes were as reported by the investigators. Patients and investigators were not masked to treatment allocation. Analyses were by intention to treat. This trial is registered with ClinicalTrials.gov, NCT01014273. Findings: Between June 6, 2006, and Nov 3, 2010, 7021 patients were enrolled from 158 hospitals in 32 countries. 3507 patients were randomly assigned to radial access and 3514 to femoral access. The primary outcome occurred in 128 (3·7) of 3507 patients in the radial access group compared with 139 (4·0) of 3514 in the femoral access group (hazard ratio [HR] 0·92, 95 CI 0·72-1·17; p=0·50). Of the six prespecified subgroups, there was a significant interaction for the primary outcome with benefit for radial access in highest tertile volume radial centres (HR 0·49, 95 CI 0·28-0·87; p=0·015) and in patients with ST-segment elevation myocardial infarction (0·60, 0·38-0·94; p=0·026). The rate of death, myocardial infarction, or stroke at 30 days was 112 (3·2) of 3507 patients in the radial group compared with 114 (3·2) of 3514 in the femoral group (HR 0·98, 95 CI 0·76-1·28; p=0·90). The rate of non-CABG-related major bleeding at 30 days was 24 (0·7) of 3507 patients in the radial group compared with 33 (0·9) of 3514 patients in the femoral group (HR 0·73, 95 CI 0·43-1·23; p=0·23). At 30 days, 42 of 3507 patients in the radial group had large haematoma compared with 106 of 3514 in the femoral group (HR 0·40, 95 CI 0·28-0·…","author":[{"dropping-particle":"","family":"Jolly","given":"Sanjit S.","non-dropping-particle":"","parse-names":false,"suffix":""},{"dropping-particle":"","family":"Yusuf","given":"Salim","non-dropping-particle":"","parse-names":false,"suffix":""},{"dropping-particle":"","family":"Cairns","given":"John","non-dropping-particle":"","parse-names":false,"suffix":""},{"dropping-particle":"","family":"Niemelä","given":"Kari","non-dropping-particle":"","parse-names":false,"suffix":""},{"dropping-particle":"","family":"Xavier","given":"Denis","non-dropping-particle":"","parse-names":false,"suffix":""},{"dropping-particle":"","family":"Widimsky","given":"Petr","non-dropping-particle":"","parse-names":false,"suffix":""},{"dropping-particle":"","family":"Budaj","given":"Andrzej","non-dropping-particle":"","parse-names":false,"suffix":""},{"dropping-particle":"","family":"Niemelä","given":"Matti","non-dropping-particle":"","parse-names":false,"suffix":""},{"dropping-particle":"","family":"Valentin","given":"Vicent","non-dropping-particle":"","parse-names":false,"suffix":""},{"dropping-particle":"","family":"Lewis","given":"Basil S.","non-dropping-particle":"","parse-names":false,"suffix":""},{"dropping-particle":"","family":"Avezum","given":"Alvaro","non-dropping-particle":"","parse-names":false,"suffix":""},{"dropping-particle":"","family":"Steg","given":"Philippe Gabriel","non-dropping-particle":"","parse-names":false,"suffix":""},{"dropping-particle":"V.","family":"Rao","given":"Sunil","non-dropping-particle":"","parse-names":false,"suffix":""},{"dropping-particle":"","family":"Gao","given":"Peggy","non-dropping-particle":"","parse-names":false,"suffix":""},{"dropping-particle":"","family":"Afzal","given":"Rizwan","non-dropping-particle":"","parse-names":false,"suffix":""},{"dropping-particle":"","family":"Joyner","given":"Campbell D.","non-dropping-particle":"","parse-names":false,"suffix":""},{"dropping-particle":"","family":"Chrolavicius","given":"Susan","non-dropping-particle":"","parse-names":false,"suffix":""},{"dropping-particle":"","family":"Mehta","given":"Shamir R.","non-dropping-particle":"","parse-names":false,"suffix":""}],"container-title":"The Lancet","id":"ITEM-3","issue":"9775","issued":{"date-parts":[["2011"]]},"title":"Radial versus femoral access for coronary angiography and intervention in patients with acute coronary syndromes (RIVAL): A randomised, parallel group, multicentre trial","type":"article-journal","volume":"377"},"uris":["http://www.mendeley.com/documents/?uuid=1605aa10-d3c3-3731-b2cf-3e1f0f89920a"]}],"mendeley":{"formattedCitation":"(2–4)","manualFormatting":"(2,4)","plainTextFormattedCitation":"(2–4)","previouslyFormattedCitation":"(2–4)"},"properties":{"noteIndex":0},"schema":"https://github.com/citation-style-language/schema/raw/master/csl-citation.json"}</w:instrText>
      </w:r>
      <w:r w:rsidR="00C1201F" w:rsidRPr="006B3495">
        <w:rPr>
          <w:rFonts w:asciiTheme="majorBidi" w:hAnsiTheme="majorBidi" w:cstheme="majorBidi"/>
          <w:sz w:val="24"/>
          <w:szCs w:val="24"/>
        </w:rPr>
        <w:fldChar w:fldCharType="separate"/>
      </w:r>
      <w:r w:rsidR="00857EF7" w:rsidRPr="006B3495">
        <w:rPr>
          <w:rFonts w:asciiTheme="majorBidi" w:hAnsiTheme="majorBidi" w:cstheme="majorBidi"/>
          <w:sz w:val="24"/>
          <w:szCs w:val="24"/>
        </w:rPr>
        <w:t>(2</w:t>
      </w:r>
      <w:r w:rsidR="00F93408" w:rsidRPr="006B3495">
        <w:rPr>
          <w:rFonts w:asciiTheme="majorBidi" w:hAnsiTheme="majorBidi" w:cstheme="majorBidi"/>
          <w:sz w:val="24"/>
          <w:szCs w:val="24"/>
        </w:rPr>
        <w:t>,</w:t>
      </w:r>
      <w:r w:rsidR="00857EF7" w:rsidRPr="006B3495">
        <w:rPr>
          <w:rFonts w:asciiTheme="majorBidi" w:hAnsiTheme="majorBidi" w:cstheme="majorBidi"/>
          <w:sz w:val="24"/>
          <w:szCs w:val="24"/>
        </w:rPr>
        <w:t>4)</w:t>
      </w:r>
      <w:r w:rsidR="00C1201F" w:rsidRPr="006B3495">
        <w:rPr>
          <w:rFonts w:asciiTheme="majorBidi" w:hAnsiTheme="majorBidi" w:cstheme="majorBidi"/>
          <w:sz w:val="24"/>
          <w:szCs w:val="24"/>
        </w:rPr>
        <w:fldChar w:fldCharType="end"/>
      </w:r>
      <w:r w:rsidRPr="006B3495">
        <w:rPr>
          <w:rFonts w:asciiTheme="majorBidi" w:hAnsiTheme="majorBidi" w:cstheme="majorBidi"/>
          <w:sz w:val="24"/>
          <w:szCs w:val="24"/>
        </w:rPr>
        <w:t>. Multiple research investigations indicate</w:t>
      </w:r>
      <w:r w:rsidR="00C0219A">
        <w:rPr>
          <w:rFonts w:asciiTheme="majorBidi" w:hAnsiTheme="majorBidi" w:cstheme="majorBidi"/>
          <w:sz w:val="24"/>
          <w:szCs w:val="24"/>
        </w:rPr>
        <w:t>d</w:t>
      </w:r>
      <w:r w:rsidRPr="006B3495">
        <w:rPr>
          <w:rFonts w:asciiTheme="majorBidi" w:hAnsiTheme="majorBidi" w:cstheme="majorBidi"/>
          <w:sz w:val="24"/>
          <w:szCs w:val="24"/>
        </w:rPr>
        <w:t xml:space="preserve"> that TRA for individuals undergoing </w:t>
      </w:r>
      <w:r w:rsidR="00F00A77" w:rsidRPr="006B3495">
        <w:rPr>
          <w:rFonts w:asciiTheme="majorBidi" w:hAnsiTheme="majorBidi" w:cstheme="majorBidi"/>
          <w:sz w:val="24"/>
          <w:szCs w:val="24"/>
        </w:rPr>
        <w:t>PCI carrie</w:t>
      </w:r>
      <w:r w:rsidR="00D068BD">
        <w:rPr>
          <w:rFonts w:asciiTheme="majorBidi" w:hAnsiTheme="majorBidi" w:cstheme="majorBidi"/>
          <w:sz w:val="24"/>
          <w:szCs w:val="24"/>
        </w:rPr>
        <w:t>d</w:t>
      </w:r>
      <w:r w:rsidR="00F00A77" w:rsidRPr="006B3495">
        <w:rPr>
          <w:rFonts w:asciiTheme="majorBidi" w:hAnsiTheme="majorBidi" w:cstheme="majorBidi"/>
          <w:sz w:val="24"/>
          <w:szCs w:val="24"/>
        </w:rPr>
        <w:t xml:space="preserve"> a lower risk of </w:t>
      </w:r>
      <w:r w:rsidR="00F00A77" w:rsidRPr="006B3495">
        <w:rPr>
          <w:rFonts w:asciiTheme="majorBidi" w:hAnsiTheme="majorBidi" w:cstheme="majorBidi"/>
          <w:sz w:val="24"/>
          <w:szCs w:val="24"/>
        </w:rPr>
        <w:lastRenderedPageBreak/>
        <w:t xml:space="preserve">complications related to vascular access </w:t>
      </w:r>
      <w:r w:rsidR="00613EBC" w:rsidRPr="006B3495">
        <w:rPr>
          <w:rFonts w:asciiTheme="majorBidi" w:hAnsiTheme="majorBidi" w:cstheme="majorBidi"/>
          <w:sz w:val="24"/>
          <w:szCs w:val="24"/>
        </w:rPr>
        <w:t>sites</w:t>
      </w:r>
      <w:r w:rsidR="00F00A77" w:rsidRPr="006B3495">
        <w:rPr>
          <w:rFonts w:asciiTheme="majorBidi" w:hAnsiTheme="majorBidi" w:cstheme="majorBidi"/>
          <w:sz w:val="24"/>
          <w:szCs w:val="24"/>
        </w:rPr>
        <w:t xml:space="preserve"> when compared</w:t>
      </w:r>
      <w:r w:rsidRPr="006B3495">
        <w:rPr>
          <w:rFonts w:asciiTheme="majorBidi" w:hAnsiTheme="majorBidi" w:cstheme="majorBidi"/>
          <w:sz w:val="24"/>
          <w:szCs w:val="24"/>
        </w:rPr>
        <w:t xml:space="preserve"> to TFA. PCI may be conducted via three access sites: femoral, brachial, or radial arteries. Bleeding at the vascular access site </w:t>
      </w:r>
      <w:r w:rsidR="000F6E28" w:rsidRPr="006B3495">
        <w:rPr>
          <w:rFonts w:asciiTheme="majorBidi" w:hAnsiTheme="majorBidi" w:cstheme="majorBidi"/>
          <w:sz w:val="24"/>
          <w:szCs w:val="24"/>
        </w:rPr>
        <w:t>represents a considerable concern</w:t>
      </w:r>
      <w:r w:rsidRPr="006B3495">
        <w:rPr>
          <w:rFonts w:asciiTheme="majorBidi" w:hAnsiTheme="majorBidi" w:cstheme="majorBidi"/>
          <w:sz w:val="24"/>
          <w:szCs w:val="24"/>
        </w:rPr>
        <w:t>, especially when anticoagulants and platelet glycoprotein inhibitors are employed, as effective management of th</w:t>
      </w:r>
      <w:r w:rsidR="0045290F" w:rsidRPr="006B3495">
        <w:rPr>
          <w:rFonts w:asciiTheme="majorBidi" w:hAnsiTheme="majorBidi" w:cstheme="majorBidi"/>
          <w:sz w:val="24"/>
          <w:szCs w:val="24"/>
        </w:rPr>
        <w:t>is</w:t>
      </w:r>
      <w:r w:rsidRPr="006B3495">
        <w:rPr>
          <w:rFonts w:asciiTheme="majorBidi" w:hAnsiTheme="majorBidi" w:cstheme="majorBidi"/>
          <w:sz w:val="24"/>
          <w:szCs w:val="24"/>
        </w:rPr>
        <w:t xml:space="preserve"> site is crucial for the outcomes of PCI. Recent </w:t>
      </w:r>
      <w:r w:rsidR="00192C0D">
        <w:rPr>
          <w:rFonts w:asciiTheme="majorBidi" w:hAnsiTheme="majorBidi" w:cstheme="majorBidi"/>
          <w:sz w:val="24"/>
          <w:szCs w:val="24"/>
        </w:rPr>
        <w:t>randomised</w:t>
      </w:r>
      <w:r w:rsidRPr="006B3495">
        <w:rPr>
          <w:rFonts w:asciiTheme="majorBidi" w:hAnsiTheme="majorBidi" w:cstheme="majorBidi"/>
          <w:sz w:val="24"/>
          <w:szCs w:val="24"/>
        </w:rPr>
        <w:t xml:space="preserve"> controlled studies</w:t>
      </w:r>
      <w:r w:rsidR="00A178A7"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that looked at </w:t>
      </w:r>
      <w:r w:rsidR="00192C0D">
        <w:rPr>
          <w:rFonts w:asciiTheme="majorBidi" w:hAnsiTheme="majorBidi" w:cstheme="majorBidi"/>
          <w:sz w:val="24"/>
          <w:szCs w:val="24"/>
        </w:rPr>
        <w:t>the femoral</w:t>
      </w:r>
      <w:r w:rsidR="007E14F9"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versus </w:t>
      </w:r>
      <w:r w:rsidR="007E14F9" w:rsidRPr="006B3495">
        <w:rPr>
          <w:rFonts w:asciiTheme="majorBidi" w:hAnsiTheme="majorBidi" w:cstheme="majorBidi"/>
          <w:sz w:val="24"/>
          <w:szCs w:val="24"/>
        </w:rPr>
        <w:t xml:space="preserve">radial approach </w:t>
      </w:r>
      <w:r w:rsidRPr="006B3495">
        <w:rPr>
          <w:rFonts w:asciiTheme="majorBidi" w:hAnsiTheme="majorBidi" w:cstheme="majorBidi"/>
          <w:sz w:val="24"/>
          <w:szCs w:val="24"/>
        </w:rPr>
        <w:t xml:space="preserve">in primary percutaneous coronary intervention (PPCI) have demonstrated inconsistent findings about the </w:t>
      </w:r>
      <w:r w:rsidR="00A468E0" w:rsidRPr="006B3495">
        <w:rPr>
          <w:rFonts w:asciiTheme="majorBidi" w:hAnsiTheme="majorBidi" w:cstheme="majorBidi"/>
          <w:sz w:val="24"/>
          <w:szCs w:val="24"/>
        </w:rPr>
        <w:t>existence</w:t>
      </w:r>
      <w:r w:rsidRPr="006B3495">
        <w:rPr>
          <w:rFonts w:asciiTheme="majorBidi" w:hAnsiTheme="majorBidi" w:cstheme="majorBidi"/>
          <w:sz w:val="24"/>
          <w:szCs w:val="24"/>
        </w:rPr>
        <w:t xml:space="preserve"> of major adverse cardiovascular events (MACE) and significant bleeding</w:t>
      </w:r>
      <w:r w:rsidR="004A7314" w:rsidRPr="006B3495">
        <w:rPr>
          <w:rFonts w:asciiTheme="majorBidi" w:hAnsiTheme="majorBidi" w:cstheme="majorBidi"/>
          <w:sz w:val="24"/>
          <w:szCs w:val="24"/>
        </w:rPr>
        <w:t>;</w:t>
      </w:r>
      <w:r w:rsidRPr="006B3495">
        <w:rPr>
          <w:rFonts w:asciiTheme="majorBidi" w:hAnsiTheme="majorBidi" w:cstheme="majorBidi"/>
          <w:sz w:val="24"/>
          <w:szCs w:val="24"/>
        </w:rPr>
        <w:t xml:space="preserve"> </w:t>
      </w:r>
      <w:r w:rsidR="00192C0D">
        <w:rPr>
          <w:rFonts w:asciiTheme="majorBidi" w:hAnsiTheme="majorBidi" w:cstheme="majorBidi"/>
          <w:sz w:val="24"/>
          <w:szCs w:val="24"/>
        </w:rPr>
        <w:t>the</w:t>
      </w:r>
      <w:r w:rsidRPr="006B3495">
        <w:rPr>
          <w:rFonts w:asciiTheme="majorBidi" w:hAnsiTheme="majorBidi" w:cstheme="majorBidi"/>
          <w:sz w:val="24"/>
          <w:szCs w:val="24"/>
        </w:rPr>
        <w:t xml:space="preserve"> earlier </w:t>
      </w:r>
      <w:r w:rsidR="00192C0D">
        <w:rPr>
          <w:rFonts w:asciiTheme="majorBidi" w:hAnsiTheme="majorBidi" w:cstheme="majorBidi"/>
          <w:sz w:val="24"/>
          <w:szCs w:val="24"/>
        </w:rPr>
        <w:t>randomised multicentre</w:t>
      </w:r>
      <w:r w:rsidRPr="006B3495">
        <w:rPr>
          <w:rFonts w:asciiTheme="majorBidi" w:hAnsiTheme="majorBidi" w:cstheme="majorBidi"/>
          <w:sz w:val="24"/>
          <w:szCs w:val="24"/>
        </w:rPr>
        <w:t xml:space="preserve"> studies demonstrated that </w:t>
      </w:r>
      <w:r w:rsidR="00192C0D">
        <w:rPr>
          <w:rFonts w:asciiTheme="majorBidi" w:hAnsiTheme="majorBidi" w:cstheme="majorBidi"/>
          <w:sz w:val="24"/>
          <w:szCs w:val="24"/>
        </w:rPr>
        <w:t xml:space="preserve">the </w:t>
      </w:r>
      <w:r w:rsidRPr="006B3495">
        <w:rPr>
          <w:rFonts w:asciiTheme="majorBidi" w:hAnsiTheme="majorBidi" w:cstheme="majorBidi"/>
          <w:sz w:val="24"/>
          <w:szCs w:val="24"/>
        </w:rPr>
        <w:t xml:space="preserve">radial </w:t>
      </w:r>
      <w:r w:rsidR="00092958" w:rsidRPr="006B3495">
        <w:rPr>
          <w:rFonts w:asciiTheme="majorBidi" w:hAnsiTheme="majorBidi" w:cstheme="majorBidi"/>
          <w:sz w:val="24"/>
          <w:szCs w:val="24"/>
        </w:rPr>
        <w:t xml:space="preserve">approach </w:t>
      </w:r>
      <w:r w:rsidRPr="006B3495">
        <w:rPr>
          <w:rFonts w:asciiTheme="majorBidi" w:hAnsiTheme="majorBidi" w:cstheme="majorBidi"/>
          <w:sz w:val="24"/>
          <w:szCs w:val="24"/>
        </w:rPr>
        <w:t xml:space="preserve">is </w:t>
      </w:r>
      <w:r w:rsidR="00092958" w:rsidRPr="006B3495">
        <w:rPr>
          <w:rFonts w:asciiTheme="majorBidi" w:hAnsiTheme="majorBidi" w:cstheme="majorBidi"/>
          <w:sz w:val="24"/>
          <w:szCs w:val="24"/>
        </w:rPr>
        <w:t xml:space="preserve">more effective than </w:t>
      </w:r>
      <w:r w:rsidR="00192C0D">
        <w:rPr>
          <w:rFonts w:asciiTheme="majorBidi" w:hAnsiTheme="majorBidi" w:cstheme="majorBidi"/>
          <w:sz w:val="24"/>
          <w:szCs w:val="24"/>
        </w:rPr>
        <w:t>the femoral</w:t>
      </w:r>
      <w:r w:rsidRPr="006B3495">
        <w:rPr>
          <w:rFonts w:asciiTheme="majorBidi" w:hAnsiTheme="majorBidi" w:cstheme="majorBidi"/>
          <w:sz w:val="24"/>
          <w:szCs w:val="24"/>
        </w:rPr>
        <w:t xml:space="preserve"> </w:t>
      </w:r>
      <w:r w:rsidR="00092958" w:rsidRPr="006B3495">
        <w:rPr>
          <w:rFonts w:asciiTheme="majorBidi" w:hAnsiTheme="majorBidi" w:cstheme="majorBidi"/>
          <w:sz w:val="24"/>
          <w:szCs w:val="24"/>
        </w:rPr>
        <w:t xml:space="preserve">approach </w:t>
      </w:r>
      <w:r w:rsidRPr="006B3495">
        <w:rPr>
          <w:rFonts w:asciiTheme="majorBidi" w:hAnsiTheme="majorBidi" w:cstheme="majorBidi"/>
          <w:sz w:val="24"/>
          <w:szCs w:val="24"/>
        </w:rPr>
        <w:t xml:space="preserve">in </w:t>
      </w:r>
      <w:r w:rsidR="00092958" w:rsidRPr="006B3495">
        <w:rPr>
          <w:rFonts w:asciiTheme="majorBidi" w:hAnsiTheme="majorBidi" w:cstheme="majorBidi"/>
          <w:sz w:val="24"/>
          <w:szCs w:val="24"/>
        </w:rPr>
        <w:t>reducing the risk of substantial vascular complications</w:t>
      </w:r>
      <w:r w:rsidRPr="006B3495">
        <w:rPr>
          <w:rFonts w:asciiTheme="majorBidi" w:hAnsiTheme="majorBidi" w:cstheme="majorBidi"/>
          <w:sz w:val="24"/>
          <w:szCs w:val="24"/>
        </w:rPr>
        <w:t xml:space="preserve">, bleeding, and, in certain </w:t>
      </w:r>
      <w:r w:rsidR="00092958" w:rsidRPr="006B3495">
        <w:rPr>
          <w:rFonts w:asciiTheme="majorBidi" w:hAnsiTheme="majorBidi" w:cstheme="majorBidi"/>
          <w:sz w:val="24"/>
          <w:szCs w:val="24"/>
        </w:rPr>
        <w:t>cohorts’</w:t>
      </w:r>
      <w:r w:rsidRPr="006B3495">
        <w:rPr>
          <w:rFonts w:asciiTheme="majorBidi" w:hAnsiTheme="majorBidi" w:cstheme="majorBidi"/>
          <w:sz w:val="24"/>
          <w:szCs w:val="24"/>
        </w:rPr>
        <w:t xml:space="preserve"> studies, mortality rates. VCD enhances time to hemostasis and ambulation, along with </w:t>
      </w:r>
      <w:r w:rsidR="00650A50" w:rsidRPr="006B3495">
        <w:rPr>
          <w:rFonts w:asciiTheme="majorBidi" w:hAnsiTheme="majorBidi" w:cstheme="majorBidi"/>
          <w:sz w:val="24"/>
          <w:szCs w:val="24"/>
        </w:rPr>
        <w:t xml:space="preserve">comfort for the </w:t>
      </w:r>
      <w:r w:rsidRPr="006B3495">
        <w:rPr>
          <w:rFonts w:asciiTheme="majorBidi" w:hAnsiTheme="majorBidi" w:cstheme="majorBidi"/>
          <w:sz w:val="24"/>
          <w:szCs w:val="24"/>
        </w:rPr>
        <w:t>patient; however, it has not consistently demonstrated a reduction in mortality rate or significant complications, according to high-level evidence</w:t>
      </w:r>
      <w:r w:rsidR="004A7314" w:rsidRPr="006B3495">
        <w:rPr>
          <w:rFonts w:asciiTheme="majorBidi" w:hAnsiTheme="majorBidi" w:cstheme="majorBidi"/>
          <w:sz w:val="24"/>
          <w:szCs w:val="24"/>
        </w:rPr>
        <w:t xml:space="preserve"> </w:t>
      </w:r>
      <w:r w:rsidR="004A7314"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{"citationItems":[{"id":"ITEM-1","itemData":{"DOI":"10.2174/1570161115666170504125831","ISSN":"15701611","abstract":"© 2018 Bentham Science Publishers. Background: Substantial improvements have been achieved with percutaneous coronary intervention (PCI) for the treatment of Acute Coronary Syndromes (ACS). Nevertheless, bleeding still affects outcomes. The radial approach for PCI has shown important benefits on access site complications, but is still not achieving universal consensus as first choice in acute settings. Therefore, we performed a comprehensive meta-analysis of randomized trials comparing radial vs femoral approach in PCI for ACS. Methods: The literature and main scientific session abstracts were scanned for randomized studies comparing radial vs femoral approach for PCI in ACS. Primary endpoint was mortality within 30-days. Secondary endpoints were: 1) Major Adverse Cardiovascular Events (MACE), 2) major bleeding, and, 3) vascular complications. Results: We in cluded 17 randomized trials, enrolling 19325 patients. A total of 9635 patients were randomized to the radial approach and 9690 to the femoral approach. The radial approach was associated with a significant reduction in mortality (1.8 vs 2.5%, odds ratio, OR [95% CI] = 0.72 [0.59,0.88] , p = 0.001, p heterogeneity = 0.31) and in major bleeding complications compared with the femoral approach (1.5 vs 2.6%, OR [95% CI] = 0.57 [0.47, 0.71] , p  &lt;  0.00001, p heterogeneity = 0.59), with similar advantages observed for both ST-elevation myocardial infarction and non-ST segment elevation ACS. MACE occurrence and vascular complications were also reduced with the radial approach (OR [95% CI] = 0.82 [0.74, 0.92] , p = 0.0005, and OR [95% CI] = 0.52 [0.47, 0.58] , p  &lt;  0.00001, respectively). Our results were not influenced by patient risk profile or the antithrombotic strategy applied. Conclusion: Our meta-analysis shows that among ACS patients undergoing PCI, the radial approach is associated with a significant reduction in mortality, major bleeding complications, MACE and vascular complication compared with the femoral approach.","author":[{"dropping-particle":"","family":"Nardin","given":"Matteo","non-dropping-particle":"","parse-names":false,"suffix":""},{"dropping-particle":"","family":"Verdoia","given":"Monica","non-dropping-particle":"","parse-names":false,"suffix":""},{"dropping-particle":"","family":"Barbieri","given":"Lucia","non-dropping-particle":"","parse-names":false,"suffix":""},{"dropping-particle":"","family":"Schaffer","given":"Alon","non-dropping-particle":"","parse-names":false,"suffix":""},{"dropping-particle":"","family":"Suryapranata","given":"Harry","non-dropping-particle":"","parse-names":false,"suffix":""},{"dropping-particle":"","family":"Luca","given":"Giuseppe","non-dropping-particle":"De","parse-names":false,"suffix":""}],"container-title":"Current Vascular Pharmacology","id":"ITEM-1","issue":"1","issued":{"date-parts":[["2017"]]},"title":"Radial vs Femoral Approach in Acute Coronary Syndromes: A Meta- Analysis of Randomized Trials","type":"article-journal","volume":"16"},"uris":["http://www.mendeley.com/documents/?uuid=741082b0-c4ed-3444-9e09-7cbccaab3951"]}],"mendeley":{"formattedCitation":"(13)","plainTextFormattedCitation":"(13)","previouslyFormattedCitation":"(13)"},"properties":{"noteIndex":0},"schema":"https://github.com/citation-style-language/schema/raw/master/csl-citation.json"}</w:instrText>
      </w:r>
      <w:r w:rsidR="004A7314"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(13)</w:t>
      </w:r>
      <w:r w:rsidR="004A7314" w:rsidRPr="006B3495">
        <w:rPr>
          <w:rFonts w:asciiTheme="majorBidi" w:hAnsiTheme="majorBidi" w:cstheme="majorBidi"/>
          <w:sz w:val="24"/>
          <w:szCs w:val="24"/>
        </w:rPr>
        <w:fldChar w:fldCharType="end"/>
      </w:r>
      <w:r w:rsidRPr="006B3495">
        <w:rPr>
          <w:rFonts w:asciiTheme="majorBidi" w:hAnsiTheme="majorBidi" w:cstheme="majorBidi"/>
          <w:sz w:val="24"/>
          <w:szCs w:val="24"/>
        </w:rPr>
        <w:t>.</w:t>
      </w:r>
    </w:p>
    <w:p w14:paraId="07ABBFEA" w14:textId="77777777" w:rsidR="00EC74E8" w:rsidRPr="00A003BA" w:rsidRDefault="00EC74E8" w:rsidP="00A11B6B">
      <w:pPr>
        <w:pStyle w:val="a"/>
      </w:pPr>
      <w:bookmarkStart w:id="29" w:name="_Toc212871505"/>
      <w:r w:rsidRPr="00A003BA">
        <w:t>Problem Statement</w:t>
      </w:r>
      <w:bookmarkEnd w:id="29"/>
    </w:p>
    <w:p w14:paraId="62EE332C" w14:textId="018CCB5B" w:rsidR="00EC74E8" w:rsidRPr="006B3495" w:rsidRDefault="00EC74E8" w:rsidP="00C875C1">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TRA and VCD are superior to TFA in preventing vascular complications after PCI </w:t>
      </w:r>
      <w:r w:rsidR="00FA6866"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{"citationItems":[{"id":"ITEM-1","itemData":{"DOI":"10.1080/00015385.2017.1363947","ISSN":"03737934","abstract":"Background: Radial access (RA) and vascular closure devices (VCD) have been shown to be superior to transfemoral access (TFA) with regard to the prevention of vascular complications after percutaneous coronary intervention (PCI). Objective: The present study evaluates whether RA is associated with less vascular complications and a lower mortality than VCD. Methods: A total of 6999 consecutive PCI patients were studied through a single-centre prospective registry from January 2011 to August 2015. RA was applied in 1385 patients (20%), VCDs with Angio-Seal were implanted in 2145 patients (30%) and manual compression of TFA was performed in 3468 patients (50%). Results: RA and VCD patients had comparable baseline risk profiles. The overall vascular complication rate was 2.0% (n = 137) and was composed of false aneurysms (n = 85), clinically relevant haematomas (n = 27), arteriovenous fistulas (n = 12), arterial occlusions (n = 11) and local infections (n = 2). Vascular complications occurred in 0.6% of RA patients, 1.8% of VCD patients and 2.6% of TFA patients (p &lt;.01). In-hospital mortality was 0.8% in RA patients, 0.8% in VCD patients and 3.8% in TFA patients (p &lt;.01). In a multivariate logistic regression model, RA, compared to VCD, was found to be independently associated with a lower rate of vascular complications (OR: 0.34, 95% CI: 0.16–0.75), but not with lower mortality rates (OR: 1.20, 95% CI: 0.51–2.85). Conclusion: In this large all-comers PCI population, the radial approach, compared to the femoral approach with VCD use (Angio-Seal), was independently associated with a reduction of vascular complications, but not with lower mortality rates.","author":[{"dropping-particle":"","family":"Téblick","given":"Arno","non-dropping-particle":"","parse-names":false,"suffix":""},{"dropping-particle":"","family":"Vanderbruggen","given":"Wies","non-dropping-particle":"","parse-names":false,"suffix":""},{"dropping-particle":"","family":"Vandendriessche","given":"Tom","non-dropping-particle":"","parse-names":false,"suffix":""},{"dropping-particle":"","family":"Bosmans","given":"Johan","non-dropping-particle":"","parse-names":false,"suffix":""},{"dropping-particle":"","family":"Haine","given":"Steven Els Frans","non-dropping-particle":"","parse-names":false,"suffix":""},{"dropping-particle":"","family":"Miljoen","given":"Hielko","non-dropping-particle":"","parse-names":false,"suffix":""},{"dropping-particle":"","family":"Segers","given":"Vincent","non-dropping-particle":"","parse-names":false,"suffix":""},{"dropping-particle":"","family":"Wouters","given":"Kristien","non-dropping-particle":"","parse-names":false,"suffix":""},{"dropping-particle":"","family":"Vrints","given":"Christiaan","non-dropping-particle":"","parse-names":false,"suffix":""},{"dropping-particle":"","family":"Claeys","given":"Marc J.","non-dropping-particle":"","parse-names":false,"suffix":""}],"container-title":"Acta Cardiologica","id":"ITEM-1","issue":"3","issued":{"date-parts":[["2018"]]},"title":"Comparison of radial access versus femoral access with the use of a vascular closure device for the prevention of vascular complications and mortality after percutaneous coronary intervention","type":"article-journal","volume":"73"},"uris":["http://www.mendeley.com/documents/?uuid=6e39b574-95c3-34b9-8d74-a460e9a487bf"]}],"mendeley":{"formattedCitation":"(14)","plainTextFormattedCitation":"(14)","previouslyFormattedCitation":"(14)"},"properties":{"noteIndex":0},"schema":"https://github.com/citation-style-language/schema/raw/master/csl-citation.json"}</w:instrText>
      </w:r>
      <w:r w:rsidR="00FA6866"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(14)</w:t>
      </w:r>
      <w:r w:rsidR="00FA6866"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w:t>
      </w:r>
      <w:r w:rsidR="00032B90" w:rsidRPr="006B3495">
        <w:rPr>
          <w:rFonts w:asciiTheme="majorBidi" w:hAnsiTheme="majorBidi" w:cstheme="majorBidi"/>
          <w:sz w:val="24"/>
          <w:szCs w:val="24"/>
        </w:rPr>
        <w:t>Optimal femoral access combined with closure using a VCD can reduce the disparity between femoral and radial accesses in patients with high risk</w:t>
      </w:r>
      <w:r w:rsidRPr="006B3495">
        <w:rPr>
          <w:rFonts w:asciiTheme="majorBidi" w:hAnsiTheme="majorBidi" w:cstheme="majorBidi"/>
          <w:sz w:val="24"/>
          <w:szCs w:val="24"/>
        </w:rPr>
        <w:t xml:space="preserve"> </w:t>
      </w:r>
      <w:r w:rsidR="002D0090"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{"citationItems":[{"id":"ITEM-1","itemData":{"DOI":"10.1002/ccd.27078","ISSN":"1522726X","abstract":"Previous large randomized multicenter trials have shown superiority of radial to femoral access in reducing major bleeding, vascular complications, and in some cohorts, mortality Vascular closure devices improve time to hemostasis and ambulation, as well as patient comfort, but have not been shown to reduce major complications or mortality consistently in the high level evidence base. The combination of optimal femoral access and closure with a vascular closure device has the potential to narrow the gap between the radial and femoral approaches in high risk patients, but unfortunately this study was too limited to confirm either non-inferiority or equivalence.","author":[{"dropping-particle":"","family":"Pasala","given":"Tilak K.R.","non-dropping-particle":"","parse-names":false,"suffix":""},{"dropping-particle":"","family":"Turi","given":"Zoltan G.","non-dropping-particle":"","parse-names":false,"suffix":""}],"container-title":"Catheterization and Cardiovascular Interventions","id":"ITEM-1","issue":"6","issued":{"date-parts":[["2017"]]},"title":"Revisiting Femoral vs. Radial access—do vascular closure devices level the playing field?","type":"article","volume":"89"},"uris":["http://www.mendeley.com/documents/?uuid=04c7d6ff-3a83-34e6-95b8-3550e831678f"]}],"mendeley":{"formattedCitation":"(15)","plainTextFormattedCitation":"(15)","previouslyFormattedCitation":"(15)"},"properties":{"noteIndex":0},"schema":"https://github.com/citation-style-language/schema/raw/master/csl-citation.json"}</w:instrText>
      </w:r>
      <w:r w:rsidR="002D0090"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(15)</w:t>
      </w:r>
      <w:r w:rsidR="002D0090"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Evidence about </w:t>
      </w:r>
      <w:r w:rsidR="00757509" w:rsidRPr="006B3495">
        <w:rPr>
          <w:rFonts w:asciiTheme="majorBidi" w:hAnsiTheme="majorBidi" w:cstheme="majorBidi"/>
          <w:sz w:val="24"/>
          <w:szCs w:val="24"/>
        </w:rPr>
        <w:t>radial access</w:t>
      </w:r>
      <w:r w:rsidRPr="006B3495">
        <w:rPr>
          <w:rFonts w:asciiTheme="majorBidi" w:hAnsiTheme="majorBidi" w:cstheme="majorBidi"/>
          <w:sz w:val="24"/>
          <w:szCs w:val="24"/>
        </w:rPr>
        <w:t xml:space="preserve"> efficacy compared to </w:t>
      </w:r>
      <w:r w:rsidR="00757509" w:rsidRPr="006B3495">
        <w:rPr>
          <w:rFonts w:asciiTheme="majorBidi" w:hAnsiTheme="majorBidi" w:cstheme="majorBidi"/>
          <w:sz w:val="24"/>
          <w:szCs w:val="24"/>
        </w:rPr>
        <w:t xml:space="preserve">femoral access </w:t>
      </w:r>
      <w:r w:rsidR="00796191" w:rsidRPr="006B3495">
        <w:rPr>
          <w:rFonts w:asciiTheme="majorBidi" w:hAnsiTheme="majorBidi" w:cstheme="majorBidi"/>
          <w:sz w:val="24"/>
          <w:szCs w:val="24"/>
        </w:rPr>
        <w:t>using</w:t>
      </w:r>
      <w:r w:rsidR="00757509"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VCD is </w:t>
      </w:r>
      <w:r w:rsidR="00FC4AD3">
        <w:rPr>
          <w:rFonts w:asciiTheme="majorBidi" w:hAnsiTheme="majorBidi" w:cstheme="majorBidi"/>
          <w:sz w:val="24"/>
          <w:szCs w:val="24"/>
        </w:rPr>
        <w:t>limited,</w:t>
      </w:r>
      <w:r w:rsidRPr="006B3495">
        <w:rPr>
          <w:rFonts w:asciiTheme="majorBidi" w:hAnsiTheme="majorBidi" w:cstheme="majorBidi"/>
          <w:sz w:val="24"/>
          <w:szCs w:val="24"/>
        </w:rPr>
        <w:t xml:space="preserve"> </w:t>
      </w:r>
      <w:r w:rsidR="007952AA" w:rsidRPr="006B3495">
        <w:rPr>
          <w:rFonts w:asciiTheme="majorBidi" w:hAnsiTheme="majorBidi" w:cstheme="majorBidi"/>
          <w:sz w:val="24"/>
          <w:szCs w:val="24"/>
        </w:rPr>
        <w:t xml:space="preserve">as </w:t>
      </w:r>
      <w:r w:rsidRPr="006B3495">
        <w:rPr>
          <w:rFonts w:asciiTheme="majorBidi" w:hAnsiTheme="majorBidi" w:cstheme="majorBidi"/>
          <w:sz w:val="24"/>
          <w:szCs w:val="24"/>
        </w:rPr>
        <w:t xml:space="preserve">only a </w:t>
      </w:r>
      <w:r w:rsidR="007952AA" w:rsidRPr="006B3495">
        <w:rPr>
          <w:rFonts w:asciiTheme="majorBidi" w:hAnsiTheme="majorBidi" w:cstheme="majorBidi"/>
          <w:sz w:val="24"/>
          <w:szCs w:val="24"/>
        </w:rPr>
        <w:t>slight</w:t>
      </w:r>
      <w:r w:rsidRPr="006B3495">
        <w:rPr>
          <w:rFonts w:asciiTheme="majorBidi" w:hAnsiTheme="majorBidi" w:cstheme="majorBidi"/>
          <w:sz w:val="24"/>
          <w:szCs w:val="24"/>
        </w:rPr>
        <w:t xml:space="preserve"> number of </w:t>
      </w:r>
      <w:r w:rsidR="004616D7">
        <w:rPr>
          <w:rFonts w:asciiTheme="majorBidi" w:hAnsiTheme="majorBidi" w:cstheme="majorBidi"/>
          <w:sz w:val="24"/>
          <w:szCs w:val="24"/>
        </w:rPr>
        <w:t>randomised</w:t>
      </w:r>
      <w:r w:rsidRPr="006B3495">
        <w:rPr>
          <w:rFonts w:asciiTheme="majorBidi" w:hAnsiTheme="majorBidi" w:cstheme="majorBidi"/>
          <w:sz w:val="24"/>
          <w:szCs w:val="24"/>
        </w:rPr>
        <w:t xml:space="preserve"> </w:t>
      </w:r>
      <w:r w:rsidR="00293292" w:rsidRPr="006B3495">
        <w:rPr>
          <w:rFonts w:asciiTheme="majorBidi" w:hAnsiTheme="majorBidi" w:cstheme="majorBidi"/>
          <w:sz w:val="24"/>
          <w:szCs w:val="24"/>
        </w:rPr>
        <w:t xml:space="preserve">trials </w:t>
      </w:r>
      <w:r w:rsidRPr="006B3495">
        <w:rPr>
          <w:rFonts w:asciiTheme="majorBidi" w:hAnsiTheme="majorBidi" w:cstheme="majorBidi"/>
          <w:sz w:val="24"/>
          <w:szCs w:val="24"/>
        </w:rPr>
        <w:t xml:space="preserve">have been </w:t>
      </w:r>
      <w:r w:rsidR="007952AA" w:rsidRPr="006B3495">
        <w:rPr>
          <w:rFonts w:asciiTheme="majorBidi" w:hAnsiTheme="majorBidi" w:cstheme="majorBidi"/>
          <w:sz w:val="24"/>
          <w:szCs w:val="24"/>
        </w:rPr>
        <w:t>conducted so far</w:t>
      </w:r>
      <w:r w:rsidRPr="006B3495">
        <w:rPr>
          <w:rFonts w:asciiTheme="majorBidi" w:hAnsiTheme="majorBidi" w:cstheme="majorBidi"/>
          <w:sz w:val="24"/>
          <w:szCs w:val="24"/>
        </w:rPr>
        <w:t xml:space="preserve">. In this study, </w:t>
      </w:r>
      <w:r w:rsidR="009E78BD">
        <w:rPr>
          <w:rFonts w:asciiTheme="majorBidi" w:hAnsiTheme="majorBidi" w:cstheme="majorBidi"/>
          <w:sz w:val="24"/>
          <w:szCs w:val="24"/>
        </w:rPr>
        <w:t>the researcher</w:t>
      </w:r>
      <w:r w:rsidRPr="006B3495">
        <w:rPr>
          <w:rFonts w:asciiTheme="majorBidi" w:hAnsiTheme="majorBidi" w:cstheme="majorBidi"/>
          <w:sz w:val="24"/>
          <w:szCs w:val="24"/>
        </w:rPr>
        <w:t xml:space="preserve"> </w:t>
      </w:r>
      <w:r w:rsidR="00387C0F" w:rsidRPr="006B3495">
        <w:rPr>
          <w:rFonts w:asciiTheme="majorBidi" w:hAnsiTheme="majorBidi" w:cstheme="majorBidi"/>
          <w:sz w:val="24"/>
          <w:szCs w:val="24"/>
        </w:rPr>
        <w:t>encourages</w:t>
      </w:r>
      <w:r w:rsidRPr="006B3495">
        <w:rPr>
          <w:rFonts w:asciiTheme="majorBidi" w:hAnsiTheme="majorBidi" w:cstheme="majorBidi"/>
          <w:sz w:val="24"/>
          <w:szCs w:val="24"/>
        </w:rPr>
        <w:t xml:space="preserve"> and support future research in the field of vascular complications </w:t>
      </w:r>
      <w:r w:rsidR="00344F93" w:rsidRPr="006B3495">
        <w:rPr>
          <w:rFonts w:asciiTheme="majorBidi" w:hAnsiTheme="majorBidi" w:cstheme="majorBidi"/>
          <w:sz w:val="24"/>
          <w:szCs w:val="24"/>
        </w:rPr>
        <w:t>linked</w:t>
      </w:r>
      <w:r w:rsidRPr="006B3495">
        <w:rPr>
          <w:rFonts w:asciiTheme="majorBidi" w:hAnsiTheme="majorBidi" w:cstheme="majorBidi"/>
          <w:sz w:val="24"/>
          <w:szCs w:val="24"/>
        </w:rPr>
        <w:t xml:space="preserve"> with </w:t>
      </w:r>
      <w:r w:rsidR="00344F93" w:rsidRPr="006B3495">
        <w:rPr>
          <w:rFonts w:asciiTheme="majorBidi" w:hAnsiTheme="majorBidi" w:cstheme="majorBidi"/>
          <w:sz w:val="24"/>
          <w:szCs w:val="24"/>
        </w:rPr>
        <w:t xml:space="preserve">femoral </w:t>
      </w:r>
      <w:r w:rsidRPr="006B3495">
        <w:rPr>
          <w:rFonts w:asciiTheme="majorBidi" w:hAnsiTheme="majorBidi" w:cstheme="majorBidi"/>
          <w:sz w:val="24"/>
          <w:szCs w:val="24"/>
        </w:rPr>
        <w:t xml:space="preserve">and </w:t>
      </w:r>
      <w:r w:rsidR="00344F93" w:rsidRPr="006B3495">
        <w:rPr>
          <w:rFonts w:asciiTheme="majorBidi" w:hAnsiTheme="majorBidi" w:cstheme="majorBidi"/>
          <w:sz w:val="24"/>
          <w:szCs w:val="24"/>
        </w:rPr>
        <w:t xml:space="preserve">radial </w:t>
      </w:r>
      <w:r w:rsidRPr="006B3495">
        <w:rPr>
          <w:rFonts w:asciiTheme="majorBidi" w:hAnsiTheme="majorBidi" w:cstheme="majorBidi"/>
          <w:sz w:val="24"/>
          <w:szCs w:val="24"/>
        </w:rPr>
        <w:t>access using a VCD after PCI. There is a lack of research related to this study in Palestine,</w:t>
      </w:r>
      <w:r w:rsidR="009E78BD">
        <w:rPr>
          <w:rFonts w:asciiTheme="majorBidi" w:hAnsiTheme="majorBidi" w:cstheme="majorBidi"/>
          <w:sz w:val="24"/>
          <w:szCs w:val="24"/>
        </w:rPr>
        <w:t xml:space="preserve"> and there </w:t>
      </w:r>
      <w:r w:rsidR="00387C0F">
        <w:rPr>
          <w:rFonts w:asciiTheme="majorBidi" w:hAnsiTheme="majorBidi" w:cstheme="majorBidi"/>
          <w:sz w:val="24"/>
          <w:szCs w:val="24"/>
        </w:rPr>
        <w:t>are</w:t>
      </w:r>
      <w:r w:rsidRPr="006B3495">
        <w:rPr>
          <w:rFonts w:asciiTheme="majorBidi" w:hAnsiTheme="majorBidi" w:cstheme="majorBidi"/>
          <w:sz w:val="24"/>
          <w:szCs w:val="24"/>
        </w:rPr>
        <w:t xml:space="preserve"> no studies have been conducted to compare TRA and TFA using VCD in patients undergoing PCI. Based on the short preview above, the researcher focused on this area. Therefore, in this study, the </w:t>
      </w:r>
      <w:r w:rsidR="002D267D" w:rsidRPr="006B3495">
        <w:rPr>
          <w:rFonts w:asciiTheme="majorBidi" w:hAnsiTheme="majorBidi" w:cstheme="majorBidi"/>
          <w:sz w:val="24"/>
          <w:szCs w:val="24"/>
        </w:rPr>
        <w:t xml:space="preserve">clinical outcomes and access site </w:t>
      </w:r>
      <w:r w:rsidR="00344F93" w:rsidRPr="006B3495">
        <w:rPr>
          <w:rFonts w:asciiTheme="majorBidi" w:hAnsiTheme="majorBidi" w:cstheme="majorBidi"/>
          <w:sz w:val="24"/>
          <w:szCs w:val="24"/>
        </w:rPr>
        <w:lastRenderedPageBreak/>
        <w:t xml:space="preserve">complications </w:t>
      </w:r>
      <w:r w:rsidR="00897747">
        <w:rPr>
          <w:rFonts w:asciiTheme="majorBidi" w:hAnsiTheme="majorBidi" w:cstheme="majorBidi"/>
          <w:sz w:val="24"/>
          <w:szCs w:val="24"/>
        </w:rPr>
        <w:t>were</w:t>
      </w:r>
      <w:r w:rsidRPr="006B3495">
        <w:rPr>
          <w:rFonts w:asciiTheme="majorBidi" w:hAnsiTheme="majorBidi" w:cstheme="majorBidi"/>
          <w:sz w:val="24"/>
          <w:szCs w:val="24"/>
        </w:rPr>
        <w:t xml:space="preserve"> </w:t>
      </w:r>
      <w:r w:rsidR="002D267D" w:rsidRPr="006B3495">
        <w:rPr>
          <w:rFonts w:asciiTheme="majorBidi" w:hAnsiTheme="majorBidi" w:cstheme="majorBidi"/>
          <w:sz w:val="24"/>
          <w:szCs w:val="24"/>
        </w:rPr>
        <w:t xml:space="preserve">investigated and </w:t>
      </w:r>
      <w:r w:rsidRPr="006B3495">
        <w:rPr>
          <w:rFonts w:asciiTheme="majorBidi" w:hAnsiTheme="majorBidi" w:cstheme="majorBidi"/>
          <w:sz w:val="24"/>
          <w:szCs w:val="24"/>
        </w:rPr>
        <w:t>compared between radial and femoral access using VCD by different variables in order to take advantage of it, to enhance the outcome</w:t>
      </w:r>
      <w:r w:rsidR="007F797F">
        <w:rPr>
          <w:rFonts w:asciiTheme="majorBidi" w:hAnsiTheme="majorBidi" w:cstheme="majorBidi"/>
          <w:sz w:val="24"/>
          <w:szCs w:val="24"/>
        </w:rPr>
        <w:t>s</w:t>
      </w:r>
      <w:r w:rsidRPr="006B3495">
        <w:rPr>
          <w:rFonts w:asciiTheme="majorBidi" w:hAnsiTheme="majorBidi" w:cstheme="majorBidi"/>
          <w:sz w:val="24"/>
          <w:szCs w:val="24"/>
        </w:rPr>
        <w:t xml:space="preserve"> of hospitalization, to identify the most effective access that can reduce the length of hospital stay in the healthcare facilities, and to prevent vascular access site complications after PCI.</w:t>
      </w:r>
    </w:p>
    <w:p w14:paraId="3161C0A8" w14:textId="22CE57BC" w:rsidR="00EC74E8" w:rsidRPr="006B3495" w:rsidRDefault="00016A1C" w:rsidP="00665AD7">
      <w:pPr>
        <w:pStyle w:val="ListParagraph"/>
        <w:numPr>
          <w:ilvl w:val="3"/>
          <w:numId w:val="4"/>
        </w:numPr>
        <w:spacing w:after="240" w:line="480" w:lineRule="auto"/>
        <w:jc w:val="both"/>
        <w:rPr>
          <w:rFonts w:asciiTheme="majorBidi" w:hAnsiTheme="majorBidi" w:cstheme="majorBidi"/>
          <w:b/>
          <w:bCs/>
          <w:sz w:val="24"/>
          <w:szCs w:val="24"/>
        </w:rPr>
      </w:pPr>
      <w:r>
        <w:rPr>
          <w:rFonts w:asciiTheme="majorBidi" w:hAnsiTheme="majorBidi" w:cstheme="majorBidi"/>
          <w:b/>
          <w:bCs/>
          <w:sz w:val="24"/>
          <w:szCs w:val="24"/>
        </w:rPr>
        <w:t>Aim of the study:</w:t>
      </w:r>
    </w:p>
    <w:p w14:paraId="0E28AC80" w14:textId="7874FBDC" w:rsidR="00EC74E8" w:rsidRPr="006B3495" w:rsidRDefault="00EC74E8" w:rsidP="00016A1C">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The </w:t>
      </w:r>
      <w:r w:rsidR="00016A1C">
        <w:rPr>
          <w:rFonts w:asciiTheme="majorBidi" w:hAnsiTheme="majorBidi" w:cstheme="majorBidi"/>
          <w:sz w:val="24"/>
          <w:szCs w:val="24"/>
        </w:rPr>
        <w:t xml:space="preserve">aim </w:t>
      </w:r>
      <w:r w:rsidRPr="006B3495">
        <w:rPr>
          <w:rFonts w:asciiTheme="majorBidi" w:hAnsiTheme="majorBidi" w:cstheme="majorBidi"/>
          <w:sz w:val="24"/>
          <w:szCs w:val="24"/>
        </w:rPr>
        <w:t xml:space="preserve">of this study is to compare TRA with TFA using VCD </w:t>
      </w:r>
      <w:r w:rsidR="00590990" w:rsidRPr="00016A1C">
        <w:rPr>
          <w:rFonts w:asciiTheme="majorBidi" w:hAnsiTheme="majorBidi" w:cstheme="majorBidi"/>
          <w:sz w:val="24"/>
          <w:szCs w:val="24"/>
        </w:rPr>
        <w:t xml:space="preserve">in terms of </w:t>
      </w:r>
      <w:r w:rsidRPr="00016A1C">
        <w:rPr>
          <w:rFonts w:asciiTheme="majorBidi" w:hAnsiTheme="majorBidi" w:cstheme="majorBidi"/>
          <w:sz w:val="24"/>
          <w:szCs w:val="24"/>
        </w:rPr>
        <w:t>ease</w:t>
      </w:r>
      <w:r w:rsidRPr="006B3495">
        <w:rPr>
          <w:rFonts w:asciiTheme="majorBidi" w:hAnsiTheme="majorBidi" w:cstheme="majorBidi"/>
          <w:sz w:val="24"/>
          <w:szCs w:val="24"/>
        </w:rPr>
        <w:t xml:space="preserve"> of operation, procedure time, vascular complications, ambulation time, and hospital length of stay (LOS) among Palestinian patients undergoing PCI. </w:t>
      </w:r>
    </w:p>
    <w:p w14:paraId="496E5835" w14:textId="77777777" w:rsidR="00EC74E8" w:rsidRPr="006B3495" w:rsidRDefault="00EC74E8" w:rsidP="00665AD7">
      <w:pPr>
        <w:pStyle w:val="ListParagraph"/>
        <w:numPr>
          <w:ilvl w:val="3"/>
          <w:numId w:val="4"/>
        </w:numPr>
        <w:spacing w:line="480" w:lineRule="auto"/>
        <w:jc w:val="both"/>
        <w:rPr>
          <w:rFonts w:asciiTheme="majorBidi" w:hAnsiTheme="majorBidi" w:cstheme="majorBidi"/>
          <w:b/>
          <w:bCs/>
          <w:sz w:val="24"/>
          <w:szCs w:val="24"/>
        </w:rPr>
      </w:pPr>
      <w:r w:rsidRPr="006B3495">
        <w:rPr>
          <w:rFonts w:asciiTheme="majorBidi" w:hAnsiTheme="majorBidi" w:cstheme="majorBidi"/>
          <w:b/>
          <w:bCs/>
          <w:sz w:val="24"/>
          <w:szCs w:val="24"/>
        </w:rPr>
        <w:t>Specific objectives</w:t>
      </w:r>
    </w:p>
    <w:p w14:paraId="293ABB74" w14:textId="2ADBA600" w:rsidR="00EC74E8" w:rsidRPr="006B3495" w:rsidRDefault="00EC74E8" w:rsidP="00665AD7">
      <w:pPr>
        <w:pStyle w:val="ListParagraph"/>
        <w:numPr>
          <w:ilvl w:val="0"/>
          <w:numId w:val="3"/>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To determine </w:t>
      </w:r>
      <w:r w:rsidRPr="00B521AF">
        <w:rPr>
          <w:rFonts w:asciiTheme="majorBidi" w:hAnsiTheme="majorBidi" w:cstheme="majorBidi"/>
          <w:sz w:val="24"/>
          <w:szCs w:val="24"/>
        </w:rPr>
        <w:t xml:space="preserve">the </w:t>
      </w:r>
      <w:r w:rsidR="004E26E1" w:rsidRPr="00B521AF">
        <w:rPr>
          <w:rFonts w:asciiTheme="majorBidi" w:hAnsiTheme="majorBidi" w:cstheme="majorBidi"/>
          <w:sz w:val="24"/>
          <w:szCs w:val="24"/>
        </w:rPr>
        <w:t>demographic information and clinical characteristics</w:t>
      </w:r>
      <w:r w:rsidR="004E26E1" w:rsidRPr="006B3495">
        <w:rPr>
          <w:rFonts w:asciiTheme="majorBidi" w:hAnsiTheme="majorBidi" w:cstheme="majorBidi"/>
          <w:sz w:val="24"/>
          <w:szCs w:val="24"/>
        </w:rPr>
        <w:t xml:space="preserve"> (age,</w:t>
      </w:r>
      <w:r w:rsidRPr="006B3495">
        <w:rPr>
          <w:rFonts w:asciiTheme="majorBidi" w:hAnsiTheme="majorBidi" w:cstheme="majorBidi"/>
          <w:sz w:val="24"/>
          <w:szCs w:val="24"/>
        </w:rPr>
        <w:t xml:space="preserve"> </w:t>
      </w:r>
      <w:r w:rsidR="004E26E1" w:rsidRPr="006B3495">
        <w:rPr>
          <w:rFonts w:asciiTheme="majorBidi" w:hAnsiTheme="majorBidi" w:cstheme="majorBidi"/>
          <w:sz w:val="24"/>
          <w:szCs w:val="24"/>
        </w:rPr>
        <w:t>gender,</w:t>
      </w:r>
      <w:r w:rsidRPr="006B3495">
        <w:rPr>
          <w:rFonts w:asciiTheme="majorBidi" w:hAnsiTheme="majorBidi" w:cstheme="majorBidi"/>
          <w:sz w:val="24"/>
          <w:szCs w:val="24"/>
        </w:rPr>
        <w:t xml:space="preserve"> diagnosis of the patient, and the type of procedure TRA or TFA using VCD) </w:t>
      </w:r>
      <w:r w:rsidR="004E26E1" w:rsidRPr="006B3495">
        <w:rPr>
          <w:rFonts w:asciiTheme="majorBidi" w:hAnsiTheme="majorBidi" w:cstheme="majorBidi"/>
          <w:sz w:val="24"/>
          <w:szCs w:val="24"/>
        </w:rPr>
        <w:t>for</w:t>
      </w:r>
      <w:r w:rsidRPr="006B3495">
        <w:rPr>
          <w:rFonts w:asciiTheme="majorBidi" w:hAnsiTheme="majorBidi" w:cstheme="majorBidi"/>
          <w:sz w:val="24"/>
          <w:szCs w:val="24"/>
        </w:rPr>
        <w:t xml:space="preserve"> patients undergoing PCI.</w:t>
      </w:r>
      <w:r w:rsidR="004E26E1" w:rsidRPr="006B3495">
        <w:rPr>
          <w:rFonts w:asciiTheme="majorBidi" w:hAnsiTheme="majorBidi" w:cstheme="majorBidi"/>
          <w:sz w:val="24"/>
          <w:szCs w:val="24"/>
        </w:rPr>
        <w:t xml:space="preserve"> </w:t>
      </w:r>
    </w:p>
    <w:p w14:paraId="4D360E95" w14:textId="3430E0D5" w:rsidR="00EC74E8" w:rsidRPr="00394A97" w:rsidRDefault="00EC74E8" w:rsidP="00665AD7">
      <w:pPr>
        <w:pStyle w:val="ListParagraph"/>
        <w:numPr>
          <w:ilvl w:val="0"/>
          <w:numId w:val="3"/>
        </w:numPr>
        <w:spacing w:after="240" w:line="480" w:lineRule="auto"/>
        <w:jc w:val="both"/>
        <w:rPr>
          <w:rFonts w:asciiTheme="majorBidi" w:hAnsiTheme="majorBidi" w:cstheme="majorBidi"/>
          <w:sz w:val="24"/>
          <w:szCs w:val="24"/>
        </w:rPr>
      </w:pPr>
      <w:r w:rsidRPr="00394A97">
        <w:rPr>
          <w:rFonts w:asciiTheme="majorBidi" w:hAnsiTheme="majorBidi" w:cstheme="majorBidi"/>
          <w:sz w:val="24"/>
          <w:szCs w:val="24"/>
        </w:rPr>
        <w:t xml:space="preserve">To </w:t>
      </w:r>
      <w:r w:rsidR="000D76DF" w:rsidRPr="00394A97">
        <w:rPr>
          <w:rFonts w:asciiTheme="majorBidi" w:hAnsiTheme="majorBidi" w:cstheme="majorBidi"/>
          <w:sz w:val="24"/>
          <w:szCs w:val="24"/>
        </w:rPr>
        <w:t>compare the incidence of vascular complications</w:t>
      </w:r>
      <w:r w:rsidRPr="00394A97">
        <w:rPr>
          <w:rFonts w:asciiTheme="majorBidi" w:hAnsiTheme="majorBidi" w:cstheme="majorBidi"/>
          <w:sz w:val="24"/>
          <w:szCs w:val="24"/>
        </w:rPr>
        <w:t xml:space="preserve"> between TRA versus TFA using VCD</w:t>
      </w:r>
      <w:r w:rsidR="000D76DF" w:rsidRPr="00394A97">
        <w:rPr>
          <w:rFonts w:asciiTheme="majorBidi" w:hAnsiTheme="majorBidi" w:cstheme="majorBidi"/>
          <w:sz w:val="24"/>
          <w:szCs w:val="24"/>
        </w:rPr>
        <w:t>,</w:t>
      </w:r>
      <w:r w:rsidRPr="00394A97">
        <w:rPr>
          <w:rFonts w:asciiTheme="majorBidi" w:hAnsiTheme="majorBidi" w:cstheme="majorBidi"/>
          <w:sz w:val="24"/>
          <w:szCs w:val="24"/>
        </w:rPr>
        <w:t xml:space="preserve"> </w:t>
      </w:r>
      <w:r w:rsidR="000D76DF" w:rsidRPr="00394A97">
        <w:rPr>
          <w:rFonts w:asciiTheme="majorBidi" w:hAnsiTheme="majorBidi" w:cstheme="majorBidi"/>
          <w:sz w:val="24"/>
          <w:szCs w:val="24"/>
        </w:rPr>
        <w:t>including</w:t>
      </w:r>
      <w:r w:rsidRPr="00394A97">
        <w:rPr>
          <w:rFonts w:asciiTheme="majorBidi" w:hAnsiTheme="majorBidi" w:cstheme="majorBidi"/>
          <w:sz w:val="24"/>
          <w:szCs w:val="24"/>
        </w:rPr>
        <w:t xml:space="preserve"> compartment syndrome, hematoma, </w:t>
      </w:r>
      <w:r w:rsidR="000D76DF" w:rsidRPr="00394A97">
        <w:rPr>
          <w:rFonts w:asciiTheme="majorBidi" w:hAnsiTheme="majorBidi" w:cstheme="majorBidi"/>
          <w:sz w:val="24"/>
          <w:szCs w:val="24"/>
        </w:rPr>
        <w:t>pseudoaneurysm,</w:t>
      </w:r>
      <w:r w:rsidRPr="00394A97">
        <w:rPr>
          <w:rFonts w:asciiTheme="majorBidi" w:hAnsiTheme="majorBidi" w:cstheme="majorBidi"/>
          <w:sz w:val="24"/>
          <w:szCs w:val="24"/>
        </w:rPr>
        <w:t xml:space="preserve"> arterio-venous fistula, infection, </w:t>
      </w:r>
      <w:r w:rsidR="007F19D0" w:rsidRPr="00394A97">
        <w:rPr>
          <w:rFonts w:asciiTheme="majorBidi" w:hAnsiTheme="majorBidi" w:cstheme="majorBidi"/>
          <w:sz w:val="24"/>
          <w:szCs w:val="24"/>
        </w:rPr>
        <w:t>leg ischemia, upper limb ischemia</w:t>
      </w:r>
      <w:r w:rsidRPr="00394A97">
        <w:rPr>
          <w:rFonts w:asciiTheme="majorBidi" w:hAnsiTheme="majorBidi" w:cstheme="majorBidi"/>
          <w:sz w:val="24"/>
          <w:szCs w:val="24"/>
        </w:rPr>
        <w:t xml:space="preserve">, arterial occlusion </w:t>
      </w:r>
      <w:r w:rsidR="000D76DF" w:rsidRPr="00394A97">
        <w:rPr>
          <w:rFonts w:asciiTheme="majorBidi" w:hAnsiTheme="majorBidi" w:cstheme="majorBidi"/>
          <w:sz w:val="24"/>
          <w:szCs w:val="24"/>
        </w:rPr>
        <w:t>(</w:t>
      </w:r>
      <w:r w:rsidRPr="00394A97">
        <w:rPr>
          <w:rFonts w:asciiTheme="majorBidi" w:hAnsiTheme="majorBidi" w:cstheme="majorBidi"/>
          <w:sz w:val="24"/>
          <w:szCs w:val="24"/>
        </w:rPr>
        <w:t>including asymptomatic occlusion</w:t>
      </w:r>
      <w:r w:rsidR="000D76DF" w:rsidRPr="00394A97">
        <w:rPr>
          <w:rFonts w:asciiTheme="majorBidi" w:hAnsiTheme="majorBidi" w:cstheme="majorBidi"/>
          <w:sz w:val="24"/>
          <w:szCs w:val="24"/>
        </w:rPr>
        <w:t>)</w:t>
      </w:r>
      <w:r w:rsidRPr="00394A97">
        <w:rPr>
          <w:rFonts w:asciiTheme="majorBidi" w:hAnsiTheme="majorBidi" w:cstheme="majorBidi"/>
          <w:sz w:val="24"/>
          <w:szCs w:val="24"/>
        </w:rPr>
        <w:t xml:space="preserve">, adjacent nerve injury </w:t>
      </w:r>
      <w:r w:rsidR="000D76DF" w:rsidRPr="00394A97">
        <w:rPr>
          <w:rFonts w:asciiTheme="majorBidi" w:hAnsiTheme="majorBidi" w:cstheme="majorBidi"/>
          <w:sz w:val="24"/>
          <w:szCs w:val="24"/>
        </w:rPr>
        <w:t>and</w:t>
      </w:r>
      <w:r w:rsidRPr="00394A97">
        <w:rPr>
          <w:rFonts w:asciiTheme="majorBidi" w:hAnsiTheme="majorBidi" w:cstheme="majorBidi"/>
          <w:sz w:val="24"/>
          <w:szCs w:val="24"/>
        </w:rPr>
        <w:t xml:space="preserve"> the need for vascular surgical repair.</w:t>
      </w:r>
    </w:p>
    <w:p w14:paraId="2DDA41DF" w14:textId="1DEC6470" w:rsidR="00EC74E8" w:rsidRPr="00394A97" w:rsidRDefault="000D76DF" w:rsidP="00235FA1">
      <w:pPr>
        <w:pStyle w:val="ListParagraph"/>
        <w:numPr>
          <w:ilvl w:val="0"/>
          <w:numId w:val="3"/>
        </w:numPr>
        <w:spacing w:after="240" w:line="480" w:lineRule="auto"/>
        <w:jc w:val="both"/>
        <w:rPr>
          <w:rFonts w:asciiTheme="majorBidi" w:hAnsiTheme="majorBidi" w:cstheme="majorBidi"/>
          <w:sz w:val="24"/>
          <w:szCs w:val="24"/>
        </w:rPr>
      </w:pPr>
      <w:r w:rsidRPr="00394A97">
        <w:rPr>
          <w:rFonts w:asciiTheme="majorBidi" w:hAnsiTheme="majorBidi" w:cstheme="majorBidi"/>
          <w:sz w:val="24"/>
          <w:szCs w:val="24"/>
        </w:rPr>
        <w:t xml:space="preserve"> </w:t>
      </w:r>
      <w:r w:rsidR="00341518" w:rsidRPr="00394A97">
        <w:rPr>
          <w:rFonts w:asciiTheme="majorBidi" w:hAnsiTheme="majorBidi" w:cstheme="majorBidi"/>
          <w:sz w:val="24"/>
          <w:szCs w:val="24"/>
        </w:rPr>
        <w:t>T</w:t>
      </w:r>
      <w:r w:rsidR="00EC74E8" w:rsidRPr="00394A97">
        <w:rPr>
          <w:rFonts w:asciiTheme="majorBidi" w:hAnsiTheme="majorBidi" w:cstheme="majorBidi"/>
          <w:sz w:val="24"/>
          <w:szCs w:val="24"/>
        </w:rPr>
        <w:t xml:space="preserve">o determine </w:t>
      </w:r>
      <w:r w:rsidR="00341518" w:rsidRPr="00394A97">
        <w:rPr>
          <w:rFonts w:asciiTheme="majorBidi" w:hAnsiTheme="majorBidi" w:cstheme="majorBidi"/>
          <w:sz w:val="24"/>
          <w:szCs w:val="24"/>
        </w:rPr>
        <w:t xml:space="preserve">whether </w:t>
      </w:r>
      <w:r w:rsidR="00EC74E8" w:rsidRPr="00394A97">
        <w:rPr>
          <w:rFonts w:asciiTheme="majorBidi" w:hAnsiTheme="majorBidi" w:cstheme="majorBidi"/>
          <w:sz w:val="24"/>
          <w:szCs w:val="24"/>
        </w:rPr>
        <w:t xml:space="preserve">TRA is associated with fewer vascular complications and shorter LOS </w:t>
      </w:r>
      <w:r w:rsidR="00341518" w:rsidRPr="00394A97">
        <w:rPr>
          <w:rFonts w:asciiTheme="majorBidi" w:hAnsiTheme="majorBidi" w:cstheme="majorBidi"/>
          <w:sz w:val="24"/>
          <w:szCs w:val="24"/>
        </w:rPr>
        <w:t xml:space="preserve">compared to </w:t>
      </w:r>
      <w:r w:rsidR="00EC74E8" w:rsidRPr="00394A97">
        <w:rPr>
          <w:rFonts w:asciiTheme="majorBidi" w:hAnsiTheme="majorBidi" w:cstheme="majorBidi"/>
          <w:sz w:val="24"/>
          <w:szCs w:val="24"/>
        </w:rPr>
        <w:t>TFA</w:t>
      </w:r>
      <w:r w:rsidR="00341518" w:rsidRPr="00394A97">
        <w:rPr>
          <w:rFonts w:asciiTheme="majorBidi" w:hAnsiTheme="majorBidi" w:cstheme="majorBidi"/>
          <w:sz w:val="24"/>
          <w:szCs w:val="24"/>
        </w:rPr>
        <w:t xml:space="preserve"> with VCD</w:t>
      </w:r>
      <w:r w:rsidR="00EC74E8" w:rsidRPr="00394A97">
        <w:rPr>
          <w:rFonts w:asciiTheme="majorBidi" w:hAnsiTheme="majorBidi" w:cstheme="majorBidi"/>
          <w:sz w:val="24"/>
          <w:szCs w:val="24"/>
        </w:rPr>
        <w:t>.</w:t>
      </w:r>
    </w:p>
    <w:p w14:paraId="291DD663" w14:textId="30438EED" w:rsidR="00EC74E8" w:rsidRPr="006B3495" w:rsidRDefault="00EC74E8" w:rsidP="00A11B6B">
      <w:pPr>
        <w:pStyle w:val="a"/>
      </w:pPr>
      <w:bookmarkStart w:id="30" w:name="_Toc212871506"/>
      <w:r w:rsidRPr="006B3495">
        <w:lastRenderedPageBreak/>
        <w:t>Research questions</w:t>
      </w:r>
      <w:bookmarkEnd w:id="30"/>
    </w:p>
    <w:p w14:paraId="78B66DA7" w14:textId="25733053" w:rsidR="00EC74E8" w:rsidRPr="00A003BA" w:rsidRDefault="00EC74E8" w:rsidP="00665AD7">
      <w:pPr>
        <w:pStyle w:val="ListParagraph"/>
        <w:numPr>
          <w:ilvl w:val="0"/>
          <w:numId w:val="3"/>
        </w:numPr>
        <w:spacing w:after="240" w:line="480" w:lineRule="auto"/>
        <w:jc w:val="both"/>
        <w:rPr>
          <w:rFonts w:asciiTheme="majorBidi" w:hAnsiTheme="majorBidi" w:cstheme="majorBidi"/>
          <w:sz w:val="24"/>
          <w:szCs w:val="24"/>
        </w:rPr>
      </w:pPr>
      <w:r w:rsidRPr="00A003BA">
        <w:rPr>
          <w:rFonts w:asciiTheme="majorBidi" w:hAnsiTheme="majorBidi" w:cstheme="majorBidi"/>
          <w:sz w:val="24"/>
          <w:szCs w:val="24"/>
        </w:rPr>
        <w:t xml:space="preserve">What </w:t>
      </w:r>
      <w:r w:rsidR="002C743D" w:rsidRPr="00A003BA">
        <w:rPr>
          <w:rFonts w:asciiTheme="majorBidi" w:hAnsiTheme="majorBidi" w:cstheme="majorBidi"/>
          <w:sz w:val="24"/>
          <w:szCs w:val="24"/>
        </w:rPr>
        <w:t>are</w:t>
      </w:r>
      <w:r w:rsidRPr="00A003BA">
        <w:rPr>
          <w:rFonts w:asciiTheme="majorBidi" w:hAnsiTheme="majorBidi" w:cstheme="majorBidi"/>
          <w:sz w:val="24"/>
          <w:szCs w:val="24"/>
        </w:rPr>
        <w:t xml:space="preserve"> the </w:t>
      </w:r>
      <w:r w:rsidR="002C743D" w:rsidRPr="00A003BA">
        <w:rPr>
          <w:rFonts w:asciiTheme="majorBidi" w:hAnsiTheme="majorBidi" w:cstheme="majorBidi"/>
          <w:sz w:val="24"/>
          <w:szCs w:val="24"/>
        </w:rPr>
        <w:t xml:space="preserve">demographic information and clinical characteristics </w:t>
      </w:r>
      <w:r w:rsidRPr="00A003BA">
        <w:rPr>
          <w:rFonts w:asciiTheme="majorBidi" w:hAnsiTheme="majorBidi" w:cstheme="majorBidi"/>
          <w:sz w:val="24"/>
          <w:szCs w:val="24"/>
        </w:rPr>
        <w:t>(</w:t>
      </w:r>
      <w:r w:rsidR="002C743D" w:rsidRPr="00A003BA">
        <w:rPr>
          <w:rFonts w:asciiTheme="majorBidi" w:hAnsiTheme="majorBidi" w:cstheme="majorBidi"/>
          <w:sz w:val="24"/>
          <w:szCs w:val="24"/>
        </w:rPr>
        <w:t>age, gender, diagnosis of the patient, and the type of procedure TRA or TFA using VCD</w:t>
      </w:r>
      <w:r w:rsidRPr="00A003BA">
        <w:rPr>
          <w:rFonts w:asciiTheme="majorBidi" w:hAnsiTheme="majorBidi" w:cstheme="majorBidi"/>
          <w:sz w:val="24"/>
          <w:szCs w:val="24"/>
        </w:rPr>
        <w:t>)</w:t>
      </w:r>
      <w:r w:rsidR="002C743D" w:rsidRPr="00A003BA">
        <w:rPr>
          <w:rFonts w:asciiTheme="majorBidi" w:hAnsiTheme="majorBidi" w:cstheme="majorBidi"/>
          <w:sz w:val="24"/>
          <w:szCs w:val="24"/>
        </w:rPr>
        <w:t xml:space="preserve"> for patients undergoing PCI</w:t>
      </w:r>
      <w:r w:rsidRPr="00A003BA">
        <w:rPr>
          <w:rFonts w:asciiTheme="majorBidi" w:hAnsiTheme="majorBidi" w:cstheme="majorBidi"/>
          <w:sz w:val="24"/>
          <w:szCs w:val="24"/>
        </w:rPr>
        <w:t>?</w:t>
      </w:r>
    </w:p>
    <w:p w14:paraId="330E0179" w14:textId="2ED71089" w:rsidR="00284DE3" w:rsidRPr="00A003BA" w:rsidRDefault="00284DE3" w:rsidP="00284DE3">
      <w:pPr>
        <w:pStyle w:val="ListParagraph"/>
        <w:numPr>
          <w:ilvl w:val="0"/>
          <w:numId w:val="3"/>
        </w:numPr>
        <w:spacing w:after="240" w:line="480" w:lineRule="auto"/>
        <w:jc w:val="both"/>
        <w:rPr>
          <w:rFonts w:asciiTheme="majorBidi" w:hAnsiTheme="majorBidi" w:cstheme="majorBidi"/>
          <w:sz w:val="24"/>
          <w:szCs w:val="24"/>
        </w:rPr>
      </w:pPr>
      <w:r w:rsidRPr="00A003BA">
        <w:rPr>
          <w:rFonts w:asciiTheme="majorBidi" w:hAnsiTheme="majorBidi" w:cstheme="majorBidi"/>
          <w:sz w:val="24"/>
          <w:szCs w:val="24"/>
        </w:rPr>
        <w:t xml:space="preserve">What </w:t>
      </w:r>
      <w:r w:rsidR="00D47D20" w:rsidRPr="00A003BA">
        <w:rPr>
          <w:rFonts w:asciiTheme="majorBidi" w:hAnsiTheme="majorBidi" w:cstheme="majorBidi"/>
          <w:sz w:val="24"/>
          <w:szCs w:val="24"/>
        </w:rPr>
        <w:t>are</w:t>
      </w:r>
      <w:r w:rsidRPr="00A003BA">
        <w:rPr>
          <w:rFonts w:asciiTheme="majorBidi" w:hAnsiTheme="majorBidi" w:cstheme="majorBidi"/>
          <w:sz w:val="24"/>
          <w:szCs w:val="24"/>
        </w:rPr>
        <w:t xml:space="preserve"> the difference</w:t>
      </w:r>
      <w:r w:rsidR="00D47D20" w:rsidRPr="00A003BA">
        <w:rPr>
          <w:rFonts w:asciiTheme="majorBidi" w:hAnsiTheme="majorBidi" w:cstheme="majorBidi"/>
          <w:sz w:val="24"/>
          <w:szCs w:val="24"/>
        </w:rPr>
        <w:t>s</w:t>
      </w:r>
      <w:r w:rsidRPr="00A003BA">
        <w:rPr>
          <w:rFonts w:asciiTheme="majorBidi" w:hAnsiTheme="majorBidi" w:cstheme="majorBidi"/>
          <w:sz w:val="24"/>
          <w:szCs w:val="24"/>
        </w:rPr>
        <w:t xml:space="preserve"> between TRA versus TFA using VCD related to the incidence of vascular complications including compartment syndrome, hematoma, pseudoaneurysm, arterio-venous fistula, infection, </w:t>
      </w:r>
      <w:r w:rsidR="007F19D0" w:rsidRPr="007F19D0">
        <w:rPr>
          <w:rFonts w:asciiTheme="majorBidi" w:hAnsiTheme="majorBidi" w:cstheme="majorBidi"/>
          <w:sz w:val="24"/>
          <w:szCs w:val="24"/>
        </w:rPr>
        <w:t>leg ischemia, upper limb ischemia</w:t>
      </w:r>
      <w:r w:rsidRPr="00A003BA">
        <w:rPr>
          <w:rFonts w:asciiTheme="majorBidi" w:hAnsiTheme="majorBidi" w:cstheme="majorBidi"/>
          <w:sz w:val="24"/>
          <w:szCs w:val="24"/>
        </w:rPr>
        <w:t>, arterial occlusion (including asymptomatic occlusion), adjacent nerve injury and the need for vascular surgical repair?</w:t>
      </w:r>
    </w:p>
    <w:p w14:paraId="1CCC1FBF" w14:textId="099A65F2" w:rsidR="00284DE3" w:rsidRPr="00A003BA" w:rsidRDefault="00EC74E8" w:rsidP="00284DE3">
      <w:pPr>
        <w:pStyle w:val="ListParagraph"/>
        <w:numPr>
          <w:ilvl w:val="0"/>
          <w:numId w:val="3"/>
        </w:numPr>
        <w:spacing w:after="240" w:line="480" w:lineRule="auto"/>
        <w:jc w:val="both"/>
        <w:rPr>
          <w:rFonts w:asciiTheme="majorBidi" w:hAnsiTheme="majorBidi" w:cstheme="majorBidi"/>
          <w:sz w:val="24"/>
          <w:szCs w:val="24"/>
        </w:rPr>
      </w:pPr>
      <w:r w:rsidRPr="00A003BA">
        <w:rPr>
          <w:rFonts w:asciiTheme="majorBidi" w:hAnsiTheme="majorBidi" w:cstheme="majorBidi"/>
          <w:sz w:val="24"/>
          <w:szCs w:val="24"/>
        </w:rPr>
        <w:t xml:space="preserve">Does TRA </w:t>
      </w:r>
      <w:r w:rsidR="00284DE3" w:rsidRPr="00A003BA">
        <w:rPr>
          <w:rFonts w:asciiTheme="majorBidi" w:hAnsiTheme="majorBidi" w:cstheme="majorBidi"/>
          <w:sz w:val="24"/>
          <w:szCs w:val="24"/>
        </w:rPr>
        <w:t xml:space="preserve">associated with fewer vascular complications and shorter LOS </w:t>
      </w:r>
      <w:r w:rsidRPr="00A003BA">
        <w:rPr>
          <w:rFonts w:asciiTheme="majorBidi" w:hAnsiTheme="majorBidi" w:cstheme="majorBidi"/>
          <w:sz w:val="24"/>
          <w:szCs w:val="24"/>
        </w:rPr>
        <w:t>when compared to TFA using VCD?</w:t>
      </w:r>
    </w:p>
    <w:p w14:paraId="59B7B038" w14:textId="77777777" w:rsidR="00EC74E8" w:rsidRPr="006B3495" w:rsidRDefault="00EC74E8" w:rsidP="00A11B6B">
      <w:pPr>
        <w:pStyle w:val="a"/>
      </w:pPr>
      <w:bookmarkStart w:id="31" w:name="_Toc212871507"/>
      <w:r w:rsidRPr="006B3495">
        <w:t>Research Hypothesis</w:t>
      </w:r>
      <w:bookmarkEnd w:id="31"/>
    </w:p>
    <w:p w14:paraId="76F02723" w14:textId="422A0C55" w:rsidR="00EC74E8" w:rsidRPr="00545126"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H1: The TRA reduces </w:t>
      </w:r>
      <w:r w:rsidR="000D07CA" w:rsidRPr="006B3495">
        <w:rPr>
          <w:rFonts w:asciiTheme="majorBidi" w:hAnsiTheme="majorBidi" w:cstheme="majorBidi"/>
          <w:sz w:val="24"/>
          <w:szCs w:val="24"/>
        </w:rPr>
        <w:t>th</w:t>
      </w:r>
      <w:r w:rsidR="000D07CA" w:rsidRPr="00545126">
        <w:rPr>
          <w:rFonts w:asciiTheme="majorBidi" w:hAnsiTheme="majorBidi" w:cstheme="majorBidi"/>
          <w:sz w:val="24"/>
          <w:szCs w:val="24"/>
        </w:rPr>
        <w:t xml:space="preserve">e incidence of </w:t>
      </w:r>
      <w:r w:rsidRPr="00545126">
        <w:rPr>
          <w:rFonts w:asciiTheme="majorBidi" w:hAnsiTheme="majorBidi" w:cstheme="majorBidi"/>
          <w:sz w:val="24"/>
          <w:szCs w:val="24"/>
        </w:rPr>
        <w:t>periprocedural bleeding</w:t>
      </w:r>
      <w:r w:rsidR="000D07CA" w:rsidRPr="00545126">
        <w:rPr>
          <w:rFonts w:asciiTheme="majorBidi" w:hAnsiTheme="majorBidi" w:cstheme="majorBidi"/>
          <w:sz w:val="24"/>
          <w:szCs w:val="24"/>
        </w:rPr>
        <w:t xml:space="preserve"> events</w:t>
      </w:r>
      <w:r w:rsidRPr="00545126">
        <w:rPr>
          <w:rFonts w:asciiTheme="majorBidi" w:hAnsiTheme="majorBidi" w:cstheme="majorBidi"/>
          <w:sz w:val="24"/>
          <w:szCs w:val="24"/>
        </w:rPr>
        <w:t xml:space="preserve"> in patients undergoing PCI compared to TFA using VCD.</w:t>
      </w:r>
    </w:p>
    <w:p w14:paraId="761A5EE6" w14:textId="77777777" w:rsidR="00EC74E8" w:rsidRPr="00545126" w:rsidRDefault="00EC74E8" w:rsidP="00665AD7">
      <w:pPr>
        <w:spacing w:after="240" w:line="480" w:lineRule="auto"/>
        <w:jc w:val="both"/>
        <w:rPr>
          <w:rFonts w:asciiTheme="majorBidi" w:hAnsiTheme="majorBidi" w:cstheme="majorBidi"/>
          <w:sz w:val="24"/>
          <w:szCs w:val="24"/>
        </w:rPr>
      </w:pPr>
      <w:r w:rsidRPr="00545126">
        <w:rPr>
          <w:rFonts w:asciiTheme="majorBidi" w:hAnsiTheme="majorBidi" w:cstheme="majorBidi"/>
          <w:sz w:val="24"/>
          <w:szCs w:val="24"/>
        </w:rPr>
        <w:t>H2: The TRA has a lower risk of vascular complications in patients undergoing PCI compared to TFA using VCD.</w:t>
      </w:r>
    </w:p>
    <w:p w14:paraId="6CB7A10D" w14:textId="320FDC38" w:rsidR="00EC74E8" w:rsidRPr="00545126" w:rsidRDefault="00EC74E8" w:rsidP="00665AD7">
      <w:pPr>
        <w:spacing w:after="240" w:line="480" w:lineRule="auto"/>
        <w:jc w:val="both"/>
        <w:rPr>
          <w:rFonts w:asciiTheme="majorBidi" w:hAnsiTheme="majorBidi" w:cstheme="majorBidi"/>
          <w:sz w:val="24"/>
          <w:szCs w:val="24"/>
        </w:rPr>
      </w:pPr>
      <w:r w:rsidRPr="00545126">
        <w:rPr>
          <w:rFonts w:asciiTheme="majorBidi" w:hAnsiTheme="majorBidi" w:cstheme="majorBidi"/>
          <w:sz w:val="24"/>
          <w:szCs w:val="24"/>
        </w:rPr>
        <w:t>H3: The TRA has shorter LOS than TFA using VCD in patients undergoing PCI.</w:t>
      </w:r>
    </w:p>
    <w:p w14:paraId="3352B754" w14:textId="4F9C3259" w:rsidR="00EC74E8" w:rsidRPr="00545126" w:rsidRDefault="00EC74E8" w:rsidP="00DB11A3">
      <w:pPr>
        <w:spacing w:after="240" w:line="480" w:lineRule="auto"/>
        <w:jc w:val="both"/>
        <w:rPr>
          <w:rFonts w:asciiTheme="majorBidi" w:hAnsiTheme="majorBidi" w:cstheme="majorBidi"/>
          <w:sz w:val="24"/>
          <w:szCs w:val="24"/>
        </w:rPr>
      </w:pPr>
      <w:r w:rsidRPr="00545126">
        <w:rPr>
          <w:rFonts w:asciiTheme="majorBidi" w:hAnsiTheme="majorBidi" w:cstheme="majorBidi"/>
          <w:sz w:val="24"/>
          <w:szCs w:val="24"/>
        </w:rPr>
        <w:t>H</w:t>
      </w:r>
      <w:r w:rsidR="00DB11A3" w:rsidRPr="00545126">
        <w:rPr>
          <w:rFonts w:asciiTheme="majorBidi" w:hAnsiTheme="majorBidi" w:cstheme="majorBidi"/>
          <w:sz w:val="24"/>
          <w:szCs w:val="24"/>
        </w:rPr>
        <w:t>4</w:t>
      </w:r>
      <w:r w:rsidRPr="00545126">
        <w:rPr>
          <w:rFonts w:asciiTheme="majorBidi" w:hAnsiTheme="majorBidi" w:cstheme="majorBidi"/>
          <w:sz w:val="24"/>
          <w:szCs w:val="24"/>
        </w:rPr>
        <w:t>: The TRA has a faster hemostasis time than TFA using VCD in patients undergoing PCI.</w:t>
      </w:r>
    </w:p>
    <w:p w14:paraId="7F705A2A" w14:textId="4D81F14D" w:rsidR="00074CC9" w:rsidRPr="006B3495" w:rsidRDefault="00074CC9" w:rsidP="00074CC9">
      <w:pPr>
        <w:spacing w:after="240" w:line="480" w:lineRule="auto"/>
        <w:jc w:val="both"/>
        <w:rPr>
          <w:rFonts w:asciiTheme="majorBidi" w:hAnsiTheme="majorBidi" w:cstheme="majorBidi"/>
          <w:sz w:val="24"/>
          <w:szCs w:val="24"/>
          <w:rtl/>
        </w:rPr>
      </w:pPr>
      <w:r w:rsidRPr="00545126">
        <w:rPr>
          <w:rFonts w:asciiTheme="majorBidi" w:hAnsiTheme="majorBidi" w:cstheme="majorBidi"/>
          <w:sz w:val="24"/>
          <w:szCs w:val="24"/>
        </w:rPr>
        <w:t>H5: The TRA has a faster ambulation time than TFA using VCD in patients undergoing PCI.</w:t>
      </w:r>
    </w:p>
    <w:p w14:paraId="074FF313" w14:textId="77777777" w:rsidR="00EC74E8" w:rsidRPr="006B3495" w:rsidRDefault="00EC74E8" w:rsidP="00A11B6B">
      <w:pPr>
        <w:pStyle w:val="a"/>
      </w:pPr>
      <w:bookmarkStart w:id="32" w:name="_Toc212871508"/>
      <w:r w:rsidRPr="006B3495">
        <w:lastRenderedPageBreak/>
        <w:t>Literature Review</w:t>
      </w:r>
      <w:bookmarkEnd w:id="32"/>
    </w:p>
    <w:p w14:paraId="212CE669" w14:textId="46C6F419"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The researcher reviewed the literature </w:t>
      </w:r>
      <w:r w:rsidR="00B05916">
        <w:rPr>
          <w:rFonts w:asciiTheme="majorBidi" w:hAnsiTheme="majorBidi" w:cstheme="majorBidi"/>
          <w:sz w:val="24"/>
          <w:szCs w:val="24"/>
        </w:rPr>
        <w:t>related to</w:t>
      </w:r>
      <w:r w:rsidRPr="006B3495">
        <w:rPr>
          <w:rFonts w:asciiTheme="majorBidi" w:hAnsiTheme="majorBidi" w:cstheme="majorBidi"/>
          <w:sz w:val="24"/>
          <w:szCs w:val="24"/>
        </w:rPr>
        <w:t xml:space="preserve"> </w:t>
      </w:r>
      <w:r w:rsidR="00B05916" w:rsidRPr="006B3495">
        <w:rPr>
          <w:rFonts w:asciiTheme="majorBidi" w:hAnsiTheme="majorBidi" w:cstheme="majorBidi"/>
          <w:sz w:val="24"/>
          <w:szCs w:val="24"/>
        </w:rPr>
        <w:t xml:space="preserve">topic </w:t>
      </w:r>
      <w:r w:rsidR="00B05916">
        <w:rPr>
          <w:rFonts w:asciiTheme="majorBidi" w:hAnsiTheme="majorBidi" w:cstheme="majorBidi"/>
          <w:sz w:val="24"/>
          <w:szCs w:val="24"/>
        </w:rPr>
        <w:t xml:space="preserve">of </w:t>
      </w:r>
      <w:r w:rsidRPr="006B3495">
        <w:rPr>
          <w:rFonts w:asciiTheme="majorBidi" w:hAnsiTheme="majorBidi" w:cstheme="majorBidi"/>
          <w:sz w:val="24"/>
          <w:szCs w:val="24"/>
        </w:rPr>
        <w:t>this study from various sources. Relevant publications were identified through searches of the PubMed, MEDLINE, Web of Science, and Google Scholar databases using the following terms: radial approach, femoral approach, vascular closure device, vascular complications, and bleeding.</w:t>
      </w:r>
    </w:p>
    <w:p w14:paraId="5290210F" w14:textId="77777777"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The head titles of the published articles resulting from the searches were initially assessed for appropriateness and to ensure that they compare the radial approach with the femoral approach using a vascular closure device in patients who have done PCI. After that, the abstracts were studied, and the other study parts were reviewed if suitable.</w:t>
      </w:r>
    </w:p>
    <w:p w14:paraId="7E513142" w14:textId="77777777"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Clinically relevant outcome studies were prioritised in the selection process. Additionally, meta-analyses, systematic reviews, and randomised controlled trials were chosen. Alternative studies were considered for inclusion in the absence of the preferred studies.</w:t>
      </w:r>
    </w:p>
    <w:p w14:paraId="0BDBB800" w14:textId="23EC1978"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Many studies have focused on using the radial approach (RA) compared with the femoral approach using a closure device (FA</w:t>
      </w:r>
      <w:r w:rsidR="00F874FD" w:rsidRPr="006B3495">
        <w:rPr>
          <w:rFonts w:asciiTheme="majorBidi" w:hAnsiTheme="majorBidi" w:cstheme="majorBidi"/>
          <w:sz w:val="24"/>
          <w:szCs w:val="24"/>
        </w:rPr>
        <w:t xml:space="preserve"> using </w:t>
      </w:r>
      <w:r w:rsidRPr="006B3495">
        <w:rPr>
          <w:rFonts w:asciiTheme="majorBidi" w:hAnsiTheme="majorBidi" w:cstheme="majorBidi"/>
          <w:sz w:val="24"/>
          <w:szCs w:val="24"/>
        </w:rPr>
        <w:t>VCD) in patients with PCI.</w:t>
      </w:r>
    </w:p>
    <w:p w14:paraId="1026D065" w14:textId="7C4E0A04" w:rsidR="00EC729F" w:rsidRPr="006424C6" w:rsidRDefault="00412EEC" w:rsidP="00EC729F">
      <w:pPr>
        <w:spacing w:after="240" w:line="480" w:lineRule="auto"/>
        <w:jc w:val="both"/>
        <w:rPr>
          <w:rFonts w:asciiTheme="majorBidi" w:hAnsiTheme="majorBidi" w:cstheme="majorBidi"/>
          <w:sz w:val="24"/>
          <w:szCs w:val="24"/>
          <w:lang w:val="sv-SE"/>
        </w:rPr>
      </w:pPr>
      <w:r w:rsidRPr="006B3495">
        <w:rPr>
          <w:rFonts w:asciiTheme="majorBidi" w:hAnsiTheme="majorBidi" w:cstheme="majorBidi"/>
          <w:sz w:val="24"/>
          <w:szCs w:val="24"/>
        </w:rPr>
        <w:t>A systematic review and meta-analysis were conducted to compare the effectiveness of RA and FA with haemostasis by VCD in reducing access-site complications and/or periprocedural bleeding.</w:t>
      </w:r>
      <w:r w:rsidR="00A82ACA" w:rsidRPr="006B3495">
        <w:rPr>
          <w:rFonts w:asciiTheme="majorBidi" w:hAnsiTheme="majorBidi" w:cstheme="majorBidi"/>
          <w:sz w:val="24"/>
          <w:szCs w:val="24"/>
        </w:rPr>
        <w:t xml:space="preserve"> The study being investigated included 13 research studies, five of which were </w:t>
      </w:r>
      <w:r w:rsidR="004616D7">
        <w:rPr>
          <w:rFonts w:asciiTheme="majorBidi" w:hAnsiTheme="majorBidi" w:cstheme="majorBidi"/>
          <w:sz w:val="24"/>
          <w:szCs w:val="24"/>
        </w:rPr>
        <w:t>randomised</w:t>
      </w:r>
      <w:r w:rsidR="00A82ACA" w:rsidRPr="006B3495">
        <w:rPr>
          <w:rFonts w:asciiTheme="majorBidi" w:hAnsiTheme="majorBidi" w:cstheme="majorBidi"/>
          <w:sz w:val="24"/>
          <w:szCs w:val="24"/>
        </w:rPr>
        <w:t xml:space="preserve"> trials.</w:t>
      </w:r>
      <w:r w:rsidR="00430F84" w:rsidRPr="006B3495">
        <w:rPr>
          <w:rFonts w:asciiTheme="majorBidi" w:hAnsiTheme="majorBidi" w:cstheme="majorBidi"/>
          <w:sz w:val="24"/>
          <w:szCs w:val="24"/>
        </w:rPr>
        <w:t xml:space="preserve"> </w:t>
      </w:r>
      <w:r w:rsidR="00EF6871" w:rsidRPr="006B3495">
        <w:rPr>
          <w:rFonts w:asciiTheme="majorBidi" w:hAnsiTheme="majorBidi" w:cstheme="majorBidi"/>
          <w:sz w:val="24"/>
          <w:szCs w:val="24"/>
        </w:rPr>
        <w:t>C</w:t>
      </w:r>
      <w:r w:rsidR="00430F84" w:rsidRPr="006B3495">
        <w:rPr>
          <w:rFonts w:asciiTheme="majorBidi" w:hAnsiTheme="majorBidi" w:cstheme="majorBidi"/>
          <w:sz w:val="24"/>
          <w:szCs w:val="24"/>
        </w:rPr>
        <w:t xml:space="preserve">omplications </w:t>
      </w:r>
      <w:r w:rsidR="00EF6871" w:rsidRPr="006B3495">
        <w:rPr>
          <w:rFonts w:asciiTheme="majorBidi" w:hAnsiTheme="majorBidi" w:cstheme="majorBidi"/>
          <w:sz w:val="24"/>
          <w:szCs w:val="24"/>
        </w:rPr>
        <w:t xml:space="preserve">in the access-site </w:t>
      </w:r>
      <w:r w:rsidR="00430F84" w:rsidRPr="006B3495">
        <w:rPr>
          <w:rFonts w:asciiTheme="majorBidi" w:hAnsiTheme="majorBidi" w:cstheme="majorBidi"/>
          <w:sz w:val="24"/>
          <w:szCs w:val="24"/>
        </w:rPr>
        <w:t>were documented in 11 research studies involving 157,031 patients (79,318 in the FA using VCD group and 77,713 in the RA group). Additionally, periprocedural bleedings have been documented in 12 research studies with a total of 600,196 patients (462,919 in the FA using VCD group and 137,277 in the RA group).</w:t>
      </w:r>
      <w:r w:rsidR="0070696D" w:rsidRPr="006B3495">
        <w:rPr>
          <w:rFonts w:asciiTheme="majorBidi" w:hAnsiTheme="majorBidi" w:cstheme="majorBidi"/>
          <w:sz w:val="24"/>
          <w:szCs w:val="24"/>
        </w:rPr>
        <w:t xml:space="preserve"> RA was linked to a notable decrease in periprocedural bleedings and access-site complications when compared to FA using </w:t>
      </w:r>
      <w:r w:rsidR="0070696D" w:rsidRPr="006B3495">
        <w:rPr>
          <w:rFonts w:asciiTheme="majorBidi" w:hAnsiTheme="majorBidi" w:cstheme="majorBidi"/>
          <w:sz w:val="24"/>
          <w:szCs w:val="24"/>
        </w:rPr>
        <w:lastRenderedPageBreak/>
        <w:t>VCD.</w:t>
      </w:r>
      <w:r w:rsidR="00AA34B9" w:rsidRPr="006B3495">
        <w:rPr>
          <w:rFonts w:asciiTheme="majorBidi" w:hAnsiTheme="majorBidi" w:cstheme="majorBidi"/>
          <w:sz w:val="24"/>
          <w:szCs w:val="24"/>
        </w:rPr>
        <w:t xml:space="preserve"> The findings remained consistent across both observational and </w:t>
      </w:r>
      <w:r w:rsidR="004616D7">
        <w:rPr>
          <w:rFonts w:asciiTheme="majorBidi" w:hAnsiTheme="majorBidi" w:cstheme="majorBidi"/>
          <w:sz w:val="24"/>
          <w:szCs w:val="24"/>
        </w:rPr>
        <w:t>randomised</w:t>
      </w:r>
      <w:r w:rsidR="00AA34B9" w:rsidRPr="006B3495">
        <w:rPr>
          <w:rFonts w:asciiTheme="majorBidi" w:hAnsiTheme="majorBidi" w:cstheme="majorBidi"/>
          <w:sz w:val="24"/>
          <w:szCs w:val="24"/>
        </w:rPr>
        <w:t xml:space="preserve"> research studies. The present meta-analysis demonstrates that RA is significantly better than FA using VCD in decreasing periprocedural bleeding and access-site complications</w:t>
      </w:r>
      <w:r w:rsidR="00EC74E8" w:rsidRPr="006B3495">
        <w:rPr>
          <w:rFonts w:asciiTheme="majorBidi" w:hAnsiTheme="majorBidi" w:cstheme="majorBidi"/>
          <w:sz w:val="24"/>
          <w:szCs w:val="24"/>
        </w:rPr>
        <w:t xml:space="preserve"> </w:t>
      </w:r>
      <w:r w:rsidR="00C3476B"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{"citationItems":[{"id":"ITEM-1","itemData":{"ISSN":"15572501","abstract":"OBJECTIVES: Periprocedural bleedings, often related to vascular access site, represent an important drawback of percutaneous coronary procedures and are associated with worse outcomes. Radial access (RA) and, potentially, femoral access (FA) with vascular closure device (VCD) are useful strategies in order to mitigate periprocedural bleedings; nevertheless, their relative efficacy is largely undetermined. We aimed to perform a systematic review and meta-analysis of available studies comparing the efficacy of RA and FA with hemostasis by VCD (FA + VCD) on the reduction of access-site complications and/or periprocedural bleedings. METHODS: Published studies reporting outcomes on access-site complications and periprocedural bleedings were included in the analysis. Data were extracted by two independent reviewers; odds ratio (OR) and 95% confidence interval (CI) were calculated by random-effects model and were used as summary statistics. RESULTS: We included in the analysis 13 studies, of which 5 were randomized. Access-site complications were reported by 11 studies, amounting to 157,031 patients (77,713 in the RA group and 79,318 in the FA + VCD group), whereas periprocedural bleedings were reported by 12 studies, amounting to 600,196 patients (137,277 in the RA group and 462,919 in the FA + VCD group). RA was associated with a significant reduction in access-site complications (OR, 0.25; 95% CI ,0.21-0.31; P&lt;.001) and periprocedural bleedings (OR, 0.40; 95% CI, 0.34-0.48; P&lt;.001) as compared with FA + VCD; the results were consistent among randomized and observational studies. CONCLUSIONS: This meta-analysis shows that RA is superior to FA + VCD in the reduction of access-site complications and periprocedural bleedings.","author":[{"dropping-particle":"","family":"Rigattieri","given":"Stefano","non-dropping-particle":"","parse-names":false,"suffix":""},{"dropping-particle":"","family":"Sciahbasi","given":"Alessandro","non-dropping-particle":"","parse-names":false,"suffix":""},{"dropping-particle":"","family":"Ratib","given":"Karim","non-dropping-particle":"","parse-names":false,"suffix":""},{"dropping-particle":"","family":"Alonzo","given":"Alessandro","non-dropping-particle":"","parse-names":false,"suffix":""},{"dropping-particle":"","family":"Cox","given":"Nicholas","non-dropping-particle":"","parse-names":false,"suffix":""},{"dropping-particle":"","family":"Chodór","given":"Piotr","non-dropping-particle":"","parse-names":false,"suffix":""},{"dropping-particle":"","family":"Berni","given":"Andrea","no</w:instrText>
      </w:r>
      <w:r w:rsidR="009711AF" w:rsidRPr="006424C6">
        <w:rPr>
          <w:rFonts w:asciiTheme="majorBidi" w:hAnsiTheme="majorBidi" w:cstheme="majorBidi"/>
          <w:sz w:val="24"/>
          <w:szCs w:val="24"/>
          <w:lang w:val="sv-SE"/>
        </w:rPr>
        <w:instrText>n-dropping-particle":"","parse-names":false,"suffix":""},{"dropping-particle":"","family":"Fedele","given":"Silvio","non-dropping-particle":"","parse-names":false,"suffix":""},{"dropping-particle":"","family":"Pugliese","given":"Francesco R.","non-dropping-particle":"","parse-names":false,"suffix":""},{"dropping-particle":"","family":"Cooper","given":"Christopher J.","non-dropping-particle":"","parse-names":false,"suffix":""},{"dropping-particle":"","family":"Louvard","given":"Yves","non-dropping-particle":"","parse-names":false,"suffix":""},{"dropping-particle":"","family":"Nolan","given":"James","non-dropping-particle":"","parse-names":false,"suffix":""},{"dropping-particle":"V.","family":"Rao","given":"Sunil","non-dropping-particle":"","parse-names":false,"suffix":""}],"container-title":"Journal of Invasive Cardiology","id":"ITEM-1","issue":"12","issued":{"date-parts":[["2016"]]},"title":"Comparison between radial approach and femoral approach with vascular closure devices on the occurrence of access-site complications and periprocedural bleeding after percutaneous coronary procedures: A systematic review and meta-analysis","type":"article","volume":"28"},"uris":["http://www.mendeley.com/documents/?uuid=ce8c3ecc-9f13-33a2-9199-656b26c64431"]}],"mendeley":{"formattedCitation":"(16)","plainTextFormattedCitation":"(16)","previouslyFormattedCitation":"(16)"},"properties":{"noteIndex":0},"schema":"https://github.com/citation-style-language/schema/raw/master/csl-citation.json"}</w:instrText>
      </w:r>
      <w:r w:rsidR="00C3476B" w:rsidRPr="006B3495">
        <w:rPr>
          <w:rFonts w:asciiTheme="majorBidi" w:hAnsiTheme="majorBidi" w:cstheme="majorBidi"/>
          <w:sz w:val="24"/>
          <w:szCs w:val="24"/>
        </w:rPr>
        <w:fldChar w:fldCharType="separate"/>
      </w:r>
      <w:r w:rsidR="009711AF" w:rsidRPr="006424C6">
        <w:rPr>
          <w:rFonts w:asciiTheme="majorBidi" w:hAnsiTheme="majorBidi" w:cstheme="majorBidi"/>
          <w:sz w:val="24"/>
          <w:szCs w:val="24"/>
          <w:lang w:val="sv-SE"/>
        </w:rPr>
        <w:t>(16)</w:t>
      </w:r>
      <w:r w:rsidR="00C3476B" w:rsidRPr="006B3495">
        <w:rPr>
          <w:rFonts w:asciiTheme="majorBidi" w:hAnsiTheme="majorBidi" w:cstheme="majorBidi"/>
          <w:sz w:val="24"/>
          <w:szCs w:val="24"/>
        </w:rPr>
        <w:fldChar w:fldCharType="end"/>
      </w:r>
      <w:r w:rsidR="00EC74E8" w:rsidRPr="006424C6">
        <w:rPr>
          <w:rFonts w:asciiTheme="majorBidi" w:hAnsiTheme="majorBidi" w:cstheme="majorBidi"/>
          <w:sz w:val="24"/>
          <w:szCs w:val="24"/>
          <w:lang w:val="sv-SE"/>
        </w:rPr>
        <w:t>.</w:t>
      </w:r>
    </w:p>
    <w:p w14:paraId="30D3C1AE" w14:textId="6F8D4563" w:rsidR="00E45EA6" w:rsidRPr="006B3495" w:rsidRDefault="00142B80" w:rsidP="00665AD7">
      <w:pPr>
        <w:spacing w:after="240" w:line="480" w:lineRule="auto"/>
        <w:jc w:val="both"/>
        <w:rPr>
          <w:rFonts w:asciiTheme="majorBidi" w:hAnsiTheme="majorBidi" w:cstheme="majorBidi"/>
          <w:sz w:val="24"/>
          <w:szCs w:val="24"/>
        </w:rPr>
      </w:pPr>
      <w:r w:rsidRPr="006424C6">
        <w:rPr>
          <w:rFonts w:asciiTheme="majorBidi" w:hAnsiTheme="majorBidi" w:cstheme="majorBidi"/>
          <w:sz w:val="24"/>
          <w:szCs w:val="24"/>
          <w:lang w:val="sv-SE"/>
        </w:rPr>
        <w:t xml:space="preserve">Téblick </w:t>
      </w:r>
      <w:r w:rsidRPr="006B3495">
        <w:rPr>
          <w:rFonts w:asciiTheme="majorBidi" w:hAnsiTheme="majorBidi" w:cstheme="majorBidi"/>
          <w:sz w:val="24"/>
          <w:szCs w:val="24"/>
        </w:rPr>
        <w:fldChar w:fldCharType="begin" w:fldLock="1"/>
      </w:r>
      <w:r w:rsidR="009711AF" w:rsidRPr="006424C6">
        <w:rPr>
          <w:rFonts w:asciiTheme="majorBidi" w:hAnsiTheme="majorBidi" w:cstheme="majorBidi"/>
          <w:sz w:val="24"/>
          <w:szCs w:val="24"/>
          <w:lang w:val="sv-SE"/>
        </w:rPr>
        <w:instrText>ADDIN CSL_CITATION {"citationItems":[{"id":"ITEM-1","itemData":{"DOI":"10.1080/00015385.2017.1363947","ISSN":"03737934","abstract":"Background: Radial access (RA) and vascular closure devices (VCD) have been shown to be superior to transfemoral access (TFA) with regard to the prevention of vascular complications after percutaneous coronary intervention (PCI). Objective: The present study evaluates whether RA is associated with less vascular complications and a lower mortality than VCD. Methods: A total of 6999 consecutive PCI patients were studied through a single-centre prospective registry from January 2011 to August 2015. RA was applied in 1385 patients (20%), VCDs with Angio-Seal were implanted in 2145 patients (30%) and manual compression of TFA was performed in 3468 patients (50%). Results: RA and VCD patients had comparable baseline risk profiles. The overall vascular complication rate was 2.0% (n = 137) and was composed of false aneurysms (n = 85), clinically relevant haematomas (n = 27), arteriovenous fistulas (n = 12), arterial occlusions (n = 11) and local infections (n = 2). Vascular complications occurred in 0.6% of RA patients, 1.8% of VCD patients and 2.6% of TFA patients (p &lt;.01). In-hospital mortality was 0.8% in RA patients, 0.8% in VCD patients and 3.8% in TFA patients (p &lt;.01). In a multivariate logistic regression model, RA, compared to VCD, was found to be independently associated with a lower rate of vascular complications (OR: 0.34, 95% CI: 0.16–0.75), but not with lower mortality rates (OR: 1.20, 95% CI: 0.51–2.85). Conclusion: In this large all-comers PCI population, the radial approach, compared to the femoral approach with VCD use (Angio-Seal), was independently associated with a reduction of vascular complications, but not with lower mortality rates.","author":[{"dropping-particle":"","family":"Téblick","given":"Arno","non-dropping-particle":"","parse-names":false,"suffix":""},{"dropping-particle":"","family":"Vanderbruggen","given":"Wies","non-dropping-particle":"","parse-names":false,"suffix":""},{"dropping-particle":"","family":"Vandendriessche","given":"Tom","non-dropping-particle":"","parse-names":false,"suffix":""},{"dropping-particle":"","family":"Bosmans","given":"Johan","non-dropping-particle":"","parse-names":false,"suffix":""},{"dropping-particle":"","family":"Haine","given":"Steven Els Frans","non-dropping-particle":"","parse-names":false,"suffix":""},{"dropping-particle":"","family":"Miljoen","given":"Hielko","non-dropping-particle":"","parse-names":false,"suffix":""},{"dropping-particle":"","family":"Segers","given":"Vincent","non-dropping-particle":"","parse-names":false,"suffix":""},{"dropping-particle":"","family":"Wouters","given":"Kristien","non-dropping-particle":"","parse-names":false,"suffix":""},{"dropping-particle":"","family":"Vrints","given":"Christiaan","non-dropping-particle":"","parse-names":false,"suffix":""},{"dropping-particle":"","family":"Claeys","given":"Marc J.","non-dropping-particle":"","parse-names":false,"suffix":""}],"container-title":"Acta Cardiologica","id":"ITEM-1","issue":"3","issued":{"date-parts":[["2018"]]},"title":"Comparison of radial access versus femoral access with the use of a vascular closure device for the prevention of vascular complications and mortality after percutaneous coronary intervention","type":"article-journal","volume":"73"},"uris":["http://www.mendeley.com/documents/?uuid=6e39b574-95c3-34b9-8d74-a460e9a487bf"]}],"mendeley":{"formattedCitation":"(14)","plainTextFormattedCitation":"(14)","previouslyFormattedCitation":"(14)"},"properties":{"noteIndex":0},"schema":"https://github.com/citation-style-language/schema/raw/master/csl-citation.json"}</w:instrText>
      </w:r>
      <w:r w:rsidRPr="006B3495">
        <w:rPr>
          <w:rFonts w:asciiTheme="majorBidi" w:hAnsiTheme="majorBidi" w:cstheme="majorBidi"/>
          <w:sz w:val="24"/>
          <w:szCs w:val="24"/>
        </w:rPr>
        <w:fldChar w:fldCharType="separate"/>
      </w:r>
      <w:r w:rsidR="009711AF" w:rsidRPr="006424C6">
        <w:rPr>
          <w:rFonts w:asciiTheme="majorBidi" w:hAnsiTheme="majorBidi" w:cstheme="majorBidi"/>
          <w:sz w:val="24"/>
          <w:szCs w:val="24"/>
          <w:lang w:val="sv-SE"/>
        </w:rPr>
        <w:t>(14)</w:t>
      </w:r>
      <w:r w:rsidRPr="006B3495">
        <w:rPr>
          <w:rFonts w:asciiTheme="majorBidi" w:hAnsiTheme="majorBidi" w:cstheme="majorBidi"/>
          <w:sz w:val="24"/>
          <w:szCs w:val="24"/>
        </w:rPr>
        <w:fldChar w:fldCharType="end"/>
      </w:r>
      <w:r w:rsidRPr="006424C6">
        <w:rPr>
          <w:rFonts w:asciiTheme="majorBidi" w:hAnsiTheme="majorBidi" w:cstheme="majorBidi"/>
          <w:sz w:val="24"/>
          <w:szCs w:val="24"/>
          <w:lang w:val="sv-SE"/>
        </w:rPr>
        <w:t xml:space="preserve"> </w:t>
      </w:r>
      <w:r w:rsidR="00E45EA6" w:rsidRPr="006424C6">
        <w:rPr>
          <w:rFonts w:asciiTheme="majorBidi" w:hAnsiTheme="majorBidi" w:cstheme="majorBidi"/>
          <w:sz w:val="24"/>
          <w:szCs w:val="24"/>
          <w:lang w:val="sv-SE"/>
        </w:rPr>
        <w:t>examined the association of RA with reduced vascular complications and lower rates of mortality compared to VCD.</w:t>
      </w:r>
      <w:r w:rsidR="00141042" w:rsidRPr="006424C6">
        <w:rPr>
          <w:lang w:val="sv-SE"/>
        </w:rPr>
        <w:t xml:space="preserve"> </w:t>
      </w:r>
      <w:r w:rsidR="00141042" w:rsidRPr="006B3495">
        <w:rPr>
          <w:rFonts w:asciiTheme="majorBidi" w:hAnsiTheme="majorBidi" w:cstheme="majorBidi"/>
          <w:sz w:val="24"/>
          <w:szCs w:val="24"/>
        </w:rPr>
        <w:t>A single-centre prospective registry studied the outcomes of 6,999 consecutive PCI patients between January 2011 and August 2015.</w:t>
      </w:r>
      <w:r w:rsidR="003001D6" w:rsidRPr="006B3495">
        <w:rPr>
          <w:rFonts w:asciiTheme="majorBidi" w:hAnsiTheme="majorBidi" w:cstheme="majorBidi"/>
          <w:sz w:val="24"/>
          <w:szCs w:val="24"/>
        </w:rPr>
        <w:t xml:space="preserve"> </w:t>
      </w:r>
      <w:r w:rsidR="00AE7A74" w:rsidRPr="006B3495">
        <w:rPr>
          <w:rFonts w:asciiTheme="majorBidi" w:hAnsiTheme="majorBidi" w:cstheme="majorBidi"/>
          <w:sz w:val="24"/>
          <w:szCs w:val="24"/>
        </w:rPr>
        <w:t xml:space="preserve">RA was utilised in 20% of patients (n=1385), manual compression of TFA was conducted in 50% of patients (n= 3468), and VCDs with Angio-Seal have been used in 30% of patients (n=2145). </w:t>
      </w:r>
      <w:r w:rsidR="003D5C81" w:rsidRPr="006B3495">
        <w:rPr>
          <w:rFonts w:asciiTheme="majorBidi" w:hAnsiTheme="majorBidi" w:cstheme="majorBidi"/>
          <w:sz w:val="24"/>
          <w:szCs w:val="24"/>
        </w:rPr>
        <w:t>The study revealed that patients in the RA and VCD groups exhibited similar baseline risk profiles. The total rate of vascular complications was 2.0% (n = 137), consisting of local infections (n = 2), arterial occlusions (n = 11), arteriovenous fistulas (n = 12), clinically significant hematomas (n = 27), and false aneurysms (n = 85).</w:t>
      </w:r>
      <w:r w:rsidR="00E55E26" w:rsidRPr="006B3495">
        <w:rPr>
          <w:rFonts w:asciiTheme="majorBidi" w:hAnsiTheme="majorBidi" w:cstheme="majorBidi"/>
          <w:sz w:val="24"/>
          <w:szCs w:val="24"/>
        </w:rPr>
        <w:t xml:space="preserve"> Vascular complications were observed in 2.6% of patients with TFA, 1.8% of patients with VCD, and 0.6% of patients with RA (p &lt; .01).</w:t>
      </w:r>
      <w:r w:rsidR="006E3F3C" w:rsidRPr="006B3495">
        <w:t xml:space="preserve"> </w:t>
      </w:r>
      <w:r w:rsidR="006E3F3C" w:rsidRPr="006B3495">
        <w:rPr>
          <w:rFonts w:asciiTheme="majorBidi" w:hAnsiTheme="majorBidi" w:cstheme="majorBidi"/>
          <w:sz w:val="24"/>
          <w:szCs w:val="24"/>
        </w:rPr>
        <w:t>In-hospital mortality rates were 3.8% for patients with TFA, 0.8% for patients with VCD, and 0.8% for patients with RA (p &lt; .01).</w:t>
      </w:r>
      <w:r w:rsidR="00046C1F" w:rsidRPr="006B3495">
        <w:rPr>
          <w:rFonts w:asciiTheme="majorBidi" w:hAnsiTheme="majorBidi" w:cstheme="majorBidi"/>
          <w:sz w:val="24"/>
          <w:szCs w:val="24"/>
        </w:rPr>
        <w:t xml:space="preserve"> In a multivariate logistic regression model, RA, in comparison to VCD, demonstrated an independent relationship with a reduced incidence of vascular complications, although it did not correlate with decreased rates of mortality</w:t>
      </w:r>
      <w:r w:rsidRPr="006B3495">
        <w:rPr>
          <w:rFonts w:asciiTheme="majorBidi" w:hAnsiTheme="majorBidi" w:cstheme="majorBidi"/>
          <w:sz w:val="24"/>
          <w:szCs w:val="24"/>
        </w:rPr>
        <w:t xml:space="preserve"> </w:t>
      </w:r>
      <w:r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{"citationItems":[{"id":"ITEM-1","itemData":{"DOI":"10.1080/00015385.2017.1363947","ISSN":"03737934","abstract":"Background: Radial access (RA) and vascular closure devices (VCD) have been shown to be superior to transfemoral access (TFA) with regard to the prevention of vascular complications after percutaneous coronary intervention (PCI). Objective: The present study evaluates whether RA is associated with less vascular complications and a lower mortality than VCD. Methods: A total of 6999 consecutive PCI patients were studied through a single-centre prospective registry from January 2011 to August 2015. RA was applied in 1385 patients (20%), VCDs with Angio-Seal were implanted in 2145 patients (30%) and manual compression of TFA was performed in 3468 patients (50%). Results: RA and VCD patients had comparable baseline risk profiles. The overall vascular complication rate was 2.0% (n = 137) and was composed of false aneurysms (n = 85), clinically relevant haematomas (n = 27), arteriovenous fistulas (n = 12), arterial occlusions (n = 11) and local infections (n = 2). Vascular complications occurred in 0.6% of RA patients, 1.8% of VCD patients and 2.6% of TFA patients (p &lt;.01). In-hospital mortality was 0.8% in RA patients, 0.8% in VCD patients and 3.8% in TFA patients (p &lt;.01). In a multivariate logistic regression model, RA, compared to VCD, was found to be independently associated with a lower rate of vascular complications (OR: 0.34, 95% CI: 0.16–0.75), but not with lower mortality rates (OR: 1.20, 95% CI: 0.51–2.85). Conclusion: In this large all-comers PCI population, the radial approach, compared to the femoral approach with VCD use (Angio-Seal), was independently associated with a reduction of vascular complications, but not with lower mortality rates.","author":[{"dropping-particle":"","family":"Téblick","given":"Arno","non-dropping-particle":"","parse-names":false,"suffix":""},{"dropping-particle":"","family":"Vanderbruggen","given":"Wies","non-dropping-particle":"","parse-names":false,"suffix":""},{"dropping-particle":"","family":"Vandendriessche","given":"Tom","non-dropping-particle":"","parse-names":false,"suffix":""},{"dropping-particle":"","family":"Bosmans","given":"Johan","non-dropping-particle":"","parse-names":false,"suffix":""},{"dropping-particle":"","family":"Haine","given":"Steven Els Frans","non-dropping-particle":"","parse-names":false,"suffix":""},{"dropping-particle":"","family":"Miljoen","given":"Hielko","non-dropping-particle":"","parse-names":false,"suffix":""},{"dropping-particle":"","family":"Segers","given":"Vincent","non-dropping-particle":"","parse-names":false,"suffix":""},{"dropping-particle":"","family":"Wouters","given":"Kristien","non-dropping-particle":"","parse-names":false,"suffix":""},{"dropping-particle":"","family":"Vrints","given":"Christiaan","non-dropping-particle":"","parse-names":false,"suffix":""},{"dropping-particle":"","family":"Claeys","given":"Marc J.","non-dropping-particle":"","parse-names":false,"suffix":""}],"container-title":"Acta Cardiologica","id":"ITEM-1","issue":"3","issued":{"date-parts":[["2018"]]},"title":"Comparison of radial access versus femoral access with the use of a vascular closure device for the prevention of vascular complications and mortality after percutaneous coronary intervention","type":"article-journal","volume":"73"},"uris":["http://www.mendeley.com/documents/?uuid=6e39b574-95c3-34b9-8d74-a460e9a487bf"]}],"mendeley":{"formattedCitation":"(14)","plainTextFormattedCitation":"(14)","previouslyFormattedCitation":"(14)"},"properties":{"noteIndex":0},"schema":"https://github.com/citation-style-language/schema/raw/master/csl-citation.json"}</w:instrText>
      </w:r>
      <w:r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(14)</w:t>
      </w:r>
      <w:r w:rsidRPr="006B3495">
        <w:rPr>
          <w:rFonts w:asciiTheme="majorBidi" w:hAnsiTheme="majorBidi" w:cstheme="majorBidi"/>
          <w:sz w:val="24"/>
          <w:szCs w:val="24"/>
        </w:rPr>
        <w:fldChar w:fldCharType="end"/>
      </w:r>
      <w:r w:rsidR="00046C1F" w:rsidRPr="006B3495">
        <w:rPr>
          <w:rFonts w:asciiTheme="majorBidi" w:hAnsiTheme="majorBidi" w:cstheme="majorBidi"/>
          <w:sz w:val="24"/>
          <w:szCs w:val="24"/>
        </w:rPr>
        <w:t>.</w:t>
      </w:r>
    </w:p>
    <w:p w14:paraId="360F5BFE" w14:textId="513F2B76" w:rsidR="00CF343C" w:rsidRPr="006B3495" w:rsidRDefault="00A24683"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As an additional point of interest, </w:t>
      </w:r>
      <w:r w:rsidR="00142B80" w:rsidRPr="006B3495">
        <w:rPr>
          <w:rFonts w:asciiTheme="majorBidi" w:hAnsiTheme="majorBidi" w:cstheme="majorBidi"/>
          <w:sz w:val="24"/>
          <w:szCs w:val="24"/>
        </w:rPr>
        <w:t xml:space="preserve">Blake </w:t>
      </w:r>
      <w:r w:rsidR="00142B80"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{"citationItems":[{"id":"ITEM-1","itemData":{"DOI":"10.1016/j.ahj.2018.12.009","ISSN":"10976744","abstract":"Background: Recent randomized controlled trials comparing femoral and radial access in primary percutaneous coronary intervention (PPCI) have shown conflicting results regarding the incidence of major adverse cardiovascular events (MACE) and major bleeding. Methods: Using data from the HEAT-PPCI trial, we compared the primary efficacy (all-cause mortality, stroke, new myocardial infarction or unplanned repeat revascularization) and safety (major bleeding BARC 3–5) outcomes at 28 days, by final access site used (radial or femoral) and by default operator type. We then assessed outcomes in femoral cases performed by both operator types. Results: Radial access (RA) was associated with fewer MACE (91/1472 = 6.2% vs. 36/332 = 10.8% P =.003) and major bleeding events (38/1472 = 2.6% vs 22/332 = 6.6% P =.001) when compared to femoral access (FA). When analyzing outcomes by default operator type, there was a similar incidence of MACE (111/1575 = 7% vs 16/229 = 7% P =.97) and major bleeding events (49/1575 = 3.1% vs 11/229 = 4.8% P =.18). In cases where FA was performed by default radial operators, there was a higher rate of MACE (22/122 = 18% vs 14/210 = 6.7% P =.003) and major bleeding events (11/122 = 9% vs 11/210 = 5.2% P &lt;.001), potentially explained by a higher risk profile in these cases. Conclusion: Default femoral operators achieved comparable outcomes when compared to default radial operators. The less favorable outcomes observed in FA cases may result from its selective use by radial operators in high risk cases.","author":[{"dropping-particle":"","family":"Blake","given":"Sarah R.","non-dropping-particle":"","parse-names":false,"suffix":""},{"dropping-particle":"","family":"Shahzad","given":"Adeel","non-dropping-particle":"","parse-names":false,"suffix":""},{"dropping-particle":"","family":"Aggarwal","given":"Suneil K.","non-dropping-particle":"","parse-names":false,"suffix":""},{"dropping-particle":"","family":"Kumar","given":"Abhishek","non-dropping-particle":"","parse-names":false,"suffix":""},{"dropping-particle":"","family":"Khan","given":"Adnan","non-dropping-particle":"","parse-names":false,"suffix":""},{"dropping-particle":"","family":"Stables","given":"Rod H.","non-dropping-particle":"","parse-names":false,"suffix":""}],"container-title":"American Heart Journal","id":"ITEM-1","issued":{"date-parts":[["2019"]]},"title":"Radial versus femoral vascular access in ST-elevation myocardial infarction: Are the results of femoral operators unfairly represented in observational research?","type":"article-journal","volume":"210"},"uris":["http://www.mendeley.com/documents/?uuid=3a72ac44-a0e3-39df-855f-a823c213e69d"]}],"mendeley":{"formattedCitation":"(17)","plainTextFormattedCitation":"(17)","previouslyFormattedCitation":"(17)"},"properties":{"noteIndex":0},"schema":"https://github.com/citation-style-language/schema/raw/master/csl-citation.json"}</w:instrText>
      </w:r>
      <w:r w:rsidR="00142B80"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(17)</w:t>
      </w:r>
      <w:r w:rsidR="00142B80" w:rsidRPr="006B3495">
        <w:rPr>
          <w:rFonts w:asciiTheme="majorBidi" w:hAnsiTheme="majorBidi" w:cstheme="majorBidi"/>
          <w:sz w:val="24"/>
          <w:szCs w:val="24"/>
        </w:rPr>
        <w:fldChar w:fldCharType="end"/>
      </w:r>
      <w:r w:rsidR="00142B80" w:rsidRPr="006B3495">
        <w:rPr>
          <w:rFonts w:asciiTheme="majorBidi" w:hAnsiTheme="majorBidi" w:cstheme="majorBidi"/>
          <w:sz w:val="24"/>
          <w:szCs w:val="24"/>
        </w:rPr>
        <w:t xml:space="preserve"> </w:t>
      </w:r>
      <w:r w:rsidRPr="006B3495">
        <w:rPr>
          <w:rFonts w:asciiTheme="majorBidi" w:hAnsiTheme="majorBidi" w:cstheme="majorBidi"/>
          <w:sz w:val="24"/>
          <w:szCs w:val="24"/>
        </w:rPr>
        <w:t>conduct research that compared the utilisation of radial vs femoral access in patients who had ST-elevation myocardial infarction.</w:t>
      </w:r>
      <w:r w:rsidR="007742FF" w:rsidRPr="006B3495">
        <w:rPr>
          <w:rFonts w:asciiTheme="majorBidi" w:hAnsiTheme="majorBidi" w:cstheme="majorBidi"/>
          <w:sz w:val="24"/>
          <w:szCs w:val="24"/>
        </w:rPr>
        <w:t xml:space="preserve"> Researchers utilised data from the HEAT-PPCI trial to compare primary effectiveness outcomes (unplanned repeat revascularisation, new myocardial infarction, or all-cause mortality, stroke) and safety outcomes (major bleeding BARC 3–5) at 28 days, categorised by the final access site (femoral or radial) and operator type.</w:t>
      </w:r>
      <w:r w:rsidR="00BE7D2C" w:rsidRPr="006B3495">
        <w:rPr>
          <w:rFonts w:asciiTheme="majorBidi" w:hAnsiTheme="majorBidi" w:cstheme="majorBidi"/>
          <w:sz w:val="24"/>
          <w:szCs w:val="24"/>
        </w:rPr>
        <w:t xml:space="preserve"> </w:t>
      </w:r>
      <w:r w:rsidR="00BE7D2C" w:rsidRPr="006B3495">
        <w:rPr>
          <w:rFonts w:asciiTheme="majorBidi" w:hAnsiTheme="majorBidi" w:cstheme="majorBidi"/>
          <w:sz w:val="24"/>
          <w:szCs w:val="24"/>
        </w:rPr>
        <w:lastRenderedPageBreak/>
        <w:t>Subsequently, outcomes in femoral cases conducted by both operator types were evaluated.</w:t>
      </w:r>
      <w:r w:rsidR="00BD4104" w:rsidRPr="006B3495">
        <w:rPr>
          <w:rFonts w:asciiTheme="majorBidi" w:hAnsiTheme="majorBidi" w:cstheme="majorBidi"/>
          <w:sz w:val="24"/>
          <w:szCs w:val="24"/>
        </w:rPr>
        <w:t xml:space="preserve"> The research findings indicated that radial access was linked to a reduction in MACE as well as major bleeding occurrences in comparison to femoral access.</w:t>
      </w:r>
      <w:r w:rsidR="00CD4F33" w:rsidRPr="006B3495">
        <w:rPr>
          <w:rFonts w:asciiTheme="majorBidi" w:hAnsiTheme="majorBidi" w:cstheme="majorBidi"/>
          <w:sz w:val="24"/>
          <w:szCs w:val="24"/>
        </w:rPr>
        <w:t xml:space="preserve"> Analysis of findings by default operator type revealed comparable incidences of major bleeding occurrences and MACE.</w:t>
      </w:r>
      <w:r w:rsidR="00CC4225" w:rsidRPr="006B3495">
        <w:rPr>
          <w:rFonts w:asciiTheme="majorBidi" w:hAnsiTheme="majorBidi" w:cstheme="majorBidi"/>
          <w:sz w:val="24"/>
          <w:szCs w:val="24"/>
        </w:rPr>
        <w:t xml:space="preserve"> Femoral access conducted by default radial operators was associated with an increased incidence of major bleeding occurrences and MACE, likely attributable to an elevated risk profile in these instances</w:t>
      </w:r>
      <w:r w:rsidR="00142B80" w:rsidRPr="006B3495">
        <w:rPr>
          <w:rFonts w:asciiTheme="majorBidi" w:hAnsiTheme="majorBidi" w:cstheme="majorBidi"/>
          <w:sz w:val="24"/>
          <w:szCs w:val="24"/>
        </w:rPr>
        <w:t xml:space="preserve"> </w:t>
      </w:r>
      <w:r w:rsidR="00142B80"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{"citationItems":[{"id":"ITEM-1","itemData":{"DOI":"10.1016/j.ahj.2018.12.009","ISSN":"10976744","abstract":"Background: Recent randomized controlled trials comparing femoral and radial access in primary percutaneous coronary intervention (PPCI) have shown conflicting results regarding the incidence of major adverse cardiovascular events (MACE) and major bleeding. Methods: Using data from the HEAT-PPCI trial, we compared the primary efficacy (all-cause mortality, stroke, new myocardial infarction or unplanned repeat revascularization) and safety (major bleeding BARC 3–5) outcomes at 28 days, by final access site used (radial or femoral) and by default operator type. We then assessed outcomes in femoral cases performed by both operator types. Results: Radial access (RA) was associated with fewer MACE (91/1472 = 6.2% vs. 36/332 = 10.8% P =.003) and major bleeding events (38/1472 = 2.6% vs 22/332 = 6.6% P =.001) when compared to femoral access (FA). When analyzing outcomes by default operator type, there was a similar incidence of MACE (111/1575 = 7% vs 16/229 = 7% P =.97) and major bleeding events (49/1575 = 3.1% vs 11/229 = 4.8% P =.18). In cases where FA was performed by default radial operators, there was a higher rate of MACE (22/122 = 18% vs 14/210 = 6.7% P =.003) and major bleeding events (11/122 = 9% vs 11/210 = 5.2% P &lt;.001), potentially explained by a higher risk profile in these cases. Conclusion: Default femoral operators achieved comparable outcomes when compared to default radial operators. The less favorable outcomes observed in FA cases may result from its selective use by radial operators in high risk cases.","author":[{"dropping-particle":"","family":"Blake","given":"Sarah R.","non-dropping-particle":"","parse-names":false,"suffix":""},{"dropping-particle":"","family":"Shahzad","given":"Adeel","non-dropping-particle":"","parse-names":false,"suffix":""},{"dropping-particle":"","family":"Aggarwal","given":"Suneil K.","non-dropping-particle":"","parse-names":false,"suffix":""},{"dropping-particle":"","family":"Kumar","given":"Abhishek","non-dropping-particle":"","parse-names":false,"suffix":""},{"dropping-particle":"","family":"Khan","given":"Adnan","non-dropping-particle":"","parse-names":false,"suffix":""},{"dropping-particle":"","family":"Stables","given":"Rod H.","non-dropping-particle":"","parse-names":false,"suffix":""}],"container-title":"American Heart Journal","id":"ITEM-1","issued":{"date-parts":[["2019"]]},"title":"Radial versus femoral vascular access in ST-elevation myocardial infarction: Are the results of femoral operators unfairly represented in observational research?","type":"article-journal","volume":"210"},"uris":["http://www.mendeley.com/documents/?uuid=3a72ac44-a0e3-39df-855f-a823c213e69d"]}],"mendeley":{"formattedCitation":"(17)","plainTextFormattedCitation":"(17)","previouslyFormattedCitation":"(17)"},"properties":{"noteIndex":0},"schema":"https://github.com/citation-style-language/schema/raw/master/csl-citation.json"}</w:instrText>
      </w:r>
      <w:r w:rsidR="00142B80"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(17)</w:t>
      </w:r>
      <w:r w:rsidR="00142B80" w:rsidRPr="006B3495">
        <w:rPr>
          <w:rFonts w:asciiTheme="majorBidi" w:hAnsiTheme="majorBidi" w:cstheme="majorBidi"/>
          <w:sz w:val="24"/>
          <w:szCs w:val="24"/>
        </w:rPr>
        <w:fldChar w:fldCharType="end"/>
      </w:r>
      <w:r w:rsidR="00CC4225" w:rsidRPr="006B3495">
        <w:rPr>
          <w:rFonts w:asciiTheme="majorBidi" w:hAnsiTheme="majorBidi" w:cstheme="majorBidi"/>
          <w:sz w:val="24"/>
          <w:szCs w:val="24"/>
        </w:rPr>
        <w:t>.</w:t>
      </w:r>
    </w:p>
    <w:p w14:paraId="58F23D62" w14:textId="2F618CA7" w:rsidR="00500038" w:rsidRPr="006B3495" w:rsidRDefault="00114C0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Rana </w:t>
      </w:r>
      <w:r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{"citationItems":[{"id":"ITEM-1","itemData":{"DOI":"10.1016/j.ihj.2021.04.006","ISSN":"22133763","abstract":"Arterial access site complications are the important predictor of successful percutaneous coronary interventions (PCI). We prospectively studied 722 consecutive PCI patients for access site complications. A total of 303 trans-femoral access (TFA) patients who had suture based vascular closure devices (VCD) were compared with 419 transradial access (TRA) patients. Incidence of hematoma was more in TFA (2.3% vs 0.23%, p 0.01). Median ambulation time (4 h vs 1 h, p &lt; 0.01) was significantly higher in TFA. In conclusion, TRA had fewer access site complications like haematoma, compared to TFA with VCD. TRA also resulted in earlier ambulation and discharge, compared to TFA with VCD.","author":[{"dropping-particle":"","family":"Rana","given":"Naresh","non-dropping-particle":"","parse-names":false,"suffix":""},{"dropping-particle":"","family":"Vijayvergiya","given":"Rajesh","non-dropping-particle":"","parse-names":false,"suffix":""},{"dropping-particle":"","family":"Kasinadhuni","given":"Ganesh","non-dropping-particle":"","parse-names":false,"suffix":""},{"dropping-particle":"","family":"Khanal","given":"Suraj","non-dropping-particle":"","parse-names":false,"suffix":""},{"dropping-particle":"","family":"Panda","given":"Prashant","non-dropping-particle":"","parse-names":false,"suffix":""}],"container-title":"Indian Heart Journal","id":"ITEM-1","issue":"3","issued":{"date-parts":[["2021"]]},"title":"Comparison of radial versus femoral access using hemostatic devices following percutaneous coronary intervention","type":"article-journal","volume":"73"},"uris":["http://www.mendeley.com/documents/?uuid=64defa42-5ccf-3b38-bf72-4692dd3ea9bf"]}],"mendeley":{"formattedCitation":"(18)","plainTextFormattedCitation":"(18)","previouslyFormattedCitation":"(18)"},"properties":{"noteIndex":0},"schema":"https://github.com/citation-style-language/schema/raw/master/csl-citation.json"}</w:instrText>
      </w:r>
      <w:r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(18)</w:t>
      </w:r>
      <w:r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w:t>
      </w:r>
      <w:r w:rsidR="00E6215C" w:rsidRPr="006B3495">
        <w:rPr>
          <w:rFonts w:asciiTheme="majorBidi" w:hAnsiTheme="majorBidi" w:cstheme="majorBidi"/>
          <w:sz w:val="24"/>
          <w:szCs w:val="24"/>
        </w:rPr>
        <w:t>conducted a prospective study involving 722 consecutive patients undergoing PCI to assess complications in access site.</w:t>
      </w:r>
      <w:r w:rsidR="009305A4" w:rsidRPr="006B3495">
        <w:rPr>
          <w:rFonts w:asciiTheme="majorBidi" w:hAnsiTheme="majorBidi" w:cstheme="majorBidi"/>
          <w:sz w:val="24"/>
          <w:szCs w:val="24"/>
        </w:rPr>
        <w:t xml:space="preserve"> A comparison was conducted between 303 TFA individuals who underwent suture-based VCD and 419 TRA individuals. The incidence of haematoma was higher in TFA, recorded at 2.3% compared to 0.23%, with a p-value of 0.01. The median ambulation time was considerably longer in TFA, with values of 4 hours compared to 1 hour (p &lt; 0.01). </w:t>
      </w:r>
      <w:r w:rsidR="00500038" w:rsidRPr="006B3495">
        <w:rPr>
          <w:rFonts w:asciiTheme="majorBidi" w:hAnsiTheme="majorBidi" w:cstheme="majorBidi"/>
          <w:sz w:val="24"/>
          <w:szCs w:val="24"/>
        </w:rPr>
        <w:t>In conclusion, TRA exhibited a lower incidence of complications in access site, such as haematoma, compared to TFA with VCD. TRA led to earlier ambulation and discharge in comparison to TFA with VCD</w:t>
      </w:r>
      <w:r w:rsidRPr="006B3495">
        <w:rPr>
          <w:rFonts w:asciiTheme="majorBidi" w:hAnsiTheme="majorBidi" w:cstheme="majorBidi"/>
          <w:sz w:val="24"/>
          <w:szCs w:val="24"/>
        </w:rPr>
        <w:t xml:space="preserve"> </w:t>
      </w:r>
      <w:bookmarkStart w:id="33" w:name="_Hlk199722000"/>
      <w:r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{"citationItems":[{"id":"ITEM-1","itemData":{"DOI":"10.1016/j.ihj.2021.04.006","ISSN":"22133763","abstract":"Arterial access site complications are the important predictor of successful percutaneous coronary interventions (PCI). We prospectively studied 722 consecutive PCI patients for access site complications. A total of 303 trans-femoral access (TFA) patients who had suture based vascular closure devices (VCD) were compared with 419 transradial access (TRA) patients. Incidence of hematoma was more in TFA (2.3% vs 0.23%, p 0.01). Median ambulation time (4 h vs 1 h, p &lt; 0.01) was significantly higher in TFA. In conclusion, TRA had fewer access site complications like haematoma, compared to TFA with VCD. TRA also resulted in earlier ambulation and discharge, compared to TFA with VCD.","author":[{"dropping-particle":"","family":"Rana","given":"Naresh","non-dropping-particle":"","parse-names":false,"suffix":""},{"dropping-particle":"","family":"Vijayvergiya","given":"Rajesh","non-dropping-particle":"","parse-names":false,"suffix":""},{"dropping-particle":"","family":"Kasinadhuni","given":"Ganesh","non-dropping-particle":"","parse-names":false,"suffix":""},{"dropping-particle":"","family":"Khanal","given":"Suraj","non-dropping-particle":"","parse-names":false,"suffix":""},{"dropping-particle":"","family":"Panda","given":"Prashant","non-dropping-particle":"","parse-names":false,"suffix":""}],"container-title":"Indian Heart Journal","id":"ITEM-1","issue":"3","issued":{"date-parts":[["2021"]]},"title":"Comparison of radial versus femoral access using hemostatic devices following percutaneous coronary intervention","type":"article-journal","volume":"73"},"uris":["http://www.mendeley.com/documents/?uuid=64defa42-5ccf-3b38-bf72-4692dd3ea9bf"]}],"mendeley":{"formattedCitation":"(18)","plainTextFormattedCitation":"(18)","previouslyFormattedCitation":"(18)"},"properties":{"noteIndex":0},"schema":"https://github.com/citation-style-language/schema/raw/master/csl-citation.json"}</w:instrText>
      </w:r>
      <w:r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(18)</w:t>
      </w:r>
      <w:r w:rsidRPr="006B3495">
        <w:rPr>
          <w:rFonts w:asciiTheme="majorBidi" w:hAnsiTheme="majorBidi" w:cstheme="majorBidi"/>
          <w:sz w:val="24"/>
          <w:szCs w:val="24"/>
        </w:rPr>
        <w:fldChar w:fldCharType="end"/>
      </w:r>
      <w:r w:rsidR="00500038" w:rsidRPr="006B3495">
        <w:rPr>
          <w:rFonts w:asciiTheme="majorBidi" w:hAnsiTheme="majorBidi" w:cstheme="majorBidi"/>
          <w:sz w:val="24"/>
          <w:szCs w:val="24"/>
        </w:rPr>
        <w:t>.</w:t>
      </w:r>
      <w:bookmarkEnd w:id="33"/>
    </w:p>
    <w:p w14:paraId="5F2428E1" w14:textId="1BFAC156" w:rsidR="007D0F35" w:rsidRPr="006B3495" w:rsidRDefault="00146490"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Jolly </w:t>
      </w:r>
      <w:r w:rsidR="009711AF" w:rsidRPr="006B3495">
        <w:rPr>
          <w:rFonts w:asciiTheme="majorBidi" w:hAnsiTheme="majorBidi" w:cstheme="majorBidi"/>
          <w:sz w:val="24"/>
          <w:szCs w:val="24"/>
        </w:rPr>
        <w:fldChar w:fldCharType="begin" w:fldLock="1"/>
      </w:r>
      <w:r w:rsidR="00036B37" w:rsidRPr="006B3495">
        <w:rPr>
          <w:rFonts w:asciiTheme="majorBidi" w:hAnsiTheme="majorBidi" w:cstheme="majorBidi"/>
          <w:sz w:val="24"/>
          <w:szCs w:val="24"/>
        </w:rPr>
        <w:instrText>ADDIN CSL_CITATION {"citationItems":[{"id":"ITEM-1","itemData":{"DOI":"10.1016/S0140-6736(11)60404-2","ISSN":"01406736","abstract":"Background: Small trials have suggested that radial access for percutaneous coronary intervention (PCI) reduces vascular complications and bleeding compared with femoral access. We aimed to assess whether radial access was superior to femoral access in patients with acute coronary syndromes (ACS) who were undergoing coronary angiography with possible intervention. Methods: The RadIal Vs femorAL access for coronary intervention (RIVAL) trial was a randomised, parallel group, multicentre trial. Patients with ACS were randomly assigned (1:1) by a 24 h computerised central automated voice response system to radial or femoral artery access. The primary outcome was a composite of death, myocardial infarction, stroke, or non-coronary artery bypass graft (non-CABG)-related major bleeding at 30 days. Key secondary outcomes were death, myocardial infarction, or stroke; and non-CABG-related major bleeding at 30 days. A masked central committee adjudicated the primary outcome, components of the primary outcome, and stent thrombosis. All other outcomes were as reported by the investigators. Patients and investigators were not masked to treatment allocation. Analyses were by intention to treat. This trial is registered with ClinicalTrials.gov, NCT01014273. Findings: Between June 6, 2006, and Nov 3, 2010, 7021 patients were enrolled from 158 hospitals in 32 countries. 3507 patients were randomly assigned to radial access and 3514 to femoral access. The primary outcome occurred in 128 (3·7) of 3507 patients in the radial access group compared with 139 (4·0) of 3514 in the femoral access group (hazard ratio [HR] 0·92, 95 CI 0·72-1·17; p=0·50). Of the six prespecified subgroups, there was a significant interaction for the primary outcome with benefit for radial access in highest tertile volume radial centres (HR 0·49, 95 CI 0·28-0·87; p=0·015) and in patients with ST-segment elevation myocardial infarction (0·60, 0·38-0·94; p=0·026). The rate of death, myocardial infarction, or stroke at 30 days was 112 (3·2) of 3507 patients in the radial group compared with 114 (3·2) of 3514 in the femoral group (HR 0·98, 95 CI 0·76-1·28; p=0·90). The rate of non-CABG-related major bleeding at 30 days was 24 (0·7) of 3507 patients in the radial group compared with 33 (0·9) of 3514 patients in the femoral group (HR 0·73, 95 CI 0·43-1·23; p=0·23). At 30 days, 42 of 3507 patients in the radial group had large haematoma compared with 106 of 3514 in the femoral group (HR 0·40, 95 CI 0·28-0·…","author":[{"dropping-particle":"","family":"Jolly","given":"Sanjit S.","non-dropping-particle":"","parse-names":false,"suffix":""},{"dropping-particle":"","family":"Yusuf","given":"Salim","non-dropping-particle":"","parse-names":false,"suffix":""},{"dropping-particle":"","family":"Cairns","given":"John","non-dropping-particle":"","parse-names":false,"suffix":""},{"dropping-particle":"","family":"Niemelä","given":"Kari","non-dropping-particle":"","parse-names":false,"suffix":""},{"dropping-particle":"","family":"Xavier","given":"Denis","non-dropping-particle":"","parse-names":false,"suffix":""},{"dropping-particle":"","family":"Widimsky","given":"Petr","non-dropping-particle":"","parse-names":false,"suffix":""},{"dropping-particle":"","family":"Budaj","given":"Andrzej","non-dropping-particle":"","parse-names":false,"suffix":""},{"dropping-particle":"","family":"Niemelä","given":"Matti","non-dropping-particle":"","parse-names":false,"suffix":""},{"dropping-particle":"","family":"Valentin","given":"Vicent","non-dropping-particle":"","parse-names":false,"suffix":""},{"dropping-particle":"","family":"Lewis","given":"Basil S.","non-dropping-particle":"","parse-names":false,"suffix":""},{"dropping-particle":"","family":"Avezum","given":"Alvaro","non-dropping-particle":"","parse-names":false,"suffix":""},{"dropping-particle":"","family":"Steg","given":"Philippe Gabriel","non-dropping-particle":"","parse-names":false,"suffix":""},{"dropping-particle":"V.","family":"Rao","given":"Sunil","non-dropping-particle":"","parse-names":false,"suffix":""},{"dropping-particle":"","family":"Gao","given":"Peggy","non-dropping-particle":"","parse-names":false,"suffix":""},{"dropping-particle":"","family":"Afzal","given":"Rizwan","non-dropping-particle":"","parse-names":false,"suffix":""},{"dropping-particle":"","family":"Joyner","given":"Campbell D.","non-dropping-particle":"","parse-names":false,"suffix":""},{"dropping-particle":"","family":"Chrolavicius","given":"Susan","non-dropping-particle":"","parse-names":false,"suffix":""},{"dropping-particle":"","family":"Mehta","given":"Shamir R.","non-dropping-particle":"","parse-names":false,"suffix":""}],"container-title":"The Lancet","id":"ITEM-1","issue":"9775","issued":{"date-parts":[["2011"]]},"title":"Radial versus femoral access for coronary angiography and intervention in patients with acute coronary syndromes (RIVAL): A randomised, parallel group, multicentre trial","type":"article-journal","volume":"377"},"uris":["http://www.mendeley.com/documents/?uuid=1605aa10-d3c3-3731-b2cf-3e1f0f89920a"]}],"mendeley":{"formattedCitation":"(3)","plainTextFormattedCitation":"(3)","previouslyFormattedCitation":"(3)"},"properties":{"noteIndex":0},"schema":"https://github.com/citation-style-language/schema/raw/master/csl-citation.json"}</w:instrText>
      </w:r>
      <w:r w:rsidR="009711AF"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(3)</w:t>
      </w:r>
      <w:r w:rsidR="009711AF" w:rsidRPr="006B3495">
        <w:rPr>
          <w:rFonts w:asciiTheme="majorBidi" w:hAnsiTheme="majorBidi" w:cstheme="majorBidi"/>
          <w:sz w:val="24"/>
          <w:szCs w:val="24"/>
        </w:rPr>
        <w:fldChar w:fldCharType="end"/>
      </w:r>
      <w:r w:rsidR="009711AF" w:rsidRPr="006B3495">
        <w:rPr>
          <w:rFonts w:asciiTheme="majorBidi" w:hAnsiTheme="majorBidi" w:cstheme="majorBidi"/>
          <w:sz w:val="24"/>
          <w:szCs w:val="24"/>
        </w:rPr>
        <w:t xml:space="preserve"> </w:t>
      </w:r>
      <w:r w:rsidR="007E19B6" w:rsidRPr="006B3495">
        <w:rPr>
          <w:rFonts w:asciiTheme="majorBidi" w:hAnsiTheme="majorBidi" w:cstheme="majorBidi"/>
          <w:sz w:val="24"/>
          <w:szCs w:val="24"/>
        </w:rPr>
        <w:t>carried out a research study to evaluate the superiority of radial access over femoral access among individuals with acute coronary syndromes (ACS) undergoing coronary angiography (CAG) with potential intervention.</w:t>
      </w:r>
      <w:r w:rsidR="003960B9" w:rsidRPr="006B3495">
        <w:rPr>
          <w:rFonts w:asciiTheme="majorBidi" w:hAnsiTheme="majorBidi" w:cstheme="majorBidi"/>
          <w:sz w:val="24"/>
          <w:szCs w:val="24"/>
        </w:rPr>
        <w:t xml:space="preserve"> The trial was a randomised, parallel-group, multi</w:t>
      </w:r>
      <w:r w:rsidR="00781E28" w:rsidRPr="006B3495">
        <w:rPr>
          <w:rFonts w:asciiTheme="majorBidi" w:hAnsiTheme="majorBidi" w:cstheme="majorBidi"/>
          <w:sz w:val="24"/>
          <w:szCs w:val="24"/>
        </w:rPr>
        <w:t>centre</w:t>
      </w:r>
      <w:r w:rsidR="003960B9" w:rsidRPr="006B3495">
        <w:rPr>
          <w:rFonts w:asciiTheme="majorBidi" w:hAnsiTheme="majorBidi" w:cstheme="majorBidi"/>
          <w:sz w:val="24"/>
          <w:szCs w:val="24"/>
        </w:rPr>
        <w:t xml:space="preserve"> study comparing radial and femoral access for coronary intervention. </w:t>
      </w:r>
      <w:r w:rsidR="007774F0" w:rsidRPr="006B3495">
        <w:rPr>
          <w:rFonts w:asciiTheme="majorBidi" w:hAnsiTheme="majorBidi" w:cstheme="majorBidi"/>
          <w:sz w:val="24"/>
          <w:szCs w:val="24"/>
        </w:rPr>
        <w:t xml:space="preserve">The primary outcome was consisting of stroke, </w:t>
      </w:r>
      <w:r w:rsidR="00230396" w:rsidRPr="006B3495">
        <w:rPr>
          <w:rFonts w:asciiTheme="majorBidi" w:hAnsiTheme="majorBidi" w:cstheme="majorBidi"/>
          <w:sz w:val="24"/>
          <w:szCs w:val="24"/>
        </w:rPr>
        <w:t>mortality</w:t>
      </w:r>
      <w:r w:rsidR="007774F0" w:rsidRPr="006B3495">
        <w:rPr>
          <w:rFonts w:asciiTheme="majorBidi" w:hAnsiTheme="majorBidi" w:cstheme="majorBidi"/>
          <w:sz w:val="24"/>
          <w:szCs w:val="24"/>
        </w:rPr>
        <w:t>, myocardial infarction, or non-coronary artery bypass graft (non-CABG)-related major bleeding within 30 days.</w:t>
      </w:r>
      <w:r w:rsidR="00230396" w:rsidRPr="006B3495">
        <w:rPr>
          <w:rFonts w:asciiTheme="majorBidi" w:hAnsiTheme="majorBidi" w:cstheme="majorBidi"/>
          <w:sz w:val="24"/>
          <w:szCs w:val="24"/>
        </w:rPr>
        <w:t xml:space="preserve"> </w:t>
      </w:r>
      <w:r w:rsidR="005659F4" w:rsidRPr="006B3495">
        <w:rPr>
          <w:rFonts w:asciiTheme="majorBidi" w:hAnsiTheme="majorBidi" w:cstheme="majorBidi"/>
          <w:sz w:val="24"/>
          <w:szCs w:val="24"/>
        </w:rPr>
        <w:t xml:space="preserve">In the period from the sixth of June 2006 to the third of November 2010, a total of 7,021 patients had been recruited from 158 hospitals across 32 different countries. A total of 3,507 patients were randomly allocated to radial access, while 3,514 were allocated to femoral access. </w:t>
      </w:r>
      <w:r w:rsidR="000B42C1" w:rsidRPr="006B3495">
        <w:rPr>
          <w:rFonts w:asciiTheme="majorBidi" w:hAnsiTheme="majorBidi" w:cstheme="majorBidi"/>
          <w:sz w:val="24"/>
          <w:szCs w:val="24"/>
        </w:rPr>
        <w:t xml:space="preserve">The primary outcome was observed in 3.7% (n = 128) </w:t>
      </w:r>
      <w:r w:rsidR="000B42C1" w:rsidRPr="006B3495">
        <w:rPr>
          <w:rFonts w:asciiTheme="majorBidi" w:hAnsiTheme="majorBidi" w:cstheme="majorBidi"/>
          <w:sz w:val="24"/>
          <w:szCs w:val="24"/>
        </w:rPr>
        <w:lastRenderedPageBreak/>
        <w:t>of 3507 individuals in the radial access group, in contrast to 4.0% (n = 139) of 3514 in the femoral access group.</w:t>
      </w:r>
      <w:r w:rsidR="00A357CB" w:rsidRPr="006B3495">
        <w:rPr>
          <w:rFonts w:asciiTheme="majorBidi" w:hAnsiTheme="majorBidi" w:cstheme="majorBidi"/>
          <w:sz w:val="24"/>
          <w:szCs w:val="24"/>
        </w:rPr>
        <w:t xml:space="preserve"> </w:t>
      </w:r>
      <w:r w:rsidR="00204357" w:rsidRPr="006B3495">
        <w:rPr>
          <w:rFonts w:asciiTheme="majorBidi" w:hAnsiTheme="majorBidi" w:cstheme="majorBidi"/>
          <w:sz w:val="24"/>
          <w:szCs w:val="24"/>
        </w:rPr>
        <w:t>A notable interaction was observed between the primary outcome and the positive effects of radial access in high-volume radial centres, as well as among individuals suffering from ST-segment elevation myocardial infarction.</w:t>
      </w:r>
      <w:r w:rsidR="00A51BFD" w:rsidRPr="006B3495">
        <w:rPr>
          <w:rFonts w:asciiTheme="majorBidi" w:hAnsiTheme="majorBidi" w:cstheme="majorBidi"/>
          <w:sz w:val="24"/>
          <w:szCs w:val="24"/>
        </w:rPr>
        <w:t xml:space="preserve"> The </w:t>
      </w:r>
      <w:r w:rsidR="00122581" w:rsidRPr="006B3495">
        <w:rPr>
          <w:rFonts w:asciiTheme="majorBidi" w:hAnsiTheme="majorBidi" w:cstheme="majorBidi"/>
          <w:sz w:val="24"/>
          <w:szCs w:val="24"/>
        </w:rPr>
        <w:t xml:space="preserve">proportion </w:t>
      </w:r>
      <w:r w:rsidR="00A51BFD" w:rsidRPr="006B3495">
        <w:rPr>
          <w:rFonts w:asciiTheme="majorBidi" w:hAnsiTheme="majorBidi" w:cstheme="majorBidi"/>
          <w:sz w:val="24"/>
          <w:szCs w:val="24"/>
        </w:rPr>
        <w:t>of stroke, mortality, or myocardial infarction was 3.2% (n = 112) among 3507 individuals in the radial group, in comparison to 3.2% (n = 114) among 3514 individuals in the femoral group.</w:t>
      </w:r>
      <w:r w:rsidR="00122581" w:rsidRPr="006B3495">
        <w:rPr>
          <w:rFonts w:asciiTheme="majorBidi" w:hAnsiTheme="majorBidi" w:cstheme="majorBidi"/>
          <w:sz w:val="24"/>
          <w:szCs w:val="24"/>
        </w:rPr>
        <w:t xml:space="preserve"> While t</w:t>
      </w:r>
      <w:r w:rsidR="00EC74E8" w:rsidRPr="006B3495">
        <w:rPr>
          <w:rFonts w:asciiTheme="majorBidi" w:hAnsiTheme="majorBidi" w:cstheme="majorBidi"/>
          <w:sz w:val="24"/>
          <w:szCs w:val="24"/>
        </w:rPr>
        <w:t xml:space="preserve">he </w:t>
      </w:r>
      <w:r w:rsidR="00122581" w:rsidRPr="006B3495">
        <w:rPr>
          <w:rFonts w:asciiTheme="majorBidi" w:hAnsiTheme="majorBidi" w:cstheme="majorBidi"/>
          <w:sz w:val="24"/>
          <w:szCs w:val="24"/>
        </w:rPr>
        <w:t>proportion</w:t>
      </w:r>
      <w:r w:rsidR="00EC74E8" w:rsidRPr="006B3495">
        <w:rPr>
          <w:rFonts w:asciiTheme="majorBidi" w:hAnsiTheme="majorBidi" w:cstheme="majorBidi"/>
          <w:sz w:val="24"/>
          <w:szCs w:val="24"/>
        </w:rPr>
        <w:t xml:space="preserve"> of non-CABG-related major bleeding at 30 days was </w:t>
      </w:r>
      <w:r w:rsidR="00122581" w:rsidRPr="006B3495">
        <w:rPr>
          <w:rFonts w:asciiTheme="majorBidi" w:hAnsiTheme="majorBidi" w:cstheme="majorBidi"/>
          <w:sz w:val="24"/>
          <w:szCs w:val="24"/>
        </w:rPr>
        <w:t xml:space="preserve">0·7% </w:t>
      </w:r>
      <w:r w:rsidR="00EC74E8" w:rsidRPr="006B3495">
        <w:rPr>
          <w:rFonts w:asciiTheme="majorBidi" w:hAnsiTheme="majorBidi" w:cstheme="majorBidi"/>
          <w:sz w:val="24"/>
          <w:szCs w:val="24"/>
        </w:rPr>
        <w:t>(</w:t>
      </w:r>
      <w:r w:rsidR="00122581" w:rsidRPr="006B3495">
        <w:rPr>
          <w:rFonts w:asciiTheme="majorBidi" w:hAnsiTheme="majorBidi" w:cstheme="majorBidi"/>
          <w:sz w:val="24"/>
          <w:szCs w:val="24"/>
        </w:rPr>
        <w:t>n = 24</w:t>
      </w:r>
      <w:r w:rsidR="00EC74E8" w:rsidRPr="006B3495">
        <w:rPr>
          <w:rFonts w:asciiTheme="majorBidi" w:hAnsiTheme="majorBidi" w:cstheme="majorBidi"/>
          <w:sz w:val="24"/>
          <w:szCs w:val="24"/>
        </w:rPr>
        <w:t xml:space="preserve">) </w:t>
      </w:r>
      <w:r w:rsidR="00122581" w:rsidRPr="006B3495">
        <w:rPr>
          <w:rFonts w:asciiTheme="majorBidi" w:hAnsiTheme="majorBidi" w:cstheme="majorBidi"/>
          <w:sz w:val="24"/>
          <w:szCs w:val="24"/>
        </w:rPr>
        <w:t xml:space="preserve">among </w:t>
      </w:r>
      <w:r w:rsidR="00EC74E8" w:rsidRPr="006B3495">
        <w:rPr>
          <w:rFonts w:asciiTheme="majorBidi" w:hAnsiTheme="majorBidi" w:cstheme="majorBidi"/>
          <w:sz w:val="24"/>
          <w:szCs w:val="24"/>
        </w:rPr>
        <w:t xml:space="preserve">3507 </w:t>
      </w:r>
      <w:r w:rsidR="00122581" w:rsidRPr="006B3495">
        <w:rPr>
          <w:rFonts w:asciiTheme="majorBidi" w:hAnsiTheme="majorBidi" w:cstheme="majorBidi"/>
          <w:sz w:val="24"/>
          <w:szCs w:val="24"/>
        </w:rPr>
        <w:t xml:space="preserve">individuals </w:t>
      </w:r>
      <w:r w:rsidR="00EC74E8" w:rsidRPr="006B3495">
        <w:rPr>
          <w:rFonts w:asciiTheme="majorBidi" w:hAnsiTheme="majorBidi" w:cstheme="majorBidi"/>
          <w:sz w:val="24"/>
          <w:szCs w:val="24"/>
        </w:rPr>
        <w:t xml:space="preserve">in the radial group </w:t>
      </w:r>
      <w:r w:rsidR="00122581" w:rsidRPr="006B3495">
        <w:rPr>
          <w:rFonts w:asciiTheme="majorBidi" w:hAnsiTheme="majorBidi" w:cstheme="majorBidi"/>
          <w:sz w:val="24"/>
          <w:szCs w:val="24"/>
        </w:rPr>
        <w:t>in comparison to</w:t>
      </w:r>
      <w:r w:rsidR="00EC74E8" w:rsidRPr="006B3495">
        <w:rPr>
          <w:rFonts w:asciiTheme="majorBidi" w:hAnsiTheme="majorBidi" w:cstheme="majorBidi"/>
          <w:sz w:val="24"/>
          <w:szCs w:val="24"/>
        </w:rPr>
        <w:t xml:space="preserve"> </w:t>
      </w:r>
      <w:r w:rsidR="00122581" w:rsidRPr="006B3495">
        <w:rPr>
          <w:rFonts w:asciiTheme="majorBidi" w:hAnsiTheme="majorBidi" w:cstheme="majorBidi"/>
          <w:sz w:val="24"/>
          <w:szCs w:val="24"/>
        </w:rPr>
        <w:t xml:space="preserve">0·9% </w:t>
      </w:r>
      <w:r w:rsidR="00EC74E8" w:rsidRPr="006B3495">
        <w:rPr>
          <w:rFonts w:asciiTheme="majorBidi" w:hAnsiTheme="majorBidi" w:cstheme="majorBidi"/>
          <w:sz w:val="24"/>
          <w:szCs w:val="24"/>
        </w:rPr>
        <w:t>(</w:t>
      </w:r>
      <w:r w:rsidR="00122581" w:rsidRPr="006B3495">
        <w:rPr>
          <w:rFonts w:asciiTheme="majorBidi" w:hAnsiTheme="majorBidi" w:cstheme="majorBidi"/>
          <w:sz w:val="24"/>
          <w:szCs w:val="24"/>
        </w:rPr>
        <w:t>n = 33</w:t>
      </w:r>
      <w:r w:rsidR="00EC74E8" w:rsidRPr="006B3495">
        <w:rPr>
          <w:rFonts w:asciiTheme="majorBidi" w:hAnsiTheme="majorBidi" w:cstheme="majorBidi"/>
          <w:sz w:val="24"/>
          <w:szCs w:val="24"/>
        </w:rPr>
        <w:t xml:space="preserve">) </w:t>
      </w:r>
      <w:r w:rsidR="00122581" w:rsidRPr="006B3495">
        <w:rPr>
          <w:rFonts w:asciiTheme="majorBidi" w:hAnsiTheme="majorBidi" w:cstheme="majorBidi"/>
          <w:sz w:val="24"/>
          <w:szCs w:val="24"/>
        </w:rPr>
        <w:t xml:space="preserve">among </w:t>
      </w:r>
      <w:r w:rsidR="00EC74E8" w:rsidRPr="006B3495">
        <w:rPr>
          <w:rFonts w:asciiTheme="majorBidi" w:hAnsiTheme="majorBidi" w:cstheme="majorBidi"/>
          <w:sz w:val="24"/>
          <w:szCs w:val="24"/>
        </w:rPr>
        <w:t xml:space="preserve">3514 </w:t>
      </w:r>
      <w:r w:rsidR="00122581" w:rsidRPr="006B3495">
        <w:rPr>
          <w:rFonts w:asciiTheme="majorBidi" w:hAnsiTheme="majorBidi" w:cstheme="majorBidi"/>
          <w:sz w:val="24"/>
          <w:szCs w:val="24"/>
        </w:rPr>
        <w:t xml:space="preserve">individuals </w:t>
      </w:r>
      <w:r w:rsidR="00EC74E8" w:rsidRPr="006B3495">
        <w:rPr>
          <w:rFonts w:asciiTheme="majorBidi" w:hAnsiTheme="majorBidi" w:cstheme="majorBidi"/>
          <w:sz w:val="24"/>
          <w:szCs w:val="24"/>
        </w:rPr>
        <w:t xml:space="preserve">in the femoral group. </w:t>
      </w:r>
      <w:r w:rsidR="007D0F35" w:rsidRPr="006B3495">
        <w:rPr>
          <w:rFonts w:asciiTheme="majorBidi" w:hAnsiTheme="majorBidi" w:cstheme="majorBidi"/>
          <w:sz w:val="24"/>
          <w:szCs w:val="24"/>
        </w:rPr>
        <w:t>At 30 days, 42 out of 3507 individuals in the radial group experienced large hematoma, in comparison to 106 out of 3514 individuals in the femoral group. Pseudoaneurysm necessitating closure emerged in seven out of 3507 individuals among the radial group, whereas 23 out of 3514 individuals were among the femoral group.</w:t>
      </w:r>
      <w:r w:rsidR="00002A82" w:rsidRPr="006B3495">
        <w:rPr>
          <w:rFonts w:asciiTheme="majorBidi" w:hAnsiTheme="majorBidi" w:cstheme="majorBidi"/>
          <w:sz w:val="24"/>
          <w:szCs w:val="24"/>
        </w:rPr>
        <w:t xml:space="preserve"> The findings indicate that both femoral and radial accesses are effective and safe for PCI. The reduced incidence of local vascular complications could encourage the adoption of the radial access</w:t>
      </w:r>
      <w:r w:rsidRPr="006B3495">
        <w:rPr>
          <w:rFonts w:asciiTheme="majorBidi" w:hAnsiTheme="majorBidi" w:cstheme="majorBidi"/>
          <w:sz w:val="24"/>
          <w:szCs w:val="24"/>
        </w:rPr>
        <w:t xml:space="preserve"> </w:t>
      </w:r>
      <w:bookmarkStart w:id="34" w:name="_Hlk199722132"/>
      <w:r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{"citationItems":[{"id":"ITEM-1","itemData":{"DOI":"10.1016/S0140-6736(11)60404-2","ISSN":"01406736","abstract":"Background: Small trials have suggested that radial access for percutaneous coronary intervention (PCI) reduces vascular complications and bleeding compared with femoral access. We aimed to assess whether radial access was superior to femoral access in patients with acute coronary syndromes (ACS) who were undergoing coronary angiography with possible intervention. Methods: The RadIal Vs femorAL access for coronary intervention (RIVAL) trial was a randomised, parallel group, multicentre trial. Patients with ACS were randomly assigned (1:1) by a 24 h computerised central automated voice response system to radial or femoral artery access. The primary outcome was a composite of death, myocardial infarction, stroke, or non-coronary artery bypass graft (non-CABG)-related major bleeding at 30 days. Key secondary outcomes were death, myocardial infarction, or stroke; and non-CABG-related major bleeding at 30 days. A masked central committee adjudicated the primary outcome, components of the primary outcome, and stent thrombosis. All other outcomes were as reported by the investigators. Patients and investigators were not masked to treatment allocation. Analyses were by intention to treat. This trial is registered with ClinicalTrials.gov, NCT01014273. Findings: Between June 6, 2006, and Nov 3, 2010, 7021 patients were enrolled from 158 hospitals in 32 countries. 3507 patients were randomly assigned to radial access and 3514 to femoral access. The primary outcome occurred in 128 (3·7) of 3507 patients in the radial access group compared with 139 (4·0) of 3514 in the femoral access group (hazard ratio [HR] 0·92, 95 CI 0·72-1·17; p=0·50). Of the six prespecified subgroups, there was a significant interaction for the primary outcome with benefit for radial access in highest tertile volume radial centres (HR 0·49, 95 CI 0·28-0·87; p=0·015) and in patients with ST-segment elevation myocardial infarction (0·60, 0·38-0·94; p=0·026). The rate of death, myocardial infarction, or stroke at 30 days was 112 (3·2) of 3507 patients in the radial group compared with 114 (3·2) of 3514 in the femoral group (HR 0·98, 95 CI 0·76-1·28; p=0·90). The rate of non-CABG-related major bleeding at 30 days was 24 (0·7) of 3507 patients in the radial group compared with 33 (0·9) of 3514 patients in the femoral group (HR 0·73, 95 CI 0·43-1·23; p=0·23). At 30 days, 42 of 3507 patients in the radial group had large haematoma compared with 106 of 3514 in the femoral group (HR 0·40, 95 CI 0·28-0·…","author":[{"dropping-particle":"","family":"Jolly","given":"Sanjit S.","non-dropping-particle":"","parse-names":false,"suffix":""},{"dropping-particle":"","family":"Yusuf","given":"Salim","non-dropping-particle":"","parse-names":false,"suffix":""},{"dropping-particle":"","family":"Cairns","given":"John","non-dropping-particle":"","parse-names":false,"suffix":""},{"dropping-particle":"","family":"Niemelä","given":"Kari","non-dropping-particle":"","parse-names":false,"suffix":""},{"dropping-particle":"","family":"Xavier","given":"Denis","non-dropping-particle":"","parse-names":false,"suffix":""},{"dropping-particle":"","family":"Widimsky","given":"Petr","non-dropping-particle":"","parse-names":false,"suffix":""},{"dropping-particle":"","family":"Budaj","given":"Andrzej","non-dropping-particle":"","parse-names":false,"suffix":""},{"dropping-particle":"","family":"Niemelä","given":"Matti","non-dropping-particle":"","parse-names":false,"suffix":""},{"dropping-particle":"","family":"Valentin","given":"Vicent","non-dropping-particle":"","parse-names":false,"suffix":""},{"dropping-particle":"","family":"Lewis","given":"Basil S.","non-dropping-particle":"","parse-names":false,"suffix":""},{"dropping-particle":"","family":"Avezum","given":"Alvaro","non-dropping-particle":"","parse-names":false,"suffix":""},{"dropping-particle":"","family":"Steg","given":"Philippe Gabriel","non-dropping-particle":"","parse-names":false,"suffix":""},{"dropping-particle":"V.","family":"Rao","given":"Sunil","non-dropping-particle":"","parse-names":false,"suffix":""},{"dropping-particle":"","family":"Gao","given":"Peggy","non-dropping-particle":"","parse-names":false,"suffix":""},{"dropping-particle":"","family":"Afzal","given":"Rizwan","non-dropping-particle":"","parse-names":false,"suffix":""},{"dropping-particle":"","family":"Joyner","given":"Campbell D.","non-dropping-particle":"","parse-names":false,"suffix":""},{"dropping-particle":"","family":"Chrolavicius","given":"Susan","non-dropping-particle":"","parse-names":false,"suffix":""},{"dropping-particle":"","family":"Mehta","given":"Shamir R.","non-dropping-particle":"","parse-names":false,"suffix":""}],"container-title":"The Lancet","id":"ITEM-1","issue":"9775","issued":{"date-parts":[["2011"]]},"title":"Radial versus femoral access for coronary angiography and intervention in patients with acute coronary syndromes (RIVAL): A randomised, parallel group, multicentre trial","type":"article-journal","volume":"377"},"uris":["http://www.mendeley.com/documents/?uuid=1605aa10-d3c3-3731-b2cf-3e1f0f89920a"]}],"mendeley":{"formattedCitation":"(3)","plainTextFormattedCitation":"(3)","previouslyFormattedCitation":"(3)"},"properties":{"noteIndex":0},"schema":"https://github.com/citation-style-language/schema/raw/master/csl-citation.json"}</w:instrText>
      </w:r>
      <w:r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(3)</w:t>
      </w:r>
      <w:r w:rsidRPr="006B3495">
        <w:rPr>
          <w:rFonts w:asciiTheme="majorBidi" w:hAnsiTheme="majorBidi" w:cstheme="majorBidi"/>
          <w:sz w:val="24"/>
          <w:szCs w:val="24"/>
        </w:rPr>
        <w:fldChar w:fldCharType="end"/>
      </w:r>
      <w:bookmarkEnd w:id="34"/>
      <w:r w:rsidR="00002A82" w:rsidRPr="006B3495">
        <w:rPr>
          <w:rFonts w:asciiTheme="majorBidi" w:hAnsiTheme="majorBidi" w:cstheme="majorBidi"/>
          <w:sz w:val="24"/>
          <w:szCs w:val="24"/>
        </w:rPr>
        <w:t>.</w:t>
      </w:r>
    </w:p>
    <w:p w14:paraId="42EFAA47" w14:textId="23EF8834" w:rsidR="00D7577D" w:rsidRPr="006B3495" w:rsidRDefault="00A1205F"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Cizman </w:t>
      </w:r>
      <w:r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j.jvir.2015.12.637","ISSN":"10510443","author":[{"dropping-particle":"","family":"Cizman","given":"Z.","non-dropping-particle":"","parse-names":false,"suffix":""},{"dropping-particle":"","family":"Ciszak","given":"T.","non-dropping-particle":"","parse-names":false,"suffix":""},{"dropping-particle":"","family":"Camacho","given":"J.","non-dropping-particle":"","parse-names":false,"suffix":""},{"dropping-particle":"","family":"Gilliland","given":"C.","non-dropping-particle":"","parse-names":false,"suffix":""},{"dropping-particle":"","family":"Kies","given":"D.","non-dropping-particle":"","parse-names":false,"suffix":""}],"container-title":"Journal of Vascular and Interventional Radiology","id":"ITEM-1","issue":"3","issued":{"date-parts":[["2016"]]},"title":"Comparison of radial and femoral artery access for interventional oncology","type":"article-journal","volume":"27"},"uris":["http://www.mendeley.com/documents/?uuid=7deb8fbd-7c43-372a-af7f-77ba299cd6fc"]}],"mendeley":{"formattedCitation":"(19)","plainTextFormattedCitation":"(19)","previouslyFormattedCitation":"(19)"},"properties":{"noteIndex":0},"schema":"https://github.com/citation-style-language/schema/raw/master/csl-citation.json"}</w:instrText>
      </w:r>
      <w:r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(19)</w:t>
      </w:r>
      <w:r w:rsidRPr="006B3495">
        <w:rPr>
          <w:rFonts w:asciiTheme="majorBidi" w:hAnsiTheme="majorBidi" w:cstheme="majorBidi"/>
          <w:sz w:val="24"/>
          <w:szCs w:val="24"/>
        </w:rPr>
        <w:fldChar w:fldCharType="end"/>
      </w:r>
      <w:r w:rsidR="00A30E09" w:rsidRPr="006B3495">
        <w:rPr>
          <w:rFonts w:asciiTheme="majorBidi" w:hAnsiTheme="majorBidi" w:cstheme="majorBidi"/>
          <w:sz w:val="24"/>
          <w:szCs w:val="24"/>
        </w:rPr>
        <w:t xml:space="preserve"> conducted a research study comparing the complication rate of TFA versus TRA, mean fluoroscopy time, time to discharge and technical success rate for hepatic oncologic </w:t>
      </w:r>
      <w:r w:rsidR="00E915FA" w:rsidRPr="006B3495">
        <w:rPr>
          <w:rFonts w:asciiTheme="majorBidi" w:hAnsiTheme="majorBidi" w:cstheme="majorBidi"/>
          <w:sz w:val="24"/>
          <w:szCs w:val="24"/>
        </w:rPr>
        <w:t>procedures</w:t>
      </w:r>
      <w:r w:rsidR="00A30E09" w:rsidRPr="006B3495">
        <w:rPr>
          <w:rFonts w:asciiTheme="majorBidi" w:hAnsiTheme="majorBidi" w:cstheme="majorBidi"/>
          <w:sz w:val="24"/>
          <w:szCs w:val="24"/>
        </w:rPr>
        <w:t>.</w:t>
      </w:r>
      <w:r w:rsidR="00E915FA" w:rsidRPr="006B3495">
        <w:rPr>
          <w:rFonts w:asciiTheme="majorBidi" w:hAnsiTheme="majorBidi" w:cstheme="majorBidi"/>
          <w:sz w:val="24"/>
          <w:szCs w:val="24"/>
        </w:rPr>
        <w:t xml:space="preserve"> A retrospective analysis was conducted involving 20 individuals who undergone TRA for hepatic oncological procedures, all performed by a single user in an academic setting between August and September 2015.</w:t>
      </w:r>
      <w:r w:rsidR="00FB5CA9" w:rsidRPr="006B3495">
        <w:rPr>
          <w:rFonts w:asciiTheme="majorBidi" w:hAnsiTheme="majorBidi" w:cstheme="majorBidi"/>
          <w:sz w:val="24"/>
          <w:szCs w:val="24"/>
        </w:rPr>
        <w:t xml:space="preserve"> The review of electronic patient records was conducted to identify eligible individuals and document </w:t>
      </w:r>
      <w:r w:rsidR="00E509CF" w:rsidRPr="006B3495">
        <w:rPr>
          <w:rFonts w:asciiTheme="majorBidi" w:hAnsiTheme="majorBidi" w:cstheme="majorBidi"/>
          <w:sz w:val="24"/>
          <w:szCs w:val="24"/>
        </w:rPr>
        <w:t>rates of complication, time to discharge, technical success and fluoroscopy times.</w:t>
      </w:r>
      <w:r w:rsidR="00363C67" w:rsidRPr="006B3495">
        <w:rPr>
          <w:rFonts w:asciiTheme="majorBidi" w:hAnsiTheme="majorBidi" w:cstheme="majorBidi"/>
          <w:sz w:val="24"/>
          <w:szCs w:val="24"/>
        </w:rPr>
        <w:t xml:space="preserve"> The findings indicated that the rate of technical success is 100% for TRA. The mean fluoroscopy duration was quite 18.35 minutes, with a total discharge time of two hours and 46 minutes. The TFA group exhibited a mean fluoroscopy time of 15.36 minutes, with a discharge </w:t>
      </w:r>
      <w:r w:rsidR="00363C67" w:rsidRPr="006B3495">
        <w:rPr>
          <w:rFonts w:asciiTheme="majorBidi" w:hAnsiTheme="majorBidi" w:cstheme="majorBidi"/>
          <w:sz w:val="24"/>
          <w:szCs w:val="24"/>
        </w:rPr>
        <w:lastRenderedPageBreak/>
        <w:t>time of three hours and three minutes.</w:t>
      </w:r>
      <w:r w:rsidR="000B312E" w:rsidRPr="006B3495">
        <w:rPr>
          <w:rFonts w:asciiTheme="majorBidi" w:hAnsiTheme="majorBidi" w:cstheme="majorBidi"/>
          <w:sz w:val="24"/>
          <w:szCs w:val="24"/>
        </w:rPr>
        <w:t xml:space="preserve"> Haemostasis throughout transradial access was achieved using a TR Band (Terumo). All TFA cases utilised a mechanical closure device. No major or minor complications were observed in the TRA group. Two minor complications, specifically haematomas, were observed in the TRF group. A major complication (sepsis after emboli</w:t>
      </w:r>
      <w:r w:rsidR="005B0009" w:rsidRPr="006B3495">
        <w:rPr>
          <w:rFonts w:asciiTheme="majorBidi" w:hAnsiTheme="majorBidi" w:cstheme="majorBidi"/>
          <w:sz w:val="24"/>
          <w:szCs w:val="24"/>
        </w:rPr>
        <w:t>z</w:t>
      </w:r>
      <w:r w:rsidR="000B312E" w:rsidRPr="006B3495">
        <w:rPr>
          <w:rFonts w:asciiTheme="majorBidi" w:hAnsiTheme="majorBidi" w:cstheme="majorBidi"/>
          <w:sz w:val="24"/>
          <w:szCs w:val="24"/>
        </w:rPr>
        <w:t>ation) in the TRF group was not associated with the access site.</w:t>
      </w:r>
      <w:r w:rsidR="00D7577D" w:rsidRPr="006B3495">
        <w:rPr>
          <w:rFonts w:asciiTheme="majorBidi" w:hAnsiTheme="majorBidi" w:cstheme="majorBidi"/>
          <w:sz w:val="24"/>
          <w:szCs w:val="24"/>
        </w:rPr>
        <w:t xml:space="preserve"> The findings indicate that there is no statistically significant rise in fluoroscopy time or reduction in in time to discharge associated with radial artery access during hepatic oncologic procedures</w:t>
      </w:r>
      <w:r w:rsidRPr="006B3495">
        <w:rPr>
          <w:rFonts w:asciiTheme="majorBidi" w:hAnsiTheme="majorBidi" w:cstheme="majorBidi"/>
          <w:sz w:val="24"/>
          <w:szCs w:val="24"/>
        </w:rPr>
        <w:t xml:space="preserve"> </w:t>
      </w:r>
      <w:r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j.jvir.2015.12.637","ISSN":"10510443","author":[{"dropping-particle":"","family":"Cizman","given":"Z.","non-dropping-particle":"","parse-names":false,"suffix":""},{"dropping-particle":"","family":"Ciszak","given":"T.","non-dropping-particle":"","parse-names":false,"suffix":""},{"dropping-particle":"","family":"Camacho","given":"J.","non-dropping-particle":"","parse-names":false,"suffix":""},{"dropping-particle":"","family":"Gilliland","given":"C.","non-dropping-particle":"","parse-names":false,"suffix":""},{"dropping-particle":"","family":"Kies","given":"D.","non-dropping-particle":"","parse-names":false,"suffix":""}],"container-title":"Journal of Vascular and Interventional Radiology","id":"ITEM-1","issue":"3","issued":{"date-parts":[["2016"]]},"title":"Comparison of radial and femoral artery access for interventional oncology","type":"article-journal","volume":"27"},"uris":["http://www.mendeley.com/documents/?uuid=7deb8fbd-7c43-372a-af7f-77ba299cd6fc"]}],"mendeley":{"formattedCitation":"(19)","plainTextFormattedCitation":"(19)","previouslyFormattedCitation":"(19)"},"properties":{"noteIndex":0},"schema":"https://github.com/citation-style-language/schema/raw/master/csl-citation.json"}</w:instrText>
      </w:r>
      <w:r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(19)</w:t>
      </w:r>
      <w:r w:rsidRPr="006B3495">
        <w:rPr>
          <w:rFonts w:asciiTheme="majorBidi" w:hAnsiTheme="majorBidi" w:cstheme="majorBidi"/>
          <w:sz w:val="24"/>
          <w:szCs w:val="24"/>
        </w:rPr>
        <w:fldChar w:fldCharType="end"/>
      </w:r>
      <w:r w:rsidR="00D7577D" w:rsidRPr="006B3495">
        <w:rPr>
          <w:rFonts w:asciiTheme="majorBidi" w:hAnsiTheme="majorBidi" w:cstheme="majorBidi"/>
          <w:sz w:val="24"/>
          <w:szCs w:val="24"/>
        </w:rPr>
        <w:t>.</w:t>
      </w:r>
    </w:p>
    <w:p w14:paraId="4C78BE1E" w14:textId="040F2AF9" w:rsidR="006C3246"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Also, </w:t>
      </w:r>
      <w:r w:rsidR="00063F19" w:rsidRPr="006B3495">
        <w:rPr>
          <w:rFonts w:asciiTheme="majorBidi" w:hAnsiTheme="majorBidi" w:cstheme="majorBidi"/>
          <w:sz w:val="24"/>
          <w:szCs w:val="24"/>
        </w:rPr>
        <w:t xml:space="preserve">Hu </w:t>
      </w:r>
      <w:r w:rsidR="00063F19"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{"citationItems":[{"id":"ITEM-1","itemData":{"DOI":"10.1111/j.1540-8183.2012.00732.x","ISSN":"08964327","abstract":"Objective: To compare safety and efficacy between the radial and femoral approach for percutaneous coronary intervention (PCI) in patients aged 80 years and older. Method: Two hundred sixty-eight elderly patients (80-97 years old, 176 men) who underwent elective PCI between May 2003 and May 2007 were included in this study: the femoral (hereinafter referred to as the Femoral Approach Group) approach was used on 156 patients and radial (Radial Approach Group) on 112 patients. Clinical and procedural characteristics and the incidence of in-hospital major adverse cardiac events (MACE, including cardiac death, nonfatal myocardial infarction, and target lesion revascularization) were compared between the 2 groups. Results: Procedural success rate was similar and &gt;95% for both approaches. The radial approach was associated with longer cannulation (3.0 ± 2.8 minutes vs. 2.0 ± 1.9 minutes, P &lt; 0.001), fluoroscopy time (23 ± 15 minutes vs. 19 ± 12 minutes, P = 0.03) and higher rate of crossover to an alternative access site (9.8% vs. 3.8%, P = 0.02) compared with the femoral approach, while ambulation time (5 ± 2 hours vs. 20 ± 4 hours, P &lt; 0.001), and rates of access site bleeding (2.7% vs. 9.6%, P = 0.004), hematoma (4.5% vs. 10.9%, P = 0.006), or any vascular complication (7.1% vs. 23.7%, P &lt; 0.001) were significantly reduced with the radial approach as opposed to femoral. Multivariate regression identifies the radial approach (OR = 0.25, CI = 0.09-0.75) as an independent negative predictor of postprocedural vascular complications. Conclusion: When compared to the femoral approach, PCI with the radial approach significantly reduces rates of vascular complications in high-risk populations of patients aged 80 years and older. However, efficacy and procedural success rates were similar for both groups whereas cannulation and fluoroscopy time longer and puncture failure rate higher with the radial approach than femoral. (J Interven Cardiol 2012;25:513-517) ©2012, Wiley Periodicals, Inc.","author":[{"dropping-particle":"","family":"Hu","given":"Fenghuan","non-dropping-particle":"","parse-names":false,"suffix":""},{"dropping-particle":"","family":"Yang","given":"Yuejin","non-dropping-particle":"","parse-names":false,"suffix":""},{"dropping-particle":"","family":"Qiao","given":"Shubin","non-dropping-particle":"","parse-names":false,"suffix":""},{"dropping-particle":"","family":"Xu","given":"Bo","non-dropping-particle":"","parse-names":false,"suffix":""},{"dropping-particle":"","family":"Liu","given":"Haibo","non-dropping-particle":"","parse-names":false,"suffix":""},{"dropping-particle":"","family":"Wu","given":"Yongjian","non-dropping-particle":"","parse-names":false,"suffix":""},{"dropping-particle":"","family":"Chen","given":"Jue","non-dropping-particle":"","parse-names":false,"suffix":""},{"dropping-particle":"","family":"You","given":"Shijie","non-dropping-particle":"","parse-names":false,"suffix":""},{"dropping-particle":"","family":"Chen","given":"Jilin","non-dropping-particle":"","parse-names":false,"suffix":""},{"dropping-particle":"","family":"Gao","given":"Runlin","non-dropping-particle":"","parse-names":false,"suffix":""}],"container-title":"Journal of Interventional Cardiology","id":"ITEM-1","issue":"5","issued":{"date-parts":[["2012"]]},"title":"Comparison between radial and femoral approach for percutaneous coronary intervention in patients aged 80 years or older","type":"article-journal","volume":"25"},"uris":["http://www.mendeley.com/documents/?uuid=a8566ffb-8e6b-3ffb-8523-05b2ffcd052d"]}],"mendeley":{"formattedCitation":"(20)","plainTextFormattedCitation":"(20)","previouslyFormattedCitation":"(20)"},"properties":{"noteIndex":0},"schema":"https://github.com/citation-style-language/schema/raw/master/csl-citation.json"}</w:instrText>
      </w:r>
      <w:r w:rsidR="00063F19"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(20)</w:t>
      </w:r>
      <w:r w:rsidR="00063F19" w:rsidRPr="006B3495">
        <w:rPr>
          <w:rFonts w:asciiTheme="majorBidi" w:hAnsiTheme="majorBidi" w:cstheme="majorBidi"/>
          <w:sz w:val="24"/>
          <w:szCs w:val="24"/>
        </w:rPr>
        <w:fldChar w:fldCharType="end"/>
      </w:r>
      <w:r w:rsidR="00063F19" w:rsidRPr="006B3495">
        <w:rPr>
          <w:rFonts w:asciiTheme="majorBidi" w:hAnsiTheme="majorBidi" w:cstheme="majorBidi"/>
          <w:sz w:val="24"/>
          <w:szCs w:val="24"/>
        </w:rPr>
        <w:t xml:space="preserve"> </w:t>
      </w:r>
      <w:r w:rsidR="00D764DE" w:rsidRPr="006B3495">
        <w:rPr>
          <w:rFonts w:asciiTheme="majorBidi" w:hAnsiTheme="majorBidi" w:cstheme="majorBidi"/>
          <w:sz w:val="24"/>
          <w:szCs w:val="24"/>
        </w:rPr>
        <w:t xml:space="preserve">conducted a research investigation to evaluate the safety and efficacy of radial versus femoral access for PCI among individuals aged 80 years old and getting older. A total of 268 elderly patients (aged 80–97 years, comprising 176 men) who experienced elective percutaneous coronary intervention (PCI) from May 2003 to May 2007 were enrolled in the investigation. Femoral access was utilized in 156 individuals, while radial access was employed in 112 individuals. </w:t>
      </w:r>
      <w:r w:rsidR="004C1C59" w:rsidRPr="006B3495">
        <w:rPr>
          <w:rFonts w:asciiTheme="majorBidi" w:hAnsiTheme="majorBidi" w:cstheme="majorBidi"/>
          <w:sz w:val="24"/>
          <w:szCs w:val="24"/>
        </w:rPr>
        <w:t>The procedural and clinical characteristics, as well as the percentage of in-hospital MACE, which involves target lesion revascularization, nonfatal myocardial infarction, and cardiac death have been compared among radial and femoral access.</w:t>
      </w:r>
      <w:r w:rsidR="00F02EEE" w:rsidRPr="006B3495">
        <w:rPr>
          <w:rFonts w:asciiTheme="majorBidi" w:hAnsiTheme="majorBidi" w:cstheme="majorBidi"/>
          <w:sz w:val="24"/>
          <w:szCs w:val="24"/>
        </w:rPr>
        <w:t xml:space="preserve"> </w:t>
      </w:r>
      <w:r w:rsidR="00F21996" w:rsidRPr="006B3495">
        <w:rPr>
          <w:rFonts w:asciiTheme="majorBidi" w:hAnsiTheme="majorBidi" w:cstheme="majorBidi"/>
          <w:sz w:val="24"/>
          <w:szCs w:val="24"/>
        </w:rPr>
        <w:t>It demonstrated that the rate of procedural success was comparable, exceeding 95% for both accesses.</w:t>
      </w:r>
      <w:r w:rsidR="00DB12BC" w:rsidRPr="006B3495">
        <w:rPr>
          <w:rFonts w:asciiTheme="majorBidi" w:hAnsiTheme="majorBidi" w:cstheme="majorBidi"/>
          <w:sz w:val="24"/>
          <w:szCs w:val="24"/>
        </w:rPr>
        <w:t xml:space="preserve"> Radial access demonstrated a greater incidence of crossover to alternative access sites (9.8% vs. 3.8%, P = 0.02), increased fluoroscopy duration (23 ± 15 minutes vs. 19 ± 12 minutes, P = 0.03), and greater cannulation times (3.0 ± 2.8 minutes vs. 2.0 ± 1.9 minutes, P &lt; 0.001), when compared to femoral access.</w:t>
      </w:r>
      <w:r w:rsidR="007A0609" w:rsidRPr="006B3495">
        <w:rPr>
          <w:rFonts w:asciiTheme="majorBidi" w:hAnsiTheme="majorBidi" w:cstheme="majorBidi"/>
          <w:sz w:val="24"/>
          <w:szCs w:val="24"/>
        </w:rPr>
        <w:t xml:space="preserve"> Conversely, haematoma (4.5% vs. 10.9%, P = 0.006), rates of access site bleeding (2.7% vs. 9.6%, P = 0.004), ambulation times (5 ± 2 hours vs. 20 ± 4 hours, P &lt; 0.001), and any vascular complications (7.1% vs. 23.7%, P &lt; 0.001) were considerably fewer with radial access in comparison to femoral access.</w:t>
      </w:r>
      <w:r w:rsidR="003779AB" w:rsidRPr="006B3495">
        <w:rPr>
          <w:rFonts w:asciiTheme="majorBidi" w:hAnsiTheme="majorBidi" w:cstheme="majorBidi"/>
          <w:sz w:val="24"/>
          <w:szCs w:val="24"/>
        </w:rPr>
        <w:t xml:space="preserve"> Multivariate </w:t>
      </w:r>
      <w:r w:rsidR="003779AB" w:rsidRPr="006B3495">
        <w:rPr>
          <w:rFonts w:asciiTheme="majorBidi" w:hAnsiTheme="majorBidi" w:cstheme="majorBidi"/>
          <w:sz w:val="24"/>
          <w:szCs w:val="24"/>
        </w:rPr>
        <w:lastRenderedPageBreak/>
        <w:t>regression analysis reveals that radial access independently predicts a lower likelihood of postprocedural vascular complications (OR = 0.25, CI = 0.09–0.75).</w:t>
      </w:r>
      <w:r w:rsidR="00640F81" w:rsidRPr="006B3495">
        <w:rPr>
          <w:rFonts w:asciiTheme="majorBidi" w:hAnsiTheme="majorBidi" w:cstheme="majorBidi"/>
          <w:sz w:val="24"/>
          <w:szCs w:val="24"/>
        </w:rPr>
        <w:t xml:space="preserve"> In conclusion, radial access for PCI markedly decreases the incidence of vascular complications among high-risk patients aged 80 and above, in comparison to femoral access. </w:t>
      </w:r>
      <w:r w:rsidR="006C3246" w:rsidRPr="006B3495">
        <w:rPr>
          <w:rFonts w:asciiTheme="majorBidi" w:hAnsiTheme="majorBidi" w:cstheme="majorBidi"/>
          <w:sz w:val="24"/>
          <w:szCs w:val="24"/>
        </w:rPr>
        <w:t>Nonetheless, effectiveness and procedural success rates were comparable for both of the groups, while the duration of cannulation and fluoroscopy was extended, and the rate of puncture failure was elevated with radial access compared to femoral access</w:t>
      </w:r>
      <w:r w:rsidR="00063F19" w:rsidRPr="006B3495">
        <w:rPr>
          <w:rFonts w:asciiTheme="majorBidi" w:hAnsiTheme="majorBidi" w:cstheme="majorBidi"/>
          <w:sz w:val="24"/>
          <w:szCs w:val="24"/>
        </w:rPr>
        <w:t xml:space="preserve"> </w:t>
      </w:r>
      <w:r w:rsidR="00063F19"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{"citationItems":[{"id":"ITEM-1","itemData":{"DOI":"10.1111/j.1540-8183.2012.00732.x","ISSN":"08964327","abstract":"Objective: To compare safety and efficacy between the radial and femoral approach for percutaneous coronary intervention (PCI) in patients aged 80 years and older. Method: Two hundred sixty-eight elderly patients (80-97 years old, 176 men) who underwent elective PCI between May 2003 and May 2007 were included in this study: the femoral (hereinafter referred to as the Femoral Approach Group) approach was used on 156 patients and radial (Radial Approach Group) on 112 patients. Clinical and procedural characteristics and the incidence of in-hospital major adverse cardiac events (MACE, including cardiac death, nonfatal myocardial infarction, and target lesion revascularization) were compared between the 2 groups. Results: Procedural success rate was similar and &gt;95% for both approaches. The radial approach was associated with longer cannulation (3.0 ± 2.8 minutes vs. 2.0 ± 1.9 minutes, P &lt; 0.001), fluoroscopy time (23 ± 15 minutes vs. 19 ± 12 minutes, P = 0.03) and higher rate of crossover to an alternative access site (9.8% vs. 3.8%, P = 0.02) compared with the femoral approach, while ambulation time (5 ± 2 hours vs. 20 ± 4 hours, P &lt; 0.001), and rates of access site bleeding (2.7% vs. 9.6%, P = 0.004), hematoma (4.5% vs. 10.9%, P = 0.006), or any vascular complication (7.1% vs. 23.7%, P &lt; 0.001) were significantly reduced with the radial approach as opposed to femoral. Multivariate regression identifies the radial approach (OR = 0.25, CI = 0.09-0.75) as an independent negative predictor of postprocedural vascular complications. Conclusion: When compared to the femoral approach, PCI with the radial approach significantly reduces rates of vascular complications in high-risk populations of patients aged 80 years and older. However, efficacy and procedural success rates were similar for both groups whereas cannulation and fluoroscopy time longer and puncture failure rate higher with the radial approach than femoral. (J Interven Cardiol 2012;25:513-517) ©2012, Wiley Periodicals, Inc.","author":[{"dropping-particle":"","family":"Hu","given":"Fenghuan","non-dropping-particle":"","parse-names":false,"suffix":""},{"dropping-particle":"","family":"Yang","given":"Yuejin","non-dropping-particle":"","parse-names":false,"suffix":""},{"dropping-particle":"","family":"Qiao","given":"Shubin","non-dropping-particle":"","parse-names":false,"suffix":""},{"dropping-particle":"","family":"Xu","given":"Bo","non-dropping-particle":"","parse-names":false,"suffix":""},{"dropping-particle":"","family":"Liu","given":"Haibo","non-dropping-particle":"","parse-names":false,"suffix":""},{"dropping-particle":"","family":"Wu","given":"Yongjian","non-dropping-particle":"","parse-names":false,"suffix":""},{"dropping-particle":"","family":"Chen","given":"Jue","non-dropping-particle":"","parse-names":false,"suffix":""},{"dropping-particle":"","family":"You","given":"Shijie","non-dropping-particle":"","parse-names":false,"suffix":""},{"dropping-particle":"","family":"Chen","given":"Jilin","non-dropping-particle":"","parse-names":false,"suffix":""},{"dropping-particle":"","family":"Gao","given":"Runlin","non-dropping-particle":"","parse-names":false,"suffix":""}],"container-title":"Journal of Interventional Cardiology","id":"ITEM-1","issue":"5","issued":{"date-parts":[["2012"]]},"title":"Comparison between radial and femoral approach for percutaneous coronary intervention in patients aged 80 years or older","type":"article-journal","volume":"25"},"uris":["http://www.mendeley.com/documents/?uuid=a8566ffb-8e6b-3ffb-8523-05b2ffcd052d"]}],"mendeley":{"formattedCitation":"(20)","plainTextFormattedCitation":"(20)","previouslyFormattedCitation":"(20)"},"properties":{"noteIndex":0},"schema":"https://github.com/citation-style-language/schema/raw/master/csl-citation.json"}</w:instrText>
      </w:r>
      <w:r w:rsidR="00063F19"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(20)</w:t>
      </w:r>
      <w:r w:rsidR="00063F19" w:rsidRPr="006B3495">
        <w:rPr>
          <w:rFonts w:asciiTheme="majorBidi" w:hAnsiTheme="majorBidi" w:cstheme="majorBidi"/>
          <w:sz w:val="24"/>
          <w:szCs w:val="24"/>
        </w:rPr>
        <w:fldChar w:fldCharType="end"/>
      </w:r>
      <w:r w:rsidR="006C3246" w:rsidRPr="006B3495">
        <w:rPr>
          <w:rFonts w:asciiTheme="majorBidi" w:hAnsiTheme="majorBidi" w:cstheme="majorBidi"/>
          <w:sz w:val="24"/>
          <w:szCs w:val="24"/>
        </w:rPr>
        <w:t>.</w:t>
      </w:r>
    </w:p>
    <w:p w14:paraId="10309375" w14:textId="4A4DE8FE" w:rsidR="00F82AAA" w:rsidRPr="006B3495" w:rsidRDefault="0035091F"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Additionally, </w:t>
      </w:r>
      <w:r w:rsidR="00547C8C" w:rsidRPr="006B3495">
        <w:rPr>
          <w:rFonts w:asciiTheme="majorBidi" w:hAnsiTheme="majorBidi" w:cstheme="majorBidi"/>
          <w:sz w:val="24"/>
          <w:szCs w:val="24"/>
        </w:rPr>
        <w:t xml:space="preserve">Wu </w:t>
      </w:r>
      <w:r w:rsidR="00547C8C"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{"citationItems":[{"id":"ITEM-1","itemData":{"DOI":"10.1186/s12872-015-0022-4","ISSN":"14712261","abstract":"Background: Vascular closure devices such as angioseal are used as alternatives to traditional compression haemostasis. Although the safety and efficacy of angioseal are confirmed, their use remains controversial because of the potential complications of these devices compared with those of traditional compression haemostasis. The aim of this study was to compare the access site complication rate, the predictive factors for these complications, and patient comfort levels after coronary procedures with traditional compression or angioseal haemostasis. Methods: Data were collected from a cardiac unit in a medical center in northern Taiwan. A total of 130 adult patients were recruited and equally divided into two groups according to the method of haemostasis used after the coronary procedure: a traditional compression group and an angioseal group. We observed the incidence of access site complications, including bleeding, oozing, haematoma formation, and arteriovenous fistula formation. In addition, we used a 0-10 numeric rating scale to assess soreness, numbness, and back and groin access site pain after 1 h of catheter removal and immediately before getting out of bed. Results: The overall incidence of complications was 3.8 % (n = 5), which was not significantly different between the two groups (p = .06). The propensity score-adjusted multivariate analyses revealed that the only independent predictor for access site complications was an age of &gt;70 years (OR, 10.44; 95 % CI, 1.81-60.06; p = .009). Comfort levels were higher in the angioseal group than in the traditional compression group. Conclusions: Angioseal used after coronary procedures did not increase the incidence of complications relative to that associated with traditional compression haemostasis; however, it increased patient comfort levels. Health personnel should pay special attention to the predictive factor for access site complications after coronary procedures, such as age &gt;70 years.","author":[{"dropping-particle":"","family":"Wu","given":"Pei Jung","non-dropping-particle":"","parse-names":false,"suffix":""},{"dropping-particle":"","family":"Dai","given":"Yu Tzu","non-dropping-particle":"","parse-names":false,"suffix":""},{"dropping-particle":"","family":"Kao","given":"Hsien Li","non-dropping-particle":"","parse-names":false,"suffix":""},{"dropping-particle":"","family":"Chang","given":"Chin Hao","non-dropping-particle":"","parse-names":false,"suffix":""},{"dropping-particle":"","family":"Lou","given":"Meei Fang","non-dropping-particle":"","parse-names":false,"suffix":""}],"container-title":"BMC Cardiovascular Disorders","id":"ITEM-1","issue":"1","issued":{"date-parts":[["2015"]]},"title":"Access site complications following transfemoral coronary procedures: Comparison between traditional compression and angioseal vascular closure devices for haemostasis","type":"article-journal","volume":"15"},"uris":["http://www.mendeley.com/documents/?uuid=0afb3c02-ec7e-3a99-a855-22138fdd2ec1"]}],"mendeley":{"formattedCitation":"(21)","plainTextFormattedCitation":"(21)","previouslyFormattedCitation":"(21)"},"properties":{"noteIndex":0},"schema":"https://github.com/citation-style-language/schema/raw/master/csl-citation.json"}</w:instrText>
      </w:r>
      <w:r w:rsidR="00547C8C"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(21)</w:t>
      </w:r>
      <w:r w:rsidR="00547C8C" w:rsidRPr="006B3495">
        <w:rPr>
          <w:rFonts w:asciiTheme="majorBidi" w:hAnsiTheme="majorBidi" w:cstheme="majorBidi"/>
          <w:sz w:val="24"/>
          <w:szCs w:val="24"/>
        </w:rPr>
        <w:fldChar w:fldCharType="end"/>
      </w:r>
      <w:r w:rsidR="00547C8C" w:rsidRPr="006B3495">
        <w:rPr>
          <w:rFonts w:asciiTheme="majorBidi" w:hAnsiTheme="majorBidi" w:cstheme="majorBidi"/>
          <w:sz w:val="24"/>
          <w:szCs w:val="24"/>
        </w:rPr>
        <w:t xml:space="preserve"> </w:t>
      </w:r>
      <w:r w:rsidRPr="006B3495">
        <w:rPr>
          <w:rFonts w:asciiTheme="majorBidi" w:hAnsiTheme="majorBidi" w:cstheme="majorBidi"/>
          <w:sz w:val="24"/>
          <w:szCs w:val="24"/>
        </w:rPr>
        <w:t>performed research evaluating the complication rates at access sites, the predicted variables for these complications, and comfort levels for patients following coronary interventions using either angioseal haemostasis or traditional compression. Data was obtained from a cardiovascular unit at a medical centre located in northern Taiwan.</w:t>
      </w:r>
      <w:r w:rsidR="000B57FE" w:rsidRPr="006B3495">
        <w:rPr>
          <w:rFonts w:asciiTheme="majorBidi" w:hAnsiTheme="majorBidi" w:cstheme="majorBidi"/>
          <w:sz w:val="24"/>
          <w:szCs w:val="24"/>
        </w:rPr>
        <w:t xml:space="preserve"> The total of 130 adult participants were chosen to participate and evenly allocated into two different groups based on the haemostasis method employed following the coronary intervention: an angioseal group and a traditional compression group. </w:t>
      </w:r>
      <w:r w:rsidR="00EC74E8" w:rsidRPr="006B3495">
        <w:rPr>
          <w:rFonts w:asciiTheme="majorBidi" w:hAnsiTheme="majorBidi" w:cstheme="majorBidi"/>
          <w:sz w:val="24"/>
          <w:szCs w:val="24"/>
        </w:rPr>
        <w:t xml:space="preserve">The </w:t>
      </w:r>
      <w:r w:rsidR="00B65C17" w:rsidRPr="006B3495">
        <w:rPr>
          <w:rFonts w:asciiTheme="majorBidi" w:hAnsiTheme="majorBidi" w:cstheme="majorBidi"/>
          <w:sz w:val="24"/>
          <w:szCs w:val="24"/>
        </w:rPr>
        <w:t>study demonstrated that</w:t>
      </w:r>
      <w:r w:rsidR="00EC74E8" w:rsidRPr="006B3495">
        <w:rPr>
          <w:rFonts w:asciiTheme="majorBidi" w:hAnsiTheme="majorBidi" w:cstheme="majorBidi"/>
          <w:sz w:val="24"/>
          <w:szCs w:val="24"/>
        </w:rPr>
        <w:t xml:space="preserve"> the incidence of </w:t>
      </w:r>
      <w:r w:rsidR="00B65C17" w:rsidRPr="006B3495">
        <w:rPr>
          <w:rFonts w:asciiTheme="majorBidi" w:hAnsiTheme="majorBidi" w:cstheme="majorBidi"/>
          <w:sz w:val="24"/>
          <w:szCs w:val="24"/>
        </w:rPr>
        <w:t xml:space="preserve">complications in </w:t>
      </w:r>
      <w:r w:rsidR="00EC74E8" w:rsidRPr="006B3495">
        <w:rPr>
          <w:rFonts w:asciiTheme="majorBidi" w:hAnsiTheme="majorBidi" w:cstheme="majorBidi"/>
          <w:sz w:val="24"/>
          <w:szCs w:val="24"/>
        </w:rPr>
        <w:t xml:space="preserve">access site, including </w:t>
      </w:r>
      <w:r w:rsidR="001E1775" w:rsidRPr="006B3495">
        <w:rPr>
          <w:rFonts w:asciiTheme="majorBidi" w:hAnsiTheme="majorBidi" w:cstheme="majorBidi"/>
          <w:sz w:val="24"/>
          <w:szCs w:val="24"/>
        </w:rPr>
        <w:t>bleeding, arteriovenous fistula formation, haematoma formation, and Oozing</w:t>
      </w:r>
      <w:r w:rsidR="00EC74E8" w:rsidRPr="006B3495">
        <w:rPr>
          <w:rFonts w:asciiTheme="majorBidi" w:hAnsiTheme="majorBidi" w:cstheme="majorBidi"/>
          <w:sz w:val="24"/>
          <w:szCs w:val="24"/>
        </w:rPr>
        <w:t xml:space="preserve">. </w:t>
      </w:r>
      <w:r w:rsidR="00B94913" w:rsidRPr="006B3495">
        <w:rPr>
          <w:rFonts w:asciiTheme="majorBidi" w:hAnsiTheme="majorBidi" w:cstheme="majorBidi"/>
          <w:sz w:val="24"/>
          <w:szCs w:val="24"/>
        </w:rPr>
        <w:t>Furthermore, a 0-10 numeric rating scale was employed to evaluate numbness, soreness, and pain at the back and groin access sites one-hour post-catheter removal and immediately prior to ambulation.</w:t>
      </w:r>
      <w:r w:rsidR="00F82AAA" w:rsidRPr="006B3495">
        <w:rPr>
          <w:rFonts w:ascii="Times New Roman" w:eastAsia="Times New Roman" w:hAnsi="Times New Roman" w:cs="Times New Roman"/>
          <w:sz w:val="24"/>
          <w:szCs w:val="24"/>
          <w:lang w:eastAsia="en-GB"/>
        </w:rPr>
        <w:t xml:space="preserve"> </w:t>
      </w:r>
      <w:r w:rsidR="00F82AAA" w:rsidRPr="006B3495">
        <w:rPr>
          <w:rFonts w:asciiTheme="majorBidi" w:hAnsiTheme="majorBidi" w:cstheme="majorBidi"/>
          <w:sz w:val="24"/>
          <w:szCs w:val="24"/>
        </w:rPr>
        <w:t xml:space="preserve">The total number of complications was five (3.8%), with no substantial difference observed between the two different groups (p = </w:t>
      </w:r>
      <w:r w:rsidR="00D52CFB" w:rsidRPr="006B3495">
        <w:rPr>
          <w:rFonts w:asciiTheme="majorBidi" w:hAnsiTheme="majorBidi" w:cstheme="majorBidi"/>
          <w:sz w:val="24"/>
          <w:szCs w:val="24"/>
        </w:rPr>
        <w:t>0</w:t>
      </w:r>
      <w:r w:rsidR="00F82AAA" w:rsidRPr="006B3495">
        <w:rPr>
          <w:rFonts w:asciiTheme="majorBidi" w:hAnsiTheme="majorBidi" w:cstheme="majorBidi"/>
          <w:sz w:val="24"/>
          <w:szCs w:val="24"/>
        </w:rPr>
        <w:t xml:space="preserve">.06). </w:t>
      </w:r>
      <w:r w:rsidR="002E67C8" w:rsidRPr="006B3495">
        <w:rPr>
          <w:rFonts w:asciiTheme="majorBidi" w:hAnsiTheme="majorBidi" w:cstheme="majorBidi"/>
          <w:sz w:val="24"/>
          <w:szCs w:val="24"/>
        </w:rPr>
        <w:t>The multivariate analyses adjusted for propensity scores indicated that the sole independent indicator of complications in the access site was the age greater than 70 years old (OR, 10.44; 95% CI, 1.81-60.06; p = .009).</w:t>
      </w:r>
      <w:r w:rsidR="00666065" w:rsidRPr="006B3495">
        <w:rPr>
          <w:rFonts w:asciiTheme="majorBidi" w:hAnsiTheme="majorBidi" w:cstheme="majorBidi"/>
          <w:sz w:val="24"/>
          <w:szCs w:val="24"/>
        </w:rPr>
        <w:t xml:space="preserve"> In conclusion, the employing of anginose following coronary interventions did not elevate the rate of complications compared to traditional </w:t>
      </w:r>
      <w:r w:rsidR="00666065" w:rsidRPr="006B3495">
        <w:rPr>
          <w:rFonts w:asciiTheme="majorBidi" w:hAnsiTheme="majorBidi" w:cstheme="majorBidi"/>
          <w:sz w:val="24"/>
          <w:szCs w:val="24"/>
        </w:rPr>
        <w:lastRenderedPageBreak/>
        <w:t>compression haemostasis; nevertheless, it significantly improved comfort levels for the patients</w:t>
      </w:r>
      <w:r w:rsidR="00547C8C" w:rsidRPr="006B3495">
        <w:rPr>
          <w:rFonts w:asciiTheme="majorBidi" w:hAnsiTheme="majorBidi" w:cstheme="majorBidi"/>
          <w:sz w:val="24"/>
          <w:szCs w:val="24"/>
        </w:rPr>
        <w:t xml:space="preserve"> </w:t>
      </w:r>
      <w:r w:rsidR="00547C8C"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{"citationItems":[{"id":"ITEM-1","itemData":{"DOI":"10.1186/s12872-015-0022-4","ISSN":"14712261","abstract":"Background: Vascular closure devices such as angioseal are used as alternatives to traditional compression haemostasis. Although the safety and efficacy of angioseal are confirmed, their use remains controversial because of the potential complications of these devices compared with those of traditional compression haemostasis. The aim of this study was to compare the access site complication rate, the predictive factors for these complications, and patient comfort levels after coronary procedures with traditional compression or angioseal haemostasis. Methods: Data were collected from a cardiac unit in a medical center in northern Taiwan. A total of 130 adult patients were recruited and equally divided into two groups according to the method of haemostasis used after the coronary procedure: a traditional compression group and an angioseal group. We observed the incidence of access site complications, including bleeding, oozing, haematoma formation, and arteriovenous fistula formation. In addition, we used a 0-10 numeric rating scale to assess soreness, numbness, and back and groin access site pain after 1 h of catheter removal and immediately before getting out of bed. Results: The overall incidence of complications was 3.8 % (n = 5), which was not significantly different between the two groups (p = .06). The propensity score-adjusted multivariate analyses revealed that the only independent predictor for access site complications was an age of &gt;70 years (OR, 10.44; 95 % CI, 1.81-60.06; p = .009). Comfort levels were higher in the angioseal group than in the traditional compression group. Conclusions: Angioseal used after coronary procedures did not increase the incidence of complications relative to that associated with traditional compression haemostasis; however, it increased patient comfort levels. Health personnel should pay special attention to the predictive factor for access site complications after coronary procedures, such as age &gt;70 years.","author":[{"dropping-particle":"","family":"Wu","given":"Pei Jung","non-dropping-particle":"","parse-names":false,"suffix":""},{"dropping-particle":"","family":"Dai","given":"Yu Tzu","non-dropping-particle":"","parse-names":false,"suffix":""},{"dropping-particle":"","family":"Kao","given":"Hsien Li","non-dropping-particle":"","parse-names":false,"suffix":""},{"dropping-particle":"","family":"Chang","given":"Chin Hao","non-dropping-particle":"","parse-names":false,"suffix":""},{"dropping-particle":"","family":"Lou","given":"Meei Fang","non-dropping-particle":"","parse-names":false,"suffix":""}],"container-title":"BMC Cardiovascular Disorders","id":"ITEM-1","issue":"1","issued":{"date-parts":[["2015"]]},"title":"Access site complications following transfemoral coronary procedures: Comparison between traditional compression and angioseal vascular closure devices for haemostasis","type":"article-journal","volume":"15"},"uris":["http://www.mendeley.com/documents/?uuid=0afb3c02-ec7e-3a99-a855-22138fdd2ec1"]}],"mendeley":{"formattedCitation":"(21)","plainTextFormattedCitation":"(21)","previouslyFormattedCitation":"(21)"},"properties":{"noteIndex":0},"schema":"https://github.com/citation-style-language/schema/raw/master/csl-citation.json"}</w:instrText>
      </w:r>
      <w:r w:rsidR="00547C8C"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(21)</w:t>
      </w:r>
      <w:r w:rsidR="00547C8C" w:rsidRPr="006B3495">
        <w:rPr>
          <w:rFonts w:asciiTheme="majorBidi" w:hAnsiTheme="majorBidi" w:cstheme="majorBidi"/>
          <w:sz w:val="24"/>
          <w:szCs w:val="24"/>
        </w:rPr>
        <w:fldChar w:fldCharType="end"/>
      </w:r>
      <w:r w:rsidR="00666065" w:rsidRPr="006B3495">
        <w:rPr>
          <w:rFonts w:asciiTheme="majorBidi" w:hAnsiTheme="majorBidi" w:cstheme="majorBidi"/>
          <w:sz w:val="24"/>
          <w:szCs w:val="24"/>
        </w:rPr>
        <w:t>.</w:t>
      </w:r>
    </w:p>
    <w:p w14:paraId="326BD916" w14:textId="3C122AFB" w:rsidR="00520AF2"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Finally, </w:t>
      </w:r>
      <w:r w:rsidR="009445B4" w:rsidRPr="006B3495">
        <w:rPr>
          <w:rFonts w:asciiTheme="majorBidi" w:hAnsiTheme="majorBidi" w:cstheme="majorBidi"/>
          <w:sz w:val="24"/>
          <w:szCs w:val="24"/>
        </w:rPr>
        <w:t xml:space="preserve">Shetty </w:t>
      </w:r>
      <w:r w:rsidR="009445B4"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j.hlc.2012.05.365","ISSN":"14439506","author":[{"dropping-particle":"","family":"Shetty","given":"P.","non-dropping-particle":"","parse-names":false,"suffix":""},{"dropping-particle":"","family":"Sundar","given":"S.","non-dropping-particle":"","parse-names":false,"suffix":""}],"container-title":"Heart, Lung and Circulation","id":"ITEM-1","issued":{"date-parts":[["2012"]]},"title":"Access Site Complications Including Bleeding and Death following Percutaneous Intervention via the Femoral Artery Approach a Regional Centre Experience","type":"article-journal","volume":"21"},"uris":["http://www.mendeley.com/documents/?uuid=fba36fe1-7e22-371e-a54c-8bf1a0b2d10a"]}],"mendeley":{"formattedCitation":"(22)","plainTextFormattedCitation":"(22)","previouslyFormattedCitation":"(22)"},"properties":{"noteIndex":0},"schema":"https://github.com/citation-style-language/schema/raw/master/csl-citation.json"}</w:instrText>
      </w:r>
      <w:r w:rsidR="009445B4"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(22)</w:t>
      </w:r>
      <w:r w:rsidR="009445B4" w:rsidRPr="006B3495">
        <w:rPr>
          <w:rFonts w:asciiTheme="majorBidi" w:hAnsiTheme="majorBidi" w:cstheme="majorBidi"/>
          <w:sz w:val="24"/>
          <w:szCs w:val="24"/>
        </w:rPr>
        <w:fldChar w:fldCharType="end"/>
      </w:r>
      <w:r w:rsidR="009445B4" w:rsidRPr="006B3495">
        <w:rPr>
          <w:rFonts w:asciiTheme="majorBidi" w:hAnsiTheme="majorBidi" w:cstheme="majorBidi"/>
          <w:sz w:val="24"/>
          <w:szCs w:val="24"/>
        </w:rPr>
        <w:t xml:space="preserve"> </w:t>
      </w:r>
      <w:r w:rsidR="00C619A8" w:rsidRPr="006B3495">
        <w:rPr>
          <w:rFonts w:asciiTheme="majorBidi" w:hAnsiTheme="majorBidi" w:cstheme="majorBidi"/>
          <w:sz w:val="24"/>
          <w:szCs w:val="24"/>
        </w:rPr>
        <w:t>conducted a retrospective evaluation of individuals who experienced PCI through femoral access to evaluate the incidence of complications in access site, encompassing minor and major bleeding as well as mortality.</w:t>
      </w:r>
      <w:r w:rsidR="00624D12" w:rsidRPr="006B3495">
        <w:rPr>
          <w:rFonts w:asciiTheme="majorBidi" w:hAnsiTheme="majorBidi" w:cstheme="majorBidi"/>
          <w:sz w:val="24"/>
          <w:szCs w:val="24"/>
        </w:rPr>
        <w:t xml:space="preserve"> This study included 218 patients. The mean age of the participants was 65 years, with a male-to-female number of 146:72. 7F sheaths were utilised in 35% of participants, while glycoprotein IIb/IIIa inhibitors were administered to 34% of the participants.</w:t>
      </w:r>
      <w:r w:rsidR="009F610E" w:rsidRPr="006B3495">
        <w:rPr>
          <w:rFonts w:asciiTheme="majorBidi" w:hAnsiTheme="majorBidi" w:cstheme="majorBidi"/>
          <w:sz w:val="24"/>
          <w:szCs w:val="24"/>
        </w:rPr>
        <w:t xml:space="preserve"> Minor complications related to bleeding occurred in 20.6% of participants (n = 45), comprising haematomas that did not require intervention (19.7%, n = 43) and pseudoaneurysms (0.9%, n = 2).</w:t>
      </w:r>
      <w:r w:rsidR="00230081"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Major bleeding complications </w:t>
      </w:r>
      <w:r w:rsidR="00230081" w:rsidRPr="006B3495">
        <w:rPr>
          <w:rFonts w:asciiTheme="majorBidi" w:hAnsiTheme="majorBidi" w:cstheme="majorBidi"/>
          <w:sz w:val="24"/>
          <w:szCs w:val="24"/>
        </w:rPr>
        <w:t>were observed</w:t>
      </w:r>
      <w:r w:rsidRPr="006B3495">
        <w:rPr>
          <w:rFonts w:asciiTheme="majorBidi" w:hAnsiTheme="majorBidi" w:cstheme="majorBidi"/>
          <w:sz w:val="24"/>
          <w:szCs w:val="24"/>
        </w:rPr>
        <w:t xml:space="preserve"> in</w:t>
      </w:r>
      <w:r w:rsidR="00230081" w:rsidRPr="006B3495">
        <w:rPr>
          <w:rFonts w:asciiTheme="majorBidi" w:hAnsiTheme="majorBidi" w:cstheme="majorBidi"/>
          <w:sz w:val="24"/>
          <w:szCs w:val="24"/>
        </w:rPr>
        <w:t xml:space="preserve"> 1.86% of participants </w:t>
      </w:r>
      <w:r w:rsidRPr="006B3495">
        <w:rPr>
          <w:rFonts w:asciiTheme="majorBidi" w:hAnsiTheme="majorBidi" w:cstheme="majorBidi"/>
          <w:sz w:val="24"/>
          <w:szCs w:val="24"/>
        </w:rPr>
        <w:t>(</w:t>
      </w:r>
      <w:r w:rsidR="00230081" w:rsidRPr="006B3495">
        <w:rPr>
          <w:rFonts w:asciiTheme="majorBidi" w:hAnsiTheme="majorBidi" w:cstheme="majorBidi"/>
          <w:sz w:val="24"/>
          <w:szCs w:val="24"/>
        </w:rPr>
        <w:t>n</w:t>
      </w:r>
      <w:r w:rsidRPr="006B3495">
        <w:rPr>
          <w:rFonts w:asciiTheme="majorBidi" w:hAnsiTheme="majorBidi" w:cstheme="majorBidi"/>
          <w:sz w:val="24"/>
          <w:szCs w:val="24"/>
        </w:rPr>
        <w:t xml:space="preserve"> = 4). </w:t>
      </w:r>
      <w:r w:rsidR="00520AF2" w:rsidRPr="006B3495">
        <w:rPr>
          <w:rFonts w:asciiTheme="majorBidi" w:hAnsiTheme="majorBidi" w:cstheme="majorBidi"/>
          <w:sz w:val="24"/>
          <w:szCs w:val="24"/>
        </w:rPr>
        <w:t>One case of retroperitoneal bleed was noted (0.46%), along with three participants (1.4%) with bleeding requiring blood transfusion.</w:t>
      </w:r>
      <w:r w:rsidR="003E7A64" w:rsidRPr="006B3495">
        <w:t xml:space="preserve"> </w:t>
      </w:r>
      <w:r w:rsidR="003E7A64" w:rsidRPr="006B3495">
        <w:rPr>
          <w:rFonts w:asciiTheme="majorBidi" w:hAnsiTheme="majorBidi" w:cstheme="majorBidi"/>
          <w:sz w:val="24"/>
          <w:szCs w:val="24"/>
        </w:rPr>
        <w:t>No individuals died due to complications in access sites, nor were there any additional vascular complications.</w:t>
      </w:r>
      <w:r w:rsidR="003A5479" w:rsidRPr="006B3495">
        <w:rPr>
          <w:rFonts w:asciiTheme="majorBidi" w:hAnsiTheme="majorBidi" w:cstheme="majorBidi"/>
          <w:sz w:val="24"/>
          <w:szCs w:val="24"/>
        </w:rPr>
        <w:t xml:space="preserve"> In conclusion, the findings indicated a minimal incidence of access site complications, especially major bleeding</w:t>
      </w:r>
      <w:r w:rsidR="0037797A" w:rsidRPr="006B3495">
        <w:rPr>
          <w:rFonts w:asciiTheme="majorBidi" w:hAnsiTheme="majorBidi" w:cstheme="majorBidi"/>
          <w:sz w:val="24"/>
          <w:szCs w:val="24"/>
        </w:rPr>
        <w:t xml:space="preserve"> Consequently, complications associated with femoral access may be diminished regardless of sheath size and anticoagulant type when meticulous procedures are used</w:t>
      </w:r>
      <w:r w:rsidR="009445B4" w:rsidRPr="006B3495">
        <w:rPr>
          <w:rFonts w:asciiTheme="majorBidi" w:hAnsiTheme="majorBidi" w:cstheme="majorBidi"/>
          <w:sz w:val="24"/>
          <w:szCs w:val="24"/>
        </w:rPr>
        <w:t xml:space="preserve"> </w:t>
      </w:r>
      <w:r w:rsidR="009445B4"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j.hlc.2012.05.365","ISSN":"14439506","author":[{"dropping-particle":"","family":"Shetty","given":"P.","non-dropping-particle":"","parse-names":false,"suffix":""},{"dropping-particle":"","family":"Sundar","given":"S.","non-dropping-particle":"","parse-names":false,"suffix":""}],"container-title":"Heart, Lung and Circulation","id":"ITEM-1","issued":{"date-parts":[["2012"]]},"title":"Access Site Complications Including Bleeding and Death following Percutaneous Intervention via the Femoral Artery Approach a Regional Centre Experience","type":"article-journal","volume":"21"},"uris":["http://www.mendeley.com/documents/?uuid=fba36fe1-7e22-371e-a54c-8bf1a0b2d10a"]}],"mendeley":{"formattedCitation":"(22)","plainTextFormattedCitation":"(22)","previouslyFormattedCitation":"(22)"},"properties":{"noteIndex":0},"schema":"https://github.com/citation-style-language/schema/raw/master/csl-citation.json"}</w:instrText>
      </w:r>
      <w:r w:rsidR="009445B4"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(22)</w:t>
      </w:r>
      <w:r w:rsidR="009445B4" w:rsidRPr="006B3495">
        <w:rPr>
          <w:rFonts w:asciiTheme="majorBidi" w:hAnsiTheme="majorBidi" w:cstheme="majorBidi"/>
          <w:sz w:val="24"/>
          <w:szCs w:val="24"/>
        </w:rPr>
        <w:fldChar w:fldCharType="end"/>
      </w:r>
      <w:r w:rsidR="0037797A" w:rsidRPr="006B3495">
        <w:rPr>
          <w:rFonts w:asciiTheme="majorBidi" w:hAnsiTheme="majorBidi" w:cstheme="majorBidi"/>
          <w:sz w:val="24"/>
          <w:szCs w:val="24"/>
        </w:rPr>
        <w:t>.</w:t>
      </w:r>
    </w:p>
    <w:p w14:paraId="0F35DD37" w14:textId="378B5196" w:rsidR="00EC74E8" w:rsidRPr="006B3495" w:rsidRDefault="00EC74E8" w:rsidP="00665AD7">
      <w:pPr>
        <w:spacing w:after="240" w:line="480" w:lineRule="auto"/>
        <w:jc w:val="both"/>
        <w:rPr>
          <w:rFonts w:ascii="Times New Roman" w:eastAsia="Times New Roman" w:hAnsi="Times New Roman" w:cs="Times New Roman"/>
          <w:b/>
          <w:bCs/>
          <w:w w:val="110"/>
          <w:sz w:val="28"/>
          <w:szCs w:val="28"/>
        </w:rPr>
      </w:pPr>
      <w:bookmarkStart w:id="35" w:name="_Toc90472906"/>
      <w:r w:rsidRPr="006B3495">
        <w:br w:type="page"/>
      </w:r>
    </w:p>
    <w:p w14:paraId="207452E3" w14:textId="77777777" w:rsidR="00EC74E8" w:rsidRPr="006B3495" w:rsidRDefault="00EC74E8" w:rsidP="00A11B6B">
      <w:pPr>
        <w:pStyle w:val="a"/>
      </w:pPr>
      <w:bookmarkStart w:id="36" w:name="_Toc212871509"/>
      <w:r w:rsidRPr="006B3495">
        <w:lastRenderedPageBreak/>
        <w:t>Chapter Two</w:t>
      </w:r>
      <w:bookmarkEnd w:id="35"/>
      <w:bookmarkEnd w:id="36"/>
    </w:p>
    <w:p w14:paraId="299C8204" w14:textId="77777777" w:rsidR="00EC74E8" w:rsidRPr="006B3495" w:rsidRDefault="00EC74E8" w:rsidP="00A11B6B">
      <w:pPr>
        <w:pStyle w:val="a"/>
      </w:pPr>
      <w:bookmarkStart w:id="37" w:name="_Toc90472907"/>
      <w:bookmarkStart w:id="38" w:name="_Toc90473388"/>
      <w:bookmarkStart w:id="39" w:name="_Toc212871510"/>
      <w:r w:rsidRPr="006B3495">
        <w:t>Methods</w:t>
      </w:r>
      <w:bookmarkEnd w:id="37"/>
      <w:bookmarkEnd w:id="38"/>
      <w:bookmarkEnd w:id="39"/>
    </w:p>
    <w:p w14:paraId="7434AC17" w14:textId="6EB21798" w:rsidR="00EC74E8" w:rsidRPr="006B3495" w:rsidRDefault="00EC74E8" w:rsidP="00A11B6B">
      <w:pPr>
        <w:spacing w:after="240" w:line="480" w:lineRule="auto"/>
        <w:jc w:val="both"/>
        <w:rPr>
          <w:rFonts w:asciiTheme="majorBidi" w:hAnsiTheme="majorBidi" w:cstheme="majorBidi"/>
          <w:sz w:val="24"/>
          <w:szCs w:val="24"/>
          <w:rtl/>
        </w:rPr>
      </w:pPr>
      <w:r w:rsidRPr="006B3495">
        <w:rPr>
          <w:rFonts w:asciiTheme="majorBidi" w:hAnsiTheme="majorBidi" w:cstheme="majorBidi"/>
          <w:sz w:val="24"/>
          <w:szCs w:val="24"/>
        </w:rPr>
        <w:t>This chapter focuse</w:t>
      </w:r>
      <w:r w:rsidR="00E401C0">
        <w:rPr>
          <w:rFonts w:asciiTheme="majorBidi" w:hAnsiTheme="majorBidi" w:cstheme="majorBidi"/>
          <w:sz w:val="24"/>
          <w:szCs w:val="24"/>
        </w:rPr>
        <w:t>d</w:t>
      </w:r>
      <w:r w:rsidRPr="006B3495">
        <w:rPr>
          <w:rFonts w:asciiTheme="majorBidi" w:hAnsiTheme="majorBidi" w:cstheme="majorBidi"/>
          <w:sz w:val="24"/>
          <w:szCs w:val="24"/>
        </w:rPr>
        <w:t xml:space="preserve"> on the methodology employed to attain the research objectives. It commence</w:t>
      </w:r>
      <w:r w:rsidR="00C70055">
        <w:rPr>
          <w:rFonts w:asciiTheme="majorBidi" w:hAnsiTheme="majorBidi" w:cstheme="majorBidi"/>
          <w:sz w:val="24"/>
          <w:szCs w:val="24"/>
        </w:rPr>
        <w:t>d</w:t>
      </w:r>
      <w:r w:rsidRPr="006B3495">
        <w:rPr>
          <w:rFonts w:asciiTheme="majorBidi" w:hAnsiTheme="majorBidi" w:cstheme="majorBidi"/>
          <w:sz w:val="24"/>
          <w:szCs w:val="24"/>
        </w:rPr>
        <w:t xml:space="preserve"> with an exploration of the study design, the study's populations, the study's setting, duration, sample size, sampling technique, inclusion and exclusion criteria, study instrument, validity of study instrument, pilot study, outcomes, variables, data collection procedure, study procedure, statistical analysis methods, and ethical consideration.</w:t>
      </w:r>
    </w:p>
    <w:p w14:paraId="23BAE9FD" w14:textId="77777777" w:rsidR="00EC74E8" w:rsidRPr="00545126" w:rsidRDefault="00EC74E8" w:rsidP="00A11B6B">
      <w:pPr>
        <w:pStyle w:val="a"/>
      </w:pPr>
      <w:bookmarkStart w:id="40" w:name="_Toc491173197"/>
      <w:bookmarkStart w:id="41" w:name="_Toc212871511"/>
      <w:r w:rsidRPr="00545126">
        <w:t>2.1 Study design</w:t>
      </w:r>
      <w:bookmarkEnd w:id="40"/>
      <w:bookmarkEnd w:id="41"/>
    </w:p>
    <w:p w14:paraId="54AF5DA9" w14:textId="37EF02EE" w:rsidR="00EC74E8"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A quantitative</w:t>
      </w:r>
      <w:r w:rsidR="00E1326B" w:rsidRPr="006B3495">
        <w:rPr>
          <w:rFonts w:asciiTheme="majorBidi" w:hAnsiTheme="majorBidi" w:cstheme="majorBidi"/>
          <w:sz w:val="24"/>
          <w:szCs w:val="24"/>
        </w:rPr>
        <w:t xml:space="preserve">, </w:t>
      </w:r>
      <w:r w:rsidRPr="006B3495">
        <w:rPr>
          <w:rFonts w:asciiTheme="majorBidi" w:hAnsiTheme="majorBidi" w:cstheme="majorBidi"/>
          <w:sz w:val="24"/>
          <w:szCs w:val="24"/>
        </w:rPr>
        <w:t>retrospective observation</w:t>
      </w:r>
      <w:r w:rsidR="004F61CF" w:rsidRPr="006B3495">
        <w:rPr>
          <w:rFonts w:asciiTheme="majorBidi" w:hAnsiTheme="majorBidi" w:cstheme="majorBidi"/>
          <w:sz w:val="24"/>
          <w:szCs w:val="24"/>
        </w:rPr>
        <w:t>al</w:t>
      </w:r>
      <w:r w:rsidRPr="006B3495">
        <w:rPr>
          <w:rFonts w:asciiTheme="majorBidi" w:hAnsiTheme="majorBidi" w:cstheme="majorBidi"/>
          <w:sz w:val="24"/>
          <w:szCs w:val="24"/>
        </w:rPr>
        <w:t xml:space="preserve"> study design was used. </w:t>
      </w:r>
    </w:p>
    <w:p w14:paraId="0FD2FB02" w14:textId="387C267A" w:rsidR="00474E74" w:rsidRPr="006B3495" w:rsidRDefault="00474E74" w:rsidP="00665AD7">
      <w:pPr>
        <w:spacing w:after="240" w:line="480" w:lineRule="auto"/>
        <w:jc w:val="both"/>
        <w:rPr>
          <w:rFonts w:asciiTheme="majorBidi" w:hAnsiTheme="majorBidi" w:cstheme="majorBidi"/>
          <w:sz w:val="24"/>
          <w:szCs w:val="24"/>
          <w:rtl/>
          <w:lang w:bidi="ar-AE"/>
        </w:rPr>
      </w:pPr>
      <w:r w:rsidRPr="00545126">
        <w:rPr>
          <w:rFonts w:asciiTheme="majorBidi" w:hAnsiTheme="majorBidi" w:cstheme="majorBidi"/>
          <w:sz w:val="24"/>
          <w:szCs w:val="24"/>
        </w:rPr>
        <w:t>The researcher selected this design because of the</w:t>
      </w:r>
      <w:r w:rsidR="00CC22B1" w:rsidRPr="00545126">
        <w:rPr>
          <w:rFonts w:asciiTheme="majorBidi" w:hAnsiTheme="majorBidi" w:cstheme="majorBidi"/>
          <w:sz w:val="24"/>
          <w:szCs w:val="24"/>
        </w:rPr>
        <w:t xml:space="preserve"> retrospective study is an observational research design that examines individuals who share a common exposure to a specific disease or risk factor. It evaluates health outcomes over a defined time period to identify associations and estimate the risk of particular outcomes related to the exposure </w:t>
      </w:r>
      <w:r w:rsidR="00316F0F" w:rsidRPr="00545126">
        <w:rPr>
          <w:rFonts w:asciiTheme="majorBidi" w:hAnsiTheme="majorBidi" w:cstheme="majorBidi"/>
          <w:sz w:val="24"/>
          <w:szCs w:val="24"/>
        </w:rPr>
        <w:t>(68)</w:t>
      </w:r>
      <w:r w:rsidR="00CC22B1" w:rsidRPr="00545126">
        <w:rPr>
          <w:rFonts w:asciiTheme="majorBidi" w:hAnsiTheme="majorBidi" w:cstheme="majorBidi"/>
          <w:sz w:val="24"/>
          <w:szCs w:val="24"/>
        </w:rPr>
        <w:t>.</w:t>
      </w:r>
    </w:p>
    <w:p w14:paraId="352B39DB" w14:textId="4DD42120" w:rsidR="00EB3E2B" w:rsidRPr="007C4F9A" w:rsidRDefault="00EC74E8" w:rsidP="00A11B6B">
      <w:pPr>
        <w:pStyle w:val="a"/>
      </w:pPr>
      <w:bookmarkStart w:id="42" w:name="_Toc491173198"/>
      <w:bookmarkStart w:id="43" w:name="_Toc212871512"/>
      <w:r w:rsidRPr="007C4F9A">
        <w:t>2.2 Population</w:t>
      </w:r>
      <w:bookmarkEnd w:id="42"/>
      <w:bookmarkEnd w:id="43"/>
    </w:p>
    <w:p w14:paraId="7AE046F6" w14:textId="4FEBBF7C" w:rsidR="004C0521" w:rsidRPr="004C0521" w:rsidRDefault="00EB3E2B" w:rsidP="00964664">
      <w:pPr>
        <w:spacing w:after="240" w:line="480" w:lineRule="auto"/>
        <w:jc w:val="both"/>
        <w:rPr>
          <w:rFonts w:asciiTheme="majorBidi" w:hAnsiTheme="majorBidi" w:cstheme="majorBidi"/>
          <w:sz w:val="24"/>
          <w:szCs w:val="24"/>
        </w:rPr>
      </w:pPr>
      <w:r w:rsidRPr="00EC6860">
        <w:rPr>
          <w:rFonts w:asciiTheme="majorBidi" w:hAnsiTheme="majorBidi" w:cstheme="majorBidi"/>
          <w:sz w:val="24"/>
          <w:szCs w:val="24"/>
          <w:highlight w:val="yellow"/>
        </w:rPr>
        <w:t xml:space="preserve">The research population consisted of all patients who were admitted </w:t>
      </w:r>
      <w:bookmarkStart w:id="44" w:name="_Toc491173200"/>
      <w:r w:rsidR="00DC2CDB" w:rsidRPr="00EC6860">
        <w:rPr>
          <w:rFonts w:asciiTheme="majorBidi" w:hAnsiTheme="majorBidi" w:cstheme="majorBidi"/>
          <w:sz w:val="24"/>
          <w:szCs w:val="24"/>
          <w:highlight w:val="yellow"/>
        </w:rPr>
        <w:t>to the catheterization unit at An-Najah National University Hospital (NNUH)</w:t>
      </w:r>
      <w:r w:rsidR="00F716DA">
        <w:rPr>
          <w:rFonts w:asciiTheme="majorBidi" w:hAnsiTheme="majorBidi" w:cstheme="majorBidi"/>
          <w:sz w:val="24"/>
          <w:szCs w:val="24"/>
          <w:highlight w:val="yellow"/>
        </w:rPr>
        <w:t xml:space="preserve"> between 20</w:t>
      </w:r>
      <w:r w:rsidR="00964664">
        <w:rPr>
          <w:rFonts w:asciiTheme="majorBidi" w:hAnsiTheme="majorBidi" w:cstheme="majorBidi"/>
          <w:sz w:val="24"/>
          <w:szCs w:val="24"/>
          <w:highlight w:val="yellow"/>
        </w:rPr>
        <w:t>22 to 2023</w:t>
      </w:r>
      <w:r w:rsidR="00DC2CDB" w:rsidRPr="00EC6860">
        <w:rPr>
          <w:rFonts w:asciiTheme="majorBidi" w:hAnsiTheme="majorBidi" w:cstheme="majorBidi"/>
          <w:sz w:val="24"/>
          <w:szCs w:val="24"/>
          <w:highlight w:val="yellow"/>
        </w:rPr>
        <w:t>.</w:t>
      </w:r>
      <w:r w:rsidR="0005146C" w:rsidRPr="00EC6860">
        <w:rPr>
          <w:rFonts w:asciiTheme="majorBidi" w:hAnsiTheme="majorBidi" w:cstheme="majorBidi"/>
          <w:sz w:val="24"/>
          <w:szCs w:val="24"/>
          <w:highlight w:val="yellow"/>
        </w:rPr>
        <w:t xml:space="preserve"> </w:t>
      </w:r>
      <w:r w:rsidR="00964664">
        <w:rPr>
          <w:rFonts w:asciiTheme="majorBidi" w:hAnsiTheme="majorBidi" w:cstheme="majorBidi"/>
          <w:sz w:val="24"/>
          <w:szCs w:val="24"/>
          <w:highlight w:val="yellow"/>
        </w:rPr>
        <w:t xml:space="preserve">They </w:t>
      </w:r>
      <w:r w:rsidR="00785BBA" w:rsidRPr="00EC6860">
        <w:rPr>
          <w:rFonts w:asciiTheme="majorBidi" w:hAnsiTheme="majorBidi" w:cstheme="majorBidi"/>
          <w:sz w:val="24"/>
          <w:szCs w:val="24"/>
          <w:highlight w:val="yellow"/>
        </w:rPr>
        <w:t>consisted of two groups based on access type</w:t>
      </w:r>
      <w:r w:rsidR="00E22DD0" w:rsidRPr="00EC6860">
        <w:rPr>
          <w:rFonts w:asciiTheme="majorBidi" w:hAnsiTheme="majorBidi" w:cstheme="majorBidi"/>
          <w:sz w:val="24"/>
          <w:szCs w:val="24"/>
          <w:highlight w:val="yellow"/>
        </w:rPr>
        <w:t xml:space="preserve">, </w:t>
      </w:r>
      <w:r w:rsidR="00474E74" w:rsidRPr="00EC6860">
        <w:rPr>
          <w:rFonts w:asciiTheme="majorBidi" w:hAnsiTheme="majorBidi" w:cstheme="majorBidi"/>
          <w:sz w:val="24"/>
          <w:szCs w:val="24"/>
          <w:highlight w:val="yellow"/>
        </w:rPr>
        <w:t>these</w:t>
      </w:r>
      <w:r w:rsidR="00E22DD0" w:rsidRPr="00EC6860">
        <w:rPr>
          <w:rFonts w:asciiTheme="majorBidi" w:hAnsiTheme="majorBidi" w:cstheme="majorBidi"/>
          <w:sz w:val="24"/>
          <w:szCs w:val="24"/>
          <w:highlight w:val="yellow"/>
        </w:rPr>
        <w:t xml:space="preserve"> groups were </w:t>
      </w:r>
      <w:r w:rsidR="00785BBA" w:rsidRPr="00EC6860">
        <w:rPr>
          <w:rFonts w:asciiTheme="majorBidi" w:hAnsiTheme="majorBidi" w:cstheme="majorBidi"/>
          <w:sz w:val="24"/>
          <w:szCs w:val="24"/>
          <w:highlight w:val="yellow"/>
        </w:rPr>
        <w:t>p</w:t>
      </w:r>
      <w:r w:rsidR="00EC74E8" w:rsidRPr="00EC6860">
        <w:rPr>
          <w:rFonts w:asciiTheme="majorBidi" w:hAnsiTheme="majorBidi" w:cstheme="majorBidi"/>
          <w:sz w:val="24"/>
          <w:szCs w:val="24"/>
          <w:highlight w:val="yellow"/>
        </w:rPr>
        <w:t>atients with PCI use the transradial access (TRA) procedure, and transfemoral access (TFA) us</w:t>
      </w:r>
      <w:r w:rsidR="003B5F62" w:rsidRPr="00EC6860">
        <w:rPr>
          <w:rFonts w:asciiTheme="majorBidi" w:hAnsiTheme="majorBidi" w:cstheme="majorBidi"/>
          <w:sz w:val="24"/>
          <w:szCs w:val="24"/>
          <w:highlight w:val="yellow"/>
        </w:rPr>
        <w:t>ing</w:t>
      </w:r>
      <w:r w:rsidR="00EC74E8" w:rsidRPr="00EC6860">
        <w:rPr>
          <w:rFonts w:asciiTheme="majorBidi" w:hAnsiTheme="majorBidi" w:cstheme="majorBidi"/>
          <w:sz w:val="24"/>
          <w:szCs w:val="24"/>
          <w:highlight w:val="yellow"/>
        </w:rPr>
        <w:t xml:space="preserve"> vascular closure devices (VCD) procedure</w:t>
      </w:r>
      <w:r w:rsidR="0005146C" w:rsidRPr="00EC6860">
        <w:rPr>
          <w:rFonts w:asciiTheme="majorBidi" w:hAnsiTheme="majorBidi" w:cstheme="majorBidi"/>
          <w:sz w:val="24"/>
          <w:szCs w:val="24"/>
          <w:highlight w:val="yellow"/>
        </w:rPr>
        <w:t>.</w:t>
      </w:r>
    </w:p>
    <w:p w14:paraId="7591E956" w14:textId="6B70C2D4" w:rsidR="00EC74E8" w:rsidRPr="006B3495" w:rsidRDefault="00EC74E8" w:rsidP="00A11B6B">
      <w:pPr>
        <w:pStyle w:val="a"/>
      </w:pPr>
      <w:bookmarkStart w:id="45" w:name="_Toc212871513"/>
      <w:r w:rsidRPr="006B3495">
        <w:t xml:space="preserve">2.3 Setting of the </w:t>
      </w:r>
      <w:r w:rsidR="00387C0F" w:rsidRPr="006B3495">
        <w:t>study.</w:t>
      </w:r>
      <w:bookmarkEnd w:id="45"/>
    </w:p>
    <w:p w14:paraId="79B190D5" w14:textId="14B8E2C6"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The study was carried out at a single centre within the catheterisation unit of An-Najah National University Hospital (NNUH</w:t>
      </w:r>
      <w:r w:rsidRPr="00545126">
        <w:rPr>
          <w:rFonts w:asciiTheme="majorBidi" w:hAnsiTheme="majorBidi" w:cstheme="majorBidi"/>
          <w:sz w:val="24"/>
          <w:szCs w:val="24"/>
        </w:rPr>
        <w:t xml:space="preserve">), </w:t>
      </w:r>
      <w:r w:rsidR="003742DD" w:rsidRPr="00545126">
        <w:rPr>
          <w:rFonts w:asciiTheme="majorBidi" w:hAnsiTheme="majorBidi" w:cstheme="majorBidi"/>
          <w:sz w:val="24"/>
          <w:szCs w:val="24"/>
        </w:rPr>
        <w:t>which is</w:t>
      </w:r>
      <w:r w:rsidR="003D659D" w:rsidRPr="00545126">
        <w:rPr>
          <w:rFonts w:asciiTheme="majorBidi" w:hAnsiTheme="majorBidi" w:cstheme="majorBidi"/>
          <w:sz w:val="24"/>
          <w:szCs w:val="24"/>
        </w:rPr>
        <w:t xml:space="preserve"> considered </w:t>
      </w:r>
      <w:r w:rsidR="003742DD" w:rsidRPr="00545126">
        <w:rPr>
          <w:rFonts w:asciiTheme="majorBidi" w:hAnsiTheme="majorBidi" w:cstheme="majorBidi"/>
          <w:sz w:val="24"/>
          <w:szCs w:val="24"/>
        </w:rPr>
        <w:t>a</w:t>
      </w:r>
      <w:r w:rsidR="003D659D" w:rsidRPr="00545126">
        <w:rPr>
          <w:rFonts w:asciiTheme="majorBidi" w:hAnsiTheme="majorBidi" w:cstheme="majorBidi"/>
          <w:sz w:val="24"/>
          <w:szCs w:val="24"/>
        </w:rPr>
        <w:t xml:space="preserve"> teaching hospital </w:t>
      </w:r>
      <w:r w:rsidRPr="00545126">
        <w:rPr>
          <w:rFonts w:asciiTheme="majorBidi" w:hAnsiTheme="majorBidi" w:cstheme="majorBidi"/>
          <w:sz w:val="24"/>
          <w:szCs w:val="24"/>
        </w:rPr>
        <w:t xml:space="preserve">located in </w:t>
      </w:r>
      <w:r w:rsidRPr="00545126">
        <w:rPr>
          <w:rFonts w:asciiTheme="majorBidi" w:hAnsiTheme="majorBidi" w:cstheme="majorBidi"/>
          <w:sz w:val="24"/>
          <w:szCs w:val="24"/>
        </w:rPr>
        <w:lastRenderedPageBreak/>
        <w:t xml:space="preserve">Nablus, West Bank, Palestine. </w:t>
      </w:r>
      <w:r w:rsidR="003742DD" w:rsidRPr="00545126">
        <w:rPr>
          <w:rFonts w:asciiTheme="majorBidi" w:hAnsiTheme="majorBidi" w:cstheme="majorBidi"/>
          <w:sz w:val="24"/>
          <w:szCs w:val="24"/>
        </w:rPr>
        <w:t>In this hospital the catheterisation unit performs both diagnostic and interventional procedures.</w:t>
      </w:r>
    </w:p>
    <w:p w14:paraId="2C0E40AE" w14:textId="77777777" w:rsidR="00EC74E8" w:rsidRPr="00545126" w:rsidRDefault="00EC74E8" w:rsidP="00A11B6B">
      <w:pPr>
        <w:pStyle w:val="a"/>
        <w:rPr>
          <w:highlight w:val="yellow"/>
        </w:rPr>
      </w:pPr>
      <w:bookmarkStart w:id="46" w:name="_Toc212871514"/>
      <w:r w:rsidRPr="00545126">
        <w:rPr>
          <w:highlight w:val="yellow"/>
        </w:rPr>
        <w:t>2.4 Period of the study</w:t>
      </w:r>
      <w:bookmarkEnd w:id="46"/>
    </w:p>
    <w:p w14:paraId="39D40C15" w14:textId="77777777" w:rsidR="00EC74E8" w:rsidRPr="006B3495" w:rsidRDefault="00EC74E8" w:rsidP="00665AD7">
      <w:pPr>
        <w:spacing w:after="240" w:line="480" w:lineRule="auto"/>
        <w:jc w:val="both"/>
        <w:rPr>
          <w:rFonts w:asciiTheme="majorBidi" w:hAnsiTheme="majorBidi" w:cstheme="majorBidi"/>
          <w:sz w:val="24"/>
          <w:szCs w:val="24"/>
        </w:rPr>
      </w:pPr>
      <w:r w:rsidRPr="00545126">
        <w:rPr>
          <w:rFonts w:asciiTheme="majorBidi" w:hAnsiTheme="majorBidi" w:cstheme="majorBidi"/>
          <w:sz w:val="24"/>
          <w:szCs w:val="24"/>
          <w:highlight w:val="yellow"/>
        </w:rPr>
        <w:t>The research was carried out from the beginning of May 2022 to the end of March 2023.</w:t>
      </w:r>
    </w:p>
    <w:p w14:paraId="16E0564D" w14:textId="77777777" w:rsidR="00EC74E8" w:rsidRPr="006B3495" w:rsidRDefault="00EC74E8" w:rsidP="00A11B6B">
      <w:pPr>
        <w:pStyle w:val="a"/>
      </w:pPr>
      <w:bookmarkStart w:id="47" w:name="_Toc212871515"/>
      <w:r w:rsidRPr="006B3495">
        <w:t>2.5 Sample size</w:t>
      </w:r>
      <w:bookmarkEnd w:id="47"/>
    </w:p>
    <w:p w14:paraId="112FB8E0" w14:textId="1012F29A" w:rsidR="00C159D2" w:rsidRPr="00545126" w:rsidRDefault="00B20FCC" w:rsidP="00B20FCC">
      <w:pPr>
        <w:spacing w:after="240" w:line="480" w:lineRule="auto"/>
        <w:jc w:val="both"/>
        <w:rPr>
          <w:rFonts w:asciiTheme="majorBidi" w:hAnsiTheme="majorBidi" w:cstheme="majorBidi"/>
          <w:sz w:val="24"/>
          <w:szCs w:val="24"/>
        </w:rPr>
      </w:pPr>
      <w:r w:rsidRPr="00545126">
        <w:rPr>
          <w:rFonts w:asciiTheme="majorBidi" w:hAnsiTheme="majorBidi" w:cstheme="majorBidi"/>
          <w:sz w:val="24"/>
          <w:szCs w:val="24"/>
        </w:rPr>
        <w:t xml:space="preserve">A total of 240 patients participated in the research (120 patients undergoing PCI by TRA and 120 patients undergoing PCI by TFA using VCD). </w:t>
      </w:r>
    </w:p>
    <w:p w14:paraId="2F78F28E" w14:textId="0E49F582" w:rsidR="00B20FCC" w:rsidRPr="006B3495" w:rsidRDefault="00B20FCC" w:rsidP="004949FD">
      <w:pPr>
        <w:spacing w:after="240" w:line="480" w:lineRule="auto"/>
        <w:jc w:val="both"/>
        <w:rPr>
          <w:rFonts w:asciiTheme="majorBidi" w:hAnsiTheme="majorBidi" w:cstheme="majorBidi"/>
          <w:sz w:val="24"/>
          <w:szCs w:val="24"/>
          <w:rtl/>
        </w:rPr>
      </w:pPr>
      <w:r w:rsidRPr="00545126">
        <w:rPr>
          <w:rFonts w:asciiTheme="majorBidi" w:hAnsiTheme="majorBidi" w:cstheme="majorBidi"/>
          <w:sz w:val="24"/>
          <w:szCs w:val="24"/>
        </w:rPr>
        <w:t>The calculation of the sample size was performed utilising</w:t>
      </w:r>
      <w:r w:rsidR="00C159D2" w:rsidRPr="00545126">
        <w:t xml:space="preserve"> </w:t>
      </w:r>
      <w:r w:rsidR="00C159D2" w:rsidRPr="00545126">
        <w:rPr>
          <w:rFonts w:asciiTheme="majorBidi" w:hAnsiTheme="majorBidi" w:cstheme="majorBidi"/>
          <w:sz w:val="24"/>
          <w:szCs w:val="24"/>
        </w:rPr>
        <w:t xml:space="preserve">StatCalc-Sample Size and Power program, depending on the total number of </w:t>
      </w:r>
      <w:r w:rsidR="00DB1844" w:rsidRPr="00545126">
        <w:rPr>
          <w:rFonts w:asciiTheme="majorBidi" w:hAnsiTheme="majorBidi" w:cstheme="majorBidi"/>
          <w:sz w:val="24"/>
          <w:szCs w:val="24"/>
        </w:rPr>
        <w:t>populations</w:t>
      </w:r>
      <w:r w:rsidR="00C159D2" w:rsidRPr="00545126">
        <w:rPr>
          <w:rFonts w:asciiTheme="majorBidi" w:hAnsiTheme="majorBidi" w:cstheme="majorBidi"/>
          <w:sz w:val="24"/>
          <w:szCs w:val="24"/>
        </w:rPr>
        <w:t>.</w:t>
      </w:r>
      <w:r w:rsidR="00DB1844" w:rsidRPr="00545126">
        <w:rPr>
          <w:rFonts w:asciiTheme="majorBidi" w:hAnsiTheme="majorBidi" w:cstheme="majorBidi"/>
          <w:sz w:val="24"/>
          <w:szCs w:val="24"/>
        </w:rPr>
        <w:t xml:space="preserve"> In this study total number of populations was 490 patients. To achieve confidence level of 95% and a power of 80%, t</w:t>
      </w:r>
      <w:r w:rsidRPr="00545126">
        <w:rPr>
          <w:rFonts w:asciiTheme="majorBidi" w:hAnsiTheme="majorBidi" w:cstheme="majorBidi"/>
          <w:sz w:val="24"/>
          <w:szCs w:val="24"/>
        </w:rPr>
        <w:t xml:space="preserve">his study requires 108 patients per group. </w:t>
      </w:r>
      <w:r w:rsidR="004949FD" w:rsidRPr="00545126">
        <w:rPr>
          <w:rFonts w:asciiTheme="majorBidi" w:hAnsiTheme="majorBidi" w:cstheme="majorBidi"/>
          <w:sz w:val="24"/>
          <w:szCs w:val="24"/>
        </w:rPr>
        <w:t xml:space="preserve">The researcher </w:t>
      </w:r>
      <w:r w:rsidRPr="00545126">
        <w:rPr>
          <w:rFonts w:asciiTheme="majorBidi" w:hAnsiTheme="majorBidi" w:cstheme="majorBidi"/>
          <w:sz w:val="24"/>
          <w:szCs w:val="24"/>
        </w:rPr>
        <w:t>added 10%</w:t>
      </w:r>
      <w:r w:rsidR="004949FD" w:rsidRPr="00545126">
        <w:rPr>
          <w:rFonts w:asciiTheme="majorBidi" w:hAnsiTheme="majorBidi" w:cstheme="majorBidi"/>
          <w:sz w:val="24"/>
          <w:szCs w:val="24"/>
        </w:rPr>
        <w:t xml:space="preserve"> (about 11 patients)</w:t>
      </w:r>
      <w:r w:rsidRPr="00545126">
        <w:rPr>
          <w:rFonts w:asciiTheme="majorBidi" w:hAnsiTheme="majorBidi" w:cstheme="majorBidi"/>
          <w:sz w:val="24"/>
          <w:szCs w:val="24"/>
        </w:rPr>
        <w:t xml:space="preserve"> of the sample to cover dropout. It was </w:t>
      </w:r>
      <w:r w:rsidR="004949FD" w:rsidRPr="00545126">
        <w:rPr>
          <w:rFonts w:asciiTheme="majorBidi" w:hAnsiTheme="majorBidi" w:cstheme="majorBidi"/>
          <w:sz w:val="24"/>
          <w:szCs w:val="24"/>
        </w:rPr>
        <w:t>108</w:t>
      </w:r>
      <w:r w:rsidRPr="00545126">
        <w:rPr>
          <w:rFonts w:asciiTheme="majorBidi" w:hAnsiTheme="majorBidi" w:cstheme="majorBidi"/>
          <w:sz w:val="24"/>
          <w:szCs w:val="24"/>
        </w:rPr>
        <w:t>+</w:t>
      </w:r>
      <w:r w:rsidR="004949FD" w:rsidRPr="00545126">
        <w:rPr>
          <w:rFonts w:asciiTheme="majorBidi" w:hAnsiTheme="majorBidi" w:cstheme="majorBidi"/>
          <w:sz w:val="24"/>
          <w:szCs w:val="24"/>
        </w:rPr>
        <w:t>11</w:t>
      </w:r>
      <w:r w:rsidRPr="00545126">
        <w:rPr>
          <w:rFonts w:asciiTheme="majorBidi" w:hAnsiTheme="majorBidi" w:cstheme="majorBidi"/>
          <w:sz w:val="24"/>
          <w:szCs w:val="24"/>
        </w:rPr>
        <w:t>=</w:t>
      </w:r>
      <w:r w:rsidR="004949FD" w:rsidRPr="00545126">
        <w:rPr>
          <w:rFonts w:asciiTheme="majorBidi" w:hAnsiTheme="majorBidi" w:cstheme="majorBidi"/>
          <w:sz w:val="24"/>
          <w:szCs w:val="24"/>
        </w:rPr>
        <w:t>119 per group</w:t>
      </w:r>
      <w:r w:rsidRPr="00545126">
        <w:rPr>
          <w:rFonts w:asciiTheme="majorBidi" w:hAnsiTheme="majorBidi" w:cstheme="majorBidi"/>
          <w:sz w:val="24"/>
          <w:szCs w:val="24"/>
        </w:rPr>
        <w:t>. It was decided to recruit</w:t>
      </w:r>
      <w:r w:rsidR="004949FD" w:rsidRPr="00545126">
        <w:rPr>
          <w:rFonts w:asciiTheme="majorBidi" w:hAnsiTheme="majorBidi" w:cstheme="majorBidi"/>
          <w:sz w:val="24"/>
          <w:szCs w:val="24"/>
        </w:rPr>
        <w:t xml:space="preserve"> 120</w:t>
      </w:r>
      <w:r w:rsidRPr="00545126">
        <w:rPr>
          <w:rFonts w:asciiTheme="majorBidi" w:hAnsiTheme="majorBidi" w:cstheme="majorBidi"/>
          <w:sz w:val="24"/>
          <w:szCs w:val="24"/>
        </w:rPr>
        <w:t xml:space="preserve"> patients in each group. The final sample size was 240 patient</w:t>
      </w:r>
      <w:r w:rsidRPr="003550CE">
        <w:rPr>
          <w:rFonts w:asciiTheme="majorBidi" w:hAnsiTheme="majorBidi" w:cstheme="majorBidi"/>
          <w:sz w:val="24"/>
          <w:szCs w:val="24"/>
        </w:rPr>
        <w:t>s.</w:t>
      </w:r>
    </w:p>
    <w:p w14:paraId="4D116BA3" w14:textId="77777777" w:rsidR="00EC74E8" w:rsidRPr="006B3495" w:rsidRDefault="00EC74E8" w:rsidP="00665AD7">
      <w:pPr>
        <w:pStyle w:val="fig"/>
        <w:spacing w:line="480" w:lineRule="auto"/>
      </w:pPr>
      <w:bookmarkStart w:id="48" w:name="_Toc169613217"/>
      <w:bookmarkStart w:id="49" w:name="_Toc212871438"/>
      <w:r w:rsidRPr="006B3495">
        <w:t>Figure 1</w:t>
      </w:r>
      <w:bookmarkEnd w:id="48"/>
      <w:bookmarkEnd w:id="49"/>
    </w:p>
    <w:p w14:paraId="305B26F4" w14:textId="77777777" w:rsidR="00EC74E8" w:rsidRPr="006B3495" w:rsidRDefault="00EC74E8" w:rsidP="00665AD7">
      <w:pPr>
        <w:pStyle w:val="fig"/>
        <w:spacing w:line="480" w:lineRule="auto"/>
        <w:rPr>
          <w:b w:val="0"/>
          <w:bCs w:val="0"/>
          <w:i/>
          <w:iCs/>
        </w:rPr>
      </w:pPr>
      <w:bookmarkStart w:id="50" w:name="_Toc212871439"/>
      <w:r w:rsidRPr="006B3495">
        <w:rPr>
          <w:b w:val="0"/>
          <w:bCs w:val="0"/>
          <w:i/>
          <w:iCs/>
        </w:rPr>
        <w:t>Sample size and power.</w:t>
      </w:r>
      <w:bookmarkEnd w:id="50"/>
    </w:p>
    <w:p w14:paraId="33F23735" w14:textId="77777777" w:rsidR="00EC74E8" w:rsidRPr="006B3495" w:rsidRDefault="00EC74E8" w:rsidP="00DD0DFF">
      <w:pPr>
        <w:spacing w:after="240" w:line="480" w:lineRule="auto"/>
        <w:jc w:val="right"/>
        <w:rPr>
          <w:rFonts w:asciiTheme="majorBidi" w:hAnsiTheme="majorBidi" w:cstheme="majorBidi"/>
          <w:sz w:val="24"/>
          <w:szCs w:val="24"/>
        </w:rPr>
      </w:pPr>
      <w:r w:rsidRPr="006B3495">
        <w:rPr>
          <w:rFonts w:asciiTheme="majorBidi" w:hAnsiTheme="majorBidi" w:cstheme="majorBidi"/>
          <w:noProof/>
          <w:sz w:val="24"/>
          <w:szCs w:val="24"/>
          <w:lang w:val="en-US"/>
        </w:rPr>
        <w:lastRenderedPageBreak/>
        <w:drawing>
          <wp:inline distT="0" distB="0" distL="0" distR="0" wp14:anchorId="4D36D371" wp14:editId="4B5A646E">
            <wp:extent cx="4667250" cy="3495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7250" cy="3495675"/>
                    </a:xfrm>
                    <a:prstGeom prst="rect">
                      <a:avLst/>
                    </a:prstGeom>
                    <a:noFill/>
                    <a:ln>
                      <a:noFill/>
                    </a:ln>
                  </pic:spPr>
                </pic:pic>
              </a:graphicData>
            </a:graphic>
          </wp:inline>
        </w:drawing>
      </w:r>
    </w:p>
    <w:p w14:paraId="6E3CBA8D" w14:textId="77777777" w:rsidR="00EC74E8" w:rsidRPr="00DE76B2" w:rsidRDefault="00EC74E8" w:rsidP="00A11B6B">
      <w:pPr>
        <w:pStyle w:val="a"/>
        <w:rPr>
          <w:rtl/>
        </w:rPr>
      </w:pPr>
      <w:bookmarkStart w:id="51" w:name="_Toc212871516"/>
      <w:bookmarkEnd w:id="44"/>
      <w:r w:rsidRPr="00DE76B2">
        <w:t xml:space="preserve">2.6 </w:t>
      </w:r>
      <w:bookmarkStart w:id="52" w:name="_Hlk169613142"/>
      <w:r w:rsidRPr="00DE76B2">
        <w:t>Sampling technique</w:t>
      </w:r>
      <w:bookmarkEnd w:id="51"/>
      <w:bookmarkEnd w:id="52"/>
    </w:p>
    <w:p w14:paraId="3BE4B9A2" w14:textId="3DB74D4D" w:rsidR="00EC74E8" w:rsidRPr="00F716DA" w:rsidRDefault="00EB3E2B" w:rsidP="00964664">
      <w:pPr>
        <w:spacing w:after="240" w:line="480" w:lineRule="auto"/>
        <w:jc w:val="both"/>
        <w:rPr>
          <w:rFonts w:asciiTheme="majorBidi" w:hAnsiTheme="majorBidi" w:cstheme="majorBidi"/>
          <w:sz w:val="24"/>
          <w:szCs w:val="24"/>
        </w:rPr>
      </w:pPr>
      <w:r w:rsidRPr="00964664">
        <w:rPr>
          <w:rFonts w:asciiTheme="majorBidi" w:hAnsiTheme="majorBidi" w:cstheme="majorBidi"/>
          <w:sz w:val="24"/>
          <w:szCs w:val="24"/>
          <w:highlight w:val="yellow"/>
        </w:rPr>
        <w:t xml:space="preserve">Data </w:t>
      </w:r>
      <w:r w:rsidR="00F716DA" w:rsidRPr="00964664">
        <w:rPr>
          <w:rFonts w:asciiTheme="majorBidi" w:hAnsiTheme="majorBidi" w:cstheme="majorBidi"/>
          <w:sz w:val="24"/>
          <w:szCs w:val="24"/>
          <w:highlight w:val="yellow"/>
        </w:rPr>
        <w:t>was</w:t>
      </w:r>
      <w:r w:rsidRPr="00964664">
        <w:rPr>
          <w:rFonts w:asciiTheme="majorBidi" w:hAnsiTheme="majorBidi" w:cstheme="majorBidi"/>
          <w:sz w:val="24"/>
          <w:szCs w:val="24"/>
          <w:highlight w:val="yellow"/>
        </w:rPr>
        <w:t xml:space="preserve"> retrospectively retrieved for all patients who underwent PCI via TRA and TFA with VCD </w:t>
      </w:r>
      <w:r w:rsidR="003550CE" w:rsidRPr="00964664">
        <w:rPr>
          <w:rFonts w:asciiTheme="majorBidi" w:hAnsiTheme="majorBidi" w:cstheme="majorBidi"/>
          <w:sz w:val="24"/>
          <w:szCs w:val="24"/>
          <w:highlight w:val="yellow"/>
        </w:rPr>
        <w:t>from the beginning of May 2022 to the end of March 2023.</w:t>
      </w:r>
      <w:r w:rsidR="00EA3025" w:rsidRPr="00964664">
        <w:rPr>
          <w:rFonts w:asciiTheme="majorBidi" w:hAnsiTheme="majorBidi" w:cstheme="majorBidi"/>
          <w:sz w:val="24"/>
          <w:szCs w:val="24"/>
          <w:highlight w:val="yellow"/>
        </w:rPr>
        <w:t xml:space="preserve"> </w:t>
      </w:r>
      <w:r w:rsidRPr="00964664">
        <w:rPr>
          <w:rFonts w:asciiTheme="majorBidi" w:hAnsiTheme="majorBidi" w:cstheme="majorBidi"/>
          <w:sz w:val="24"/>
          <w:szCs w:val="24"/>
          <w:highlight w:val="yellow"/>
        </w:rPr>
        <w:t xml:space="preserve">The data was obtained from the hospital’s electronic medical record (EMR) system and archived paper files through the medical records department. The average number of these patients per month </w:t>
      </w:r>
      <w:r w:rsidR="00964664" w:rsidRPr="00964664">
        <w:rPr>
          <w:rFonts w:asciiTheme="majorBidi" w:hAnsiTheme="majorBidi" w:cstheme="majorBidi"/>
          <w:sz w:val="24"/>
          <w:szCs w:val="24"/>
          <w:highlight w:val="yellow"/>
        </w:rPr>
        <w:t xml:space="preserve">was </w:t>
      </w:r>
      <w:r w:rsidRPr="00964664">
        <w:rPr>
          <w:rFonts w:asciiTheme="majorBidi" w:hAnsiTheme="majorBidi" w:cstheme="majorBidi"/>
          <w:sz w:val="24"/>
          <w:szCs w:val="24"/>
          <w:highlight w:val="yellow"/>
        </w:rPr>
        <w:t>around 80-100 patients, based on the data from NNUH.</w:t>
      </w:r>
      <w:r w:rsidR="007F62C7" w:rsidRPr="00964664">
        <w:rPr>
          <w:rFonts w:asciiTheme="majorBidi" w:hAnsiTheme="majorBidi" w:cstheme="majorBidi"/>
          <w:sz w:val="24"/>
          <w:szCs w:val="24"/>
          <w:highlight w:val="yellow"/>
        </w:rPr>
        <w:t xml:space="preserve"> A total of 240 patients participated in the research (120 patients undergoing PCI by TRA and 120 patients undergoing PCI by TFA using VCD). </w:t>
      </w:r>
      <w:r w:rsidR="00D301C7" w:rsidRPr="00964664">
        <w:rPr>
          <w:rFonts w:asciiTheme="majorBidi" w:hAnsiTheme="majorBidi" w:cstheme="majorBidi"/>
          <w:sz w:val="24"/>
          <w:szCs w:val="24"/>
          <w:highlight w:val="yellow"/>
        </w:rPr>
        <w:t xml:space="preserve">The sample </w:t>
      </w:r>
      <w:r w:rsidR="00CC5CE3" w:rsidRPr="00964664">
        <w:rPr>
          <w:rFonts w:asciiTheme="majorBidi" w:hAnsiTheme="majorBidi" w:cstheme="majorBidi"/>
          <w:sz w:val="24"/>
          <w:szCs w:val="24"/>
          <w:highlight w:val="yellow"/>
        </w:rPr>
        <w:t xml:space="preserve">was selected </w:t>
      </w:r>
      <w:r w:rsidR="00D301C7" w:rsidRPr="00964664">
        <w:rPr>
          <w:rFonts w:asciiTheme="majorBidi" w:hAnsiTheme="majorBidi" w:cstheme="majorBidi"/>
          <w:sz w:val="24"/>
          <w:szCs w:val="24"/>
          <w:highlight w:val="yellow"/>
        </w:rPr>
        <w:t>based on inclusion</w:t>
      </w:r>
      <w:r w:rsidR="00D17B4D" w:rsidRPr="00964664">
        <w:rPr>
          <w:rFonts w:asciiTheme="majorBidi" w:hAnsiTheme="majorBidi" w:cstheme="majorBidi"/>
          <w:sz w:val="24"/>
          <w:szCs w:val="24"/>
          <w:highlight w:val="yellow"/>
        </w:rPr>
        <w:t xml:space="preserve"> criteria </w:t>
      </w:r>
      <w:r w:rsidR="00CC5CE3" w:rsidRPr="00964664">
        <w:rPr>
          <w:rFonts w:asciiTheme="majorBidi" w:hAnsiTheme="majorBidi" w:cstheme="majorBidi"/>
          <w:sz w:val="24"/>
          <w:szCs w:val="24"/>
          <w:highlight w:val="yellow"/>
        </w:rPr>
        <w:t>until the required sample size was obtained.</w:t>
      </w:r>
      <w:r w:rsidR="00561CB5" w:rsidRPr="00964664">
        <w:rPr>
          <w:rFonts w:asciiTheme="majorBidi" w:hAnsiTheme="majorBidi" w:cstheme="majorBidi"/>
          <w:sz w:val="24"/>
          <w:szCs w:val="24"/>
          <w:highlight w:val="yellow"/>
        </w:rPr>
        <w:t xml:space="preserve"> Both groups were matched for age, sex, and relevant clinical characteristics to ensure baseline comparability.</w:t>
      </w:r>
      <w:r w:rsidR="00561CB5" w:rsidRPr="00964664">
        <w:rPr>
          <w:rFonts w:asciiTheme="majorBidi" w:hAnsiTheme="majorBidi" w:cstheme="majorBidi"/>
          <w:b/>
          <w:bCs/>
          <w:highlight w:val="yellow"/>
        </w:rPr>
        <w:t xml:space="preserve"> </w:t>
      </w:r>
      <w:r w:rsidR="00EC74E8" w:rsidRPr="00964664">
        <w:rPr>
          <w:rFonts w:asciiTheme="majorBidi" w:hAnsiTheme="majorBidi" w:cstheme="majorBidi"/>
          <w:sz w:val="24"/>
          <w:szCs w:val="24"/>
          <w:highlight w:val="yellow"/>
        </w:rPr>
        <w:t>Patients</w:t>
      </w:r>
      <w:r w:rsidR="00964664" w:rsidRPr="00964664">
        <w:rPr>
          <w:rFonts w:asciiTheme="majorBidi" w:hAnsiTheme="majorBidi" w:cstheme="majorBidi"/>
          <w:sz w:val="24"/>
          <w:szCs w:val="24"/>
          <w:highlight w:val="yellow"/>
        </w:rPr>
        <w:t xml:space="preserve"> </w:t>
      </w:r>
      <w:proofErr w:type="gramStart"/>
      <w:r w:rsidR="00964664" w:rsidRPr="00964664">
        <w:rPr>
          <w:rFonts w:asciiTheme="majorBidi" w:hAnsiTheme="majorBidi" w:cstheme="majorBidi"/>
          <w:sz w:val="24"/>
          <w:szCs w:val="24"/>
          <w:highlight w:val="yellow"/>
        </w:rPr>
        <w:t>was</w:t>
      </w:r>
      <w:proofErr w:type="gramEnd"/>
      <w:r w:rsidR="00964664" w:rsidRPr="00964664">
        <w:rPr>
          <w:rFonts w:asciiTheme="majorBidi" w:hAnsiTheme="majorBidi" w:cstheme="majorBidi"/>
          <w:sz w:val="24"/>
          <w:szCs w:val="24"/>
          <w:highlight w:val="yellow"/>
        </w:rPr>
        <w:t xml:space="preserve">  </w:t>
      </w:r>
      <w:r w:rsidR="00EC74E8" w:rsidRPr="00964664">
        <w:rPr>
          <w:rFonts w:asciiTheme="majorBidi" w:hAnsiTheme="majorBidi" w:cstheme="majorBidi"/>
          <w:sz w:val="24"/>
          <w:szCs w:val="24"/>
          <w:highlight w:val="yellow"/>
        </w:rPr>
        <w:t xml:space="preserve"> with </w:t>
      </w:r>
      <w:r w:rsidR="00D301C7" w:rsidRPr="00964664">
        <w:rPr>
          <w:rFonts w:asciiTheme="majorBidi" w:hAnsiTheme="majorBidi" w:cstheme="majorBidi"/>
          <w:sz w:val="24"/>
          <w:szCs w:val="24"/>
          <w:highlight w:val="yellow"/>
        </w:rPr>
        <w:t>m</w:t>
      </w:r>
      <w:r w:rsidR="00EC74E8" w:rsidRPr="00964664">
        <w:rPr>
          <w:rFonts w:asciiTheme="majorBidi" w:hAnsiTheme="majorBidi" w:cstheme="majorBidi"/>
          <w:sz w:val="24"/>
          <w:szCs w:val="24"/>
          <w:highlight w:val="yellow"/>
        </w:rPr>
        <w:t xml:space="preserve">ulti vascular disease, unsuccessful puncture, radial artery spasm, and peripheral obstruction such as shunt in both hands </w:t>
      </w:r>
      <w:r w:rsidR="00AA1D72" w:rsidRPr="00964664">
        <w:rPr>
          <w:rFonts w:asciiTheme="majorBidi" w:hAnsiTheme="majorBidi" w:cstheme="majorBidi"/>
          <w:sz w:val="24"/>
          <w:szCs w:val="24"/>
          <w:highlight w:val="yellow"/>
        </w:rPr>
        <w:t xml:space="preserve">were </w:t>
      </w:r>
      <w:r w:rsidR="00EC74E8" w:rsidRPr="00964664">
        <w:rPr>
          <w:rFonts w:asciiTheme="majorBidi" w:hAnsiTheme="majorBidi" w:cstheme="majorBidi"/>
          <w:sz w:val="24"/>
          <w:szCs w:val="24"/>
          <w:highlight w:val="yellow"/>
        </w:rPr>
        <w:t>all predictors of conversion to femoral access using VCD.</w:t>
      </w:r>
      <w:r w:rsidR="00EC74E8" w:rsidRPr="00F716DA">
        <w:rPr>
          <w:rFonts w:asciiTheme="majorBidi" w:hAnsiTheme="majorBidi" w:cstheme="majorBidi"/>
          <w:sz w:val="24"/>
          <w:szCs w:val="24"/>
        </w:rPr>
        <w:t xml:space="preserve"> </w:t>
      </w:r>
    </w:p>
    <w:p w14:paraId="50B248CD" w14:textId="77777777" w:rsidR="00EC74E8" w:rsidRPr="006B3495" w:rsidRDefault="00EC74E8" w:rsidP="00A11B6B">
      <w:pPr>
        <w:pStyle w:val="a"/>
      </w:pPr>
      <w:bookmarkStart w:id="53" w:name="_Toc212871517"/>
      <w:r w:rsidRPr="006B3495">
        <w:lastRenderedPageBreak/>
        <w:t>2.7 Inclusion and Exclusion criteria</w:t>
      </w:r>
      <w:bookmarkEnd w:id="53"/>
    </w:p>
    <w:p w14:paraId="629FCF37" w14:textId="73E110E8" w:rsidR="00EC74E8" w:rsidRPr="006B3495" w:rsidRDefault="00EC74E8" w:rsidP="00A11B6B">
      <w:pPr>
        <w:pStyle w:val="a"/>
        <w:numPr>
          <w:ilvl w:val="2"/>
          <w:numId w:val="19"/>
        </w:numPr>
      </w:pPr>
      <w:bookmarkStart w:id="54" w:name="_Toc212871518"/>
      <w:r w:rsidRPr="006B3495">
        <w:t>Inclusion criteria:</w:t>
      </w:r>
      <w:bookmarkEnd w:id="54"/>
    </w:p>
    <w:p w14:paraId="34754CFE" w14:textId="77777777" w:rsidR="00CA264F" w:rsidRPr="004E3D74" w:rsidRDefault="00CA264F" w:rsidP="00CA264F">
      <w:pPr>
        <w:pStyle w:val="ListParagraph"/>
        <w:numPr>
          <w:ilvl w:val="0"/>
          <w:numId w:val="8"/>
        </w:numPr>
        <w:spacing w:after="240" w:line="480" w:lineRule="auto"/>
        <w:jc w:val="both"/>
        <w:rPr>
          <w:rFonts w:asciiTheme="majorBidi" w:hAnsiTheme="majorBidi" w:cstheme="majorBidi"/>
          <w:sz w:val="24"/>
          <w:szCs w:val="24"/>
        </w:rPr>
      </w:pPr>
      <w:r w:rsidRPr="004E3D74">
        <w:rPr>
          <w:rFonts w:asciiTheme="majorBidi" w:hAnsiTheme="majorBidi" w:cstheme="majorBidi"/>
          <w:sz w:val="24"/>
          <w:szCs w:val="24"/>
        </w:rPr>
        <w:t>Patients with non-ST-segment elevation myocardial infarction (NSTEMI) were included if they met the following criteria:</w:t>
      </w:r>
    </w:p>
    <w:p w14:paraId="13176E4A" w14:textId="5F930337" w:rsidR="00CA264F" w:rsidRPr="005729E8" w:rsidRDefault="00CA264F" w:rsidP="0097271F">
      <w:pPr>
        <w:pStyle w:val="ListParagraph"/>
        <w:numPr>
          <w:ilvl w:val="0"/>
          <w:numId w:val="18"/>
        </w:numPr>
        <w:spacing w:after="240" w:line="480" w:lineRule="auto"/>
        <w:ind w:left="1134"/>
        <w:jc w:val="both"/>
        <w:rPr>
          <w:rFonts w:asciiTheme="majorBidi" w:hAnsiTheme="majorBidi" w:cstheme="majorBidi"/>
          <w:sz w:val="24"/>
          <w:szCs w:val="24"/>
        </w:rPr>
      </w:pPr>
      <w:r w:rsidRPr="005729E8">
        <w:rPr>
          <w:rFonts w:asciiTheme="majorBidi" w:hAnsiTheme="majorBidi" w:cstheme="majorBidi"/>
          <w:sz w:val="24"/>
          <w:szCs w:val="24"/>
        </w:rPr>
        <w:t>Clinical Presentation: (Ischaemic chest pain that was new in onset or worsening, occurring at rest or with minimal physical activity. And Pain lasting &gt;10 minutes).</w:t>
      </w:r>
    </w:p>
    <w:p w14:paraId="04EEC156" w14:textId="47CCB9E3" w:rsidR="00CA264F" w:rsidRPr="005729E8" w:rsidRDefault="00CA264F" w:rsidP="00CA264F">
      <w:pPr>
        <w:pStyle w:val="ListParagraph"/>
        <w:numPr>
          <w:ilvl w:val="0"/>
          <w:numId w:val="18"/>
        </w:numPr>
        <w:spacing w:after="240" w:line="480" w:lineRule="auto"/>
        <w:ind w:left="1276"/>
        <w:jc w:val="both"/>
        <w:rPr>
          <w:rFonts w:asciiTheme="majorBidi" w:hAnsiTheme="majorBidi" w:cstheme="majorBidi"/>
          <w:sz w:val="24"/>
          <w:szCs w:val="24"/>
        </w:rPr>
      </w:pPr>
      <w:r w:rsidRPr="005729E8">
        <w:rPr>
          <w:rFonts w:asciiTheme="majorBidi" w:hAnsiTheme="majorBidi" w:cstheme="majorBidi"/>
          <w:sz w:val="24"/>
          <w:szCs w:val="24"/>
        </w:rPr>
        <w:t xml:space="preserve">Electrocardiographic (ECG) Findings (at least one of the following): T-wave inversion &gt;3 mm in at least two contiguous leads, ST-segment depression ≥1 mm, </w:t>
      </w:r>
      <w:r w:rsidR="00AC66B5" w:rsidRPr="005729E8">
        <w:rPr>
          <w:rFonts w:asciiTheme="majorBidi" w:hAnsiTheme="majorBidi" w:cstheme="majorBidi"/>
          <w:sz w:val="24"/>
          <w:szCs w:val="24"/>
        </w:rPr>
        <w:t>t</w:t>
      </w:r>
      <w:r w:rsidRPr="005729E8">
        <w:rPr>
          <w:rFonts w:asciiTheme="majorBidi" w:hAnsiTheme="majorBidi" w:cstheme="majorBidi"/>
          <w:sz w:val="24"/>
          <w:szCs w:val="24"/>
        </w:rPr>
        <w:t xml:space="preserve">ransient ST-segment elevation ≤1 mm, and </w:t>
      </w:r>
      <w:r w:rsidR="00AC66B5" w:rsidRPr="005729E8">
        <w:rPr>
          <w:rFonts w:asciiTheme="majorBidi" w:hAnsiTheme="majorBidi" w:cstheme="majorBidi"/>
          <w:sz w:val="24"/>
          <w:szCs w:val="24"/>
        </w:rPr>
        <w:t>o</w:t>
      </w:r>
      <w:r w:rsidRPr="005729E8">
        <w:rPr>
          <w:rFonts w:asciiTheme="majorBidi" w:hAnsiTheme="majorBidi" w:cstheme="majorBidi"/>
          <w:sz w:val="24"/>
          <w:szCs w:val="24"/>
        </w:rPr>
        <w:t>ther ECG changes indicative of new ischemia)</w:t>
      </w:r>
      <w:r w:rsidR="00AC66B5" w:rsidRPr="005729E8">
        <w:rPr>
          <w:rFonts w:asciiTheme="majorBidi" w:hAnsiTheme="majorBidi" w:cstheme="majorBidi"/>
          <w:sz w:val="24"/>
          <w:szCs w:val="24"/>
        </w:rPr>
        <w:t>.</w:t>
      </w:r>
    </w:p>
    <w:p w14:paraId="567BB969" w14:textId="7EE08630" w:rsidR="00CA264F" w:rsidRPr="005729E8" w:rsidRDefault="00CA264F" w:rsidP="00CA264F">
      <w:pPr>
        <w:pStyle w:val="ListParagraph"/>
        <w:numPr>
          <w:ilvl w:val="0"/>
          <w:numId w:val="18"/>
        </w:numPr>
        <w:spacing w:after="240" w:line="480" w:lineRule="auto"/>
        <w:ind w:left="1276"/>
        <w:jc w:val="both"/>
        <w:rPr>
          <w:rFonts w:asciiTheme="majorBidi" w:hAnsiTheme="majorBidi" w:cstheme="majorBidi"/>
          <w:sz w:val="24"/>
          <w:szCs w:val="24"/>
        </w:rPr>
      </w:pPr>
      <w:r w:rsidRPr="005729E8">
        <w:rPr>
          <w:rFonts w:asciiTheme="majorBidi" w:hAnsiTheme="majorBidi" w:cstheme="majorBidi"/>
          <w:sz w:val="24"/>
          <w:szCs w:val="24"/>
        </w:rPr>
        <w:t>Evidence of Coronary Artery Disease (if no ECG changes or necrosis markers): (</w:t>
      </w:r>
      <w:r w:rsidR="00AC66B5" w:rsidRPr="005729E8">
        <w:rPr>
          <w:rFonts w:asciiTheme="majorBidi" w:hAnsiTheme="majorBidi" w:cstheme="majorBidi"/>
          <w:sz w:val="24"/>
          <w:szCs w:val="24"/>
        </w:rPr>
        <w:t>p</w:t>
      </w:r>
      <w:r w:rsidRPr="005729E8">
        <w:rPr>
          <w:rFonts w:asciiTheme="majorBidi" w:hAnsiTheme="majorBidi" w:cstheme="majorBidi"/>
          <w:sz w:val="24"/>
          <w:szCs w:val="24"/>
        </w:rPr>
        <w:t xml:space="preserve">revious percutaneous or surgical myocardial revascularisation, </w:t>
      </w:r>
      <w:r w:rsidR="00AC66B5" w:rsidRPr="005729E8">
        <w:rPr>
          <w:rFonts w:asciiTheme="majorBidi" w:hAnsiTheme="majorBidi" w:cstheme="majorBidi"/>
          <w:sz w:val="24"/>
          <w:szCs w:val="24"/>
        </w:rPr>
        <w:t>p</w:t>
      </w:r>
      <w:r w:rsidRPr="005729E8">
        <w:rPr>
          <w:rFonts w:asciiTheme="majorBidi" w:hAnsiTheme="majorBidi" w:cstheme="majorBidi"/>
          <w:sz w:val="24"/>
          <w:szCs w:val="24"/>
        </w:rPr>
        <w:t xml:space="preserve">ositive functional test for myocardial ischaemia, </w:t>
      </w:r>
      <w:r w:rsidR="00AC66B5" w:rsidRPr="005729E8">
        <w:rPr>
          <w:rFonts w:asciiTheme="majorBidi" w:hAnsiTheme="majorBidi" w:cstheme="majorBidi"/>
          <w:sz w:val="24"/>
          <w:szCs w:val="24"/>
        </w:rPr>
        <w:t>c</w:t>
      </w:r>
      <w:r w:rsidRPr="005729E8">
        <w:rPr>
          <w:rFonts w:asciiTheme="majorBidi" w:hAnsiTheme="majorBidi" w:cstheme="majorBidi"/>
          <w:sz w:val="24"/>
          <w:szCs w:val="24"/>
        </w:rPr>
        <w:t xml:space="preserve">oronary angiography showing significant coronary atherosclerotic disease, and </w:t>
      </w:r>
      <w:r w:rsidR="00AC66B5" w:rsidRPr="005729E8">
        <w:rPr>
          <w:rFonts w:asciiTheme="majorBidi" w:hAnsiTheme="majorBidi" w:cstheme="majorBidi"/>
          <w:sz w:val="24"/>
          <w:szCs w:val="24"/>
        </w:rPr>
        <w:t>p</w:t>
      </w:r>
      <w:r w:rsidRPr="005729E8">
        <w:rPr>
          <w:rFonts w:asciiTheme="majorBidi" w:hAnsiTheme="majorBidi" w:cstheme="majorBidi"/>
          <w:sz w:val="24"/>
          <w:szCs w:val="24"/>
        </w:rPr>
        <w:t>revious hospitalisation for acute myocardial infarction).</w:t>
      </w:r>
    </w:p>
    <w:p w14:paraId="3F283A11" w14:textId="7C345FB1" w:rsidR="00900EA8" w:rsidRPr="005729E8" w:rsidRDefault="00CA264F" w:rsidP="00B84A35">
      <w:pPr>
        <w:pStyle w:val="ListParagraph"/>
        <w:numPr>
          <w:ilvl w:val="0"/>
          <w:numId w:val="18"/>
        </w:numPr>
        <w:spacing w:after="240" w:line="480" w:lineRule="auto"/>
        <w:ind w:left="1276"/>
        <w:jc w:val="both"/>
        <w:rPr>
          <w:rFonts w:asciiTheme="majorBidi" w:hAnsiTheme="majorBidi" w:cstheme="majorBidi"/>
          <w:sz w:val="24"/>
          <w:szCs w:val="24"/>
        </w:rPr>
      </w:pPr>
      <w:r w:rsidRPr="005729E8">
        <w:rPr>
          <w:rFonts w:asciiTheme="majorBidi" w:hAnsiTheme="majorBidi" w:cstheme="majorBidi"/>
          <w:sz w:val="24"/>
          <w:szCs w:val="24"/>
        </w:rPr>
        <w:t xml:space="preserve">Laboratory </w:t>
      </w:r>
      <w:r w:rsidR="00AC66B5" w:rsidRPr="005729E8">
        <w:rPr>
          <w:rFonts w:asciiTheme="majorBidi" w:hAnsiTheme="majorBidi" w:cstheme="majorBidi"/>
          <w:sz w:val="24"/>
          <w:szCs w:val="24"/>
        </w:rPr>
        <w:t>m</w:t>
      </w:r>
      <w:r w:rsidRPr="005729E8">
        <w:rPr>
          <w:rFonts w:asciiTheme="majorBidi" w:hAnsiTheme="majorBidi" w:cstheme="majorBidi"/>
          <w:sz w:val="24"/>
          <w:szCs w:val="24"/>
        </w:rPr>
        <w:t>arkers: Elevated cardiac enzymes (CK-MB, troponin T, or troponin I) above the upper limit of normal.</w:t>
      </w:r>
    </w:p>
    <w:p w14:paraId="1527DF7F" w14:textId="6FB262D4" w:rsidR="00BF40C2" w:rsidRPr="006B3495" w:rsidRDefault="00BF40C2" w:rsidP="00665AD7">
      <w:pPr>
        <w:pStyle w:val="ListParagraph"/>
        <w:numPr>
          <w:ilvl w:val="0"/>
          <w:numId w:val="8"/>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Patients </w:t>
      </w:r>
      <w:r w:rsidR="005F5343" w:rsidRPr="006B3495">
        <w:rPr>
          <w:rFonts w:asciiTheme="majorBidi" w:hAnsiTheme="majorBidi" w:cstheme="majorBidi"/>
          <w:sz w:val="24"/>
          <w:szCs w:val="24"/>
        </w:rPr>
        <w:t>aged 18 years or older</w:t>
      </w:r>
      <w:r w:rsidRPr="006B3495">
        <w:rPr>
          <w:rFonts w:asciiTheme="majorBidi" w:hAnsiTheme="majorBidi" w:cstheme="majorBidi"/>
          <w:sz w:val="24"/>
          <w:szCs w:val="24"/>
        </w:rPr>
        <w:t>.</w:t>
      </w:r>
    </w:p>
    <w:p w14:paraId="7BD0F8D1" w14:textId="6CA5323E" w:rsidR="0097271F" w:rsidRDefault="00592BDE" w:rsidP="00665AD7">
      <w:pPr>
        <w:pStyle w:val="ListParagraph"/>
        <w:numPr>
          <w:ilvl w:val="0"/>
          <w:numId w:val="8"/>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Patients </w:t>
      </w:r>
      <w:r w:rsidR="002D4915">
        <w:rPr>
          <w:rFonts w:asciiTheme="majorBidi" w:hAnsiTheme="majorBidi" w:cstheme="majorBidi"/>
          <w:sz w:val="24"/>
          <w:szCs w:val="24"/>
        </w:rPr>
        <w:t>were</w:t>
      </w:r>
      <w:r w:rsidRPr="006B3495">
        <w:rPr>
          <w:rFonts w:asciiTheme="majorBidi" w:hAnsiTheme="majorBidi" w:cstheme="majorBidi"/>
          <w:sz w:val="24"/>
          <w:szCs w:val="24"/>
        </w:rPr>
        <w:t xml:space="preserve"> permitted to undergo </w:t>
      </w:r>
      <w:r w:rsidR="00FB17B6" w:rsidRPr="006B3495">
        <w:rPr>
          <w:rFonts w:asciiTheme="majorBidi" w:hAnsiTheme="majorBidi" w:cstheme="majorBidi"/>
          <w:sz w:val="24"/>
          <w:szCs w:val="24"/>
        </w:rPr>
        <w:t xml:space="preserve">Coronary angiography </w:t>
      </w:r>
      <w:r w:rsidR="00FB17B6">
        <w:rPr>
          <w:rFonts w:asciiTheme="majorBidi" w:hAnsiTheme="majorBidi" w:cstheme="majorBidi"/>
          <w:sz w:val="24"/>
          <w:szCs w:val="24"/>
        </w:rPr>
        <w:t>(</w:t>
      </w:r>
      <w:r w:rsidRPr="006B3495">
        <w:rPr>
          <w:rFonts w:asciiTheme="majorBidi" w:hAnsiTheme="majorBidi" w:cstheme="majorBidi"/>
          <w:sz w:val="24"/>
          <w:szCs w:val="24"/>
        </w:rPr>
        <w:t>CAG</w:t>
      </w:r>
      <w:r w:rsidR="00FB17B6">
        <w:rPr>
          <w:rFonts w:asciiTheme="majorBidi" w:hAnsiTheme="majorBidi" w:cstheme="majorBidi"/>
          <w:sz w:val="24"/>
          <w:szCs w:val="24"/>
        </w:rPr>
        <w:t>)</w:t>
      </w:r>
      <w:r w:rsidRPr="006B3495">
        <w:rPr>
          <w:rFonts w:asciiTheme="majorBidi" w:hAnsiTheme="majorBidi" w:cstheme="majorBidi"/>
          <w:sz w:val="24"/>
          <w:szCs w:val="24"/>
        </w:rPr>
        <w:t xml:space="preserve"> for femoral or radial PCI if they met the following criteria: </w:t>
      </w:r>
    </w:p>
    <w:p w14:paraId="08858C86" w14:textId="64F10273" w:rsidR="0097271F" w:rsidRPr="00C10A62" w:rsidRDefault="0097271F" w:rsidP="0097271F">
      <w:pPr>
        <w:pStyle w:val="ListParagraph"/>
        <w:numPr>
          <w:ilvl w:val="0"/>
          <w:numId w:val="20"/>
        </w:numPr>
        <w:spacing w:after="240" w:line="480" w:lineRule="auto"/>
        <w:ind w:left="1276"/>
        <w:jc w:val="both"/>
        <w:rPr>
          <w:rFonts w:asciiTheme="majorBidi" w:hAnsiTheme="majorBidi" w:cstheme="majorBidi"/>
          <w:sz w:val="24"/>
          <w:szCs w:val="24"/>
        </w:rPr>
      </w:pPr>
      <w:r w:rsidRPr="00C10A62">
        <w:rPr>
          <w:rFonts w:asciiTheme="majorBidi" w:hAnsiTheme="majorBidi" w:cstheme="majorBidi"/>
          <w:sz w:val="24"/>
          <w:szCs w:val="24"/>
        </w:rPr>
        <w:t>A</w:t>
      </w:r>
      <w:r w:rsidR="00592BDE" w:rsidRPr="00C10A62">
        <w:rPr>
          <w:rFonts w:asciiTheme="majorBidi" w:hAnsiTheme="majorBidi" w:cstheme="majorBidi"/>
          <w:sz w:val="24"/>
          <w:szCs w:val="24"/>
        </w:rPr>
        <w:t xml:space="preserve"> palpable radial artery confirmed by the Allen test or normal oximetry results</w:t>
      </w:r>
      <w:r w:rsidRPr="00C10A62">
        <w:rPr>
          <w:rFonts w:asciiTheme="majorBidi" w:hAnsiTheme="majorBidi" w:cstheme="majorBidi"/>
          <w:sz w:val="24"/>
          <w:szCs w:val="24"/>
        </w:rPr>
        <w:t>.</w:t>
      </w:r>
      <w:r w:rsidR="00592BDE" w:rsidRPr="00C10A62">
        <w:rPr>
          <w:rFonts w:asciiTheme="majorBidi" w:hAnsiTheme="majorBidi" w:cstheme="majorBidi"/>
          <w:sz w:val="24"/>
          <w:szCs w:val="24"/>
        </w:rPr>
        <w:t xml:space="preserve"> </w:t>
      </w:r>
    </w:p>
    <w:p w14:paraId="13FC520A" w14:textId="09682AF1" w:rsidR="00EC74E8" w:rsidRPr="00C10A62" w:rsidRDefault="0097271F" w:rsidP="0097271F">
      <w:pPr>
        <w:pStyle w:val="ListParagraph"/>
        <w:numPr>
          <w:ilvl w:val="0"/>
          <w:numId w:val="20"/>
        </w:numPr>
        <w:spacing w:after="240" w:line="480" w:lineRule="auto"/>
        <w:ind w:left="1276"/>
        <w:jc w:val="both"/>
        <w:rPr>
          <w:rFonts w:asciiTheme="majorBidi" w:hAnsiTheme="majorBidi" w:cstheme="majorBidi"/>
          <w:sz w:val="24"/>
          <w:szCs w:val="24"/>
        </w:rPr>
      </w:pPr>
      <w:r w:rsidRPr="00C10A62">
        <w:rPr>
          <w:rFonts w:asciiTheme="majorBidi" w:hAnsiTheme="majorBidi" w:cstheme="majorBidi"/>
          <w:sz w:val="24"/>
          <w:szCs w:val="24"/>
        </w:rPr>
        <w:t>T</w:t>
      </w:r>
      <w:r w:rsidR="00592BDE" w:rsidRPr="00C10A62">
        <w:rPr>
          <w:rFonts w:asciiTheme="majorBidi" w:hAnsiTheme="majorBidi" w:cstheme="majorBidi"/>
          <w:sz w:val="24"/>
          <w:szCs w:val="24"/>
        </w:rPr>
        <w:t>he operator's proficiency in radial or femoral approaches utilising AngioSeal VCD.</w:t>
      </w:r>
    </w:p>
    <w:p w14:paraId="51E3FBE9" w14:textId="77777777" w:rsidR="00EC74E8" w:rsidRPr="006B3495" w:rsidRDefault="00EC74E8" w:rsidP="00A11B6B">
      <w:pPr>
        <w:pStyle w:val="a"/>
      </w:pPr>
      <w:bookmarkStart w:id="55" w:name="_Toc212871519"/>
      <w:r w:rsidRPr="006B3495">
        <w:lastRenderedPageBreak/>
        <w:t>2.7.2 Exclusion criteria</w:t>
      </w:r>
      <w:bookmarkEnd w:id="55"/>
    </w:p>
    <w:p w14:paraId="66E5306C" w14:textId="7B640577" w:rsidR="00BF40C2" w:rsidRPr="006B3495" w:rsidRDefault="00BF40C2" w:rsidP="00665AD7">
      <w:pPr>
        <w:pStyle w:val="ListParagraph"/>
        <w:numPr>
          <w:ilvl w:val="0"/>
          <w:numId w:val="5"/>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Patients </w:t>
      </w:r>
      <w:r w:rsidR="00764279" w:rsidRPr="00764279">
        <w:rPr>
          <w:rFonts w:asciiTheme="majorBidi" w:hAnsiTheme="majorBidi" w:cstheme="majorBidi"/>
          <w:sz w:val="24"/>
          <w:szCs w:val="24"/>
        </w:rPr>
        <w:t>younger than 18 years of age</w:t>
      </w:r>
      <w:r w:rsidR="00764279">
        <w:rPr>
          <w:rFonts w:asciiTheme="majorBidi" w:hAnsiTheme="majorBidi" w:cstheme="majorBidi"/>
          <w:sz w:val="24"/>
          <w:szCs w:val="24"/>
        </w:rPr>
        <w:t>.</w:t>
      </w:r>
    </w:p>
    <w:p w14:paraId="7331559B" w14:textId="5B920474" w:rsidR="00EC74E8" w:rsidRPr="006B3495" w:rsidRDefault="00BF4155" w:rsidP="00665AD7">
      <w:pPr>
        <w:pStyle w:val="ListParagraph"/>
        <w:numPr>
          <w:ilvl w:val="0"/>
          <w:numId w:val="5"/>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Patients who </w:t>
      </w:r>
      <w:r w:rsidR="00C07C8D">
        <w:rPr>
          <w:rFonts w:asciiTheme="majorBidi" w:hAnsiTheme="majorBidi" w:cstheme="majorBidi"/>
          <w:sz w:val="24"/>
          <w:szCs w:val="24"/>
        </w:rPr>
        <w:t>had</w:t>
      </w:r>
      <w:r w:rsidRPr="006B3495">
        <w:rPr>
          <w:rFonts w:asciiTheme="majorBidi" w:hAnsiTheme="majorBidi" w:cstheme="majorBidi"/>
          <w:sz w:val="24"/>
          <w:szCs w:val="24"/>
        </w:rPr>
        <w:t xml:space="preserve"> h</w:t>
      </w:r>
      <w:r w:rsidR="00EC74E8" w:rsidRPr="006B3495">
        <w:rPr>
          <w:rFonts w:asciiTheme="majorBidi" w:hAnsiTheme="majorBidi" w:cstheme="majorBidi"/>
          <w:sz w:val="24"/>
          <w:szCs w:val="24"/>
        </w:rPr>
        <w:t xml:space="preserve">ypersensitivity to </w:t>
      </w:r>
      <w:r w:rsidRPr="006B3495">
        <w:rPr>
          <w:rFonts w:asciiTheme="majorBidi" w:hAnsiTheme="majorBidi" w:cstheme="majorBidi"/>
          <w:sz w:val="24"/>
          <w:szCs w:val="24"/>
        </w:rPr>
        <w:t xml:space="preserve">anticoagulant </w:t>
      </w:r>
      <w:r w:rsidR="00EC74E8" w:rsidRPr="006B3495">
        <w:rPr>
          <w:rFonts w:asciiTheme="majorBidi" w:hAnsiTheme="majorBidi" w:cstheme="majorBidi"/>
          <w:sz w:val="24"/>
          <w:szCs w:val="24"/>
        </w:rPr>
        <w:t xml:space="preserve">and/or </w:t>
      </w:r>
      <w:r w:rsidRPr="006B3495">
        <w:rPr>
          <w:rFonts w:asciiTheme="majorBidi" w:hAnsiTheme="majorBidi" w:cstheme="majorBidi"/>
          <w:sz w:val="24"/>
          <w:szCs w:val="24"/>
        </w:rPr>
        <w:t>antiplatelet medications</w:t>
      </w:r>
      <w:r w:rsidR="00EC74E8" w:rsidRPr="006B3495">
        <w:rPr>
          <w:rFonts w:asciiTheme="majorBidi" w:hAnsiTheme="majorBidi" w:cstheme="majorBidi"/>
          <w:sz w:val="24"/>
          <w:szCs w:val="24"/>
          <w:rtl/>
        </w:rPr>
        <w:t>.</w:t>
      </w:r>
    </w:p>
    <w:p w14:paraId="330F980C" w14:textId="1BA41D2E" w:rsidR="00B07370" w:rsidRPr="006B3495" w:rsidRDefault="00B07370" w:rsidP="00665AD7">
      <w:pPr>
        <w:pStyle w:val="ListParagraph"/>
        <w:numPr>
          <w:ilvl w:val="0"/>
          <w:numId w:val="5"/>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Patients with long-term use of oral factor Xa antagonists, direct thrombin inhibitors, or vitamin K antagonists.</w:t>
      </w:r>
    </w:p>
    <w:p w14:paraId="1DDC5998" w14:textId="15509BEC" w:rsidR="00B07370" w:rsidRPr="006B3495" w:rsidRDefault="00B07370" w:rsidP="00665AD7">
      <w:pPr>
        <w:pStyle w:val="ListParagraph"/>
        <w:numPr>
          <w:ilvl w:val="0"/>
          <w:numId w:val="5"/>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Patients </w:t>
      </w:r>
      <w:r w:rsidR="00786481">
        <w:rPr>
          <w:rFonts w:asciiTheme="majorBidi" w:hAnsiTheme="majorBidi" w:cstheme="majorBidi"/>
          <w:sz w:val="24"/>
          <w:szCs w:val="24"/>
        </w:rPr>
        <w:t xml:space="preserve">who </w:t>
      </w:r>
      <w:r w:rsidRPr="006B3495">
        <w:rPr>
          <w:rFonts w:asciiTheme="majorBidi" w:hAnsiTheme="majorBidi" w:cstheme="majorBidi"/>
          <w:sz w:val="24"/>
          <w:szCs w:val="24"/>
        </w:rPr>
        <w:t>exhibit</w:t>
      </w:r>
      <w:r w:rsidR="00786481">
        <w:rPr>
          <w:rFonts w:asciiTheme="majorBidi" w:hAnsiTheme="majorBidi" w:cstheme="majorBidi"/>
          <w:sz w:val="24"/>
          <w:szCs w:val="24"/>
        </w:rPr>
        <w:t>ed</w:t>
      </w:r>
      <w:r w:rsidRPr="006B3495">
        <w:rPr>
          <w:rFonts w:asciiTheme="majorBidi" w:hAnsiTheme="majorBidi" w:cstheme="majorBidi"/>
          <w:sz w:val="24"/>
          <w:szCs w:val="24"/>
        </w:rPr>
        <w:t xml:space="preserve"> active bleeding or presenting a high risk of bleeding include those with a platelet count of less than 100,000 mm³, renal failure, active peptic ulcer, or severe liver failure. </w:t>
      </w:r>
    </w:p>
    <w:p w14:paraId="1E4CE66C" w14:textId="713425CC" w:rsidR="00DA7EB7" w:rsidRPr="006B3495" w:rsidRDefault="00DA7EB7" w:rsidP="00665AD7">
      <w:pPr>
        <w:pStyle w:val="ListParagraph"/>
        <w:numPr>
          <w:ilvl w:val="0"/>
          <w:numId w:val="5"/>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Patients </w:t>
      </w:r>
      <w:r w:rsidR="00786481" w:rsidRPr="00786481">
        <w:rPr>
          <w:rFonts w:asciiTheme="majorBidi" w:hAnsiTheme="majorBidi" w:cstheme="majorBidi"/>
          <w:sz w:val="24"/>
          <w:szCs w:val="24"/>
          <w:highlight w:val="yellow"/>
        </w:rPr>
        <w:t>who</w:t>
      </w:r>
      <w:r w:rsidR="004F61CF" w:rsidRPr="006B3495">
        <w:rPr>
          <w:rFonts w:asciiTheme="majorBidi" w:hAnsiTheme="majorBidi" w:cstheme="majorBidi"/>
          <w:sz w:val="24"/>
          <w:szCs w:val="24"/>
        </w:rPr>
        <w:t xml:space="preserve"> diagnosed</w:t>
      </w:r>
      <w:r w:rsidRPr="006B3495">
        <w:rPr>
          <w:rFonts w:asciiTheme="majorBidi" w:hAnsiTheme="majorBidi" w:cstheme="majorBidi"/>
          <w:sz w:val="24"/>
          <w:szCs w:val="24"/>
        </w:rPr>
        <w:t xml:space="preserve"> with cardiogenic shock.</w:t>
      </w:r>
    </w:p>
    <w:p w14:paraId="6489DF31" w14:textId="5064EB19" w:rsidR="00DA7EB7" w:rsidRPr="006B3495" w:rsidRDefault="00DA7EB7" w:rsidP="00665AD7">
      <w:pPr>
        <w:pStyle w:val="ListParagraph"/>
        <w:numPr>
          <w:ilvl w:val="0"/>
          <w:numId w:val="5"/>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Patients </w:t>
      </w:r>
      <w:r w:rsidR="00C07C8D" w:rsidRPr="00C07C8D">
        <w:rPr>
          <w:rFonts w:asciiTheme="majorBidi" w:hAnsiTheme="majorBidi" w:cstheme="majorBidi"/>
          <w:sz w:val="24"/>
          <w:szCs w:val="24"/>
          <w:highlight w:val="yellow"/>
        </w:rPr>
        <w:t>who had</w:t>
      </w:r>
      <w:r w:rsidR="00C07C8D">
        <w:rPr>
          <w:rFonts w:asciiTheme="majorBidi" w:hAnsiTheme="majorBidi" w:cstheme="majorBidi"/>
          <w:sz w:val="24"/>
          <w:szCs w:val="24"/>
        </w:rPr>
        <w:t xml:space="preserve"> </w:t>
      </w:r>
      <w:r w:rsidRPr="006B3495">
        <w:rPr>
          <w:rFonts w:asciiTheme="majorBidi" w:hAnsiTheme="majorBidi" w:cstheme="majorBidi"/>
          <w:sz w:val="24"/>
          <w:szCs w:val="24"/>
        </w:rPr>
        <w:t>uncontrolled systemic hypertension.</w:t>
      </w:r>
    </w:p>
    <w:p w14:paraId="2B9F40D5" w14:textId="71B59738" w:rsidR="0037037F" w:rsidRPr="006B3495" w:rsidRDefault="0037037F" w:rsidP="00665AD7">
      <w:pPr>
        <w:pStyle w:val="ListParagraph"/>
        <w:numPr>
          <w:ilvl w:val="0"/>
          <w:numId w:val="5"/>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Patients </w:t>
      </w:r>
      <w:r w:rsidR="00C07C8D" w:rsidRPr="00C07C8D">
        <w:rPr>
          <w:rFonts w:asciiTheme="majorBidi" w:hAnsiTheme="majorBidi" w:cstheme="majorBidi"/>
          <w:sz w:val="24"/>
          <w:szCs w:val="24"/>
          <w:highlight w:val="yellow"/>
        </w:rPr>
        <w:t>who had</w:t>
      </w:r>
      <w:r w:rsidR="00C07C8D">
        <w:rPr>
          <w:rFonts w:asciiTheme="majorBidi" w:hAnsiTheme="majorBidi" w:cstheme="majorBidi"/>
          <w:sz w:val="24"/>
          <w:szCs w:val="24"/>
        </w:rPr>
        <w:t xml:space="preserve"> </w:t>
      </w:r>
      <w:r w:rsidRPr="006B3495">
        <w:rPr>
          <w:rFonts w:asciiTheme="majorBidi" w:hAnsiTheme="majorBidi" w:cstheme="majorBidi"/>
          <w:sz w:val="24"/>
          <w:szCs w:val="24"/>
        </w:rPr>
        <w:t>a history of myocardial revascularisation surgery involving one or more internal mammary or radial artery grafts.</w:t>
      </w:r>
    </w:p>
    <w:p w14:paraId="2CD33124" w14:textId="07D87401" w:rsidR="0037037F" w:rsidRPr="006B3495" w:rsidRDefault="0037037F" w:rsidP="00665AD7">
      <w:pPr>
        <w:pStyle w:val="ListParagraph"/>
        <w:numPr>
          <w:ilvl w:val="0"/>
          <w:numId w:val="5"/>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Patients </w:t>
      </w:r>
      <w:r w:rsidR="00786481" w:rsidRPr="00786481">
        <w:rPr>
          <w:rFonts w:asciiTheme="majorBidi" w:hAnsiTheme="majorBidi" w:cstheme="majorBidi"/>
          <w:sz w:val="24"/>
          <w:szCs w:val="24"/>
          <w:highlight w:val="yellow"/>
        </w:rPr>
        <w:t>who</w:t>
      </w:r>
      <w:r w:rsidRPr="006B3495">
        <w:rPr>
          <w:rFonts w:asciiTheme="majorBidi" w:hAnsiTheme="majorBidi" w:cstheme="majorBidi"/>
          <w:sz w:val="24"/>
          <w:szCs w:val="24"/>
        </w:rPr>
        <w:t xml:space="preserve"> reported chronic peripheral arterial insufficiency that precludes the adoption of the femoral technique.</w:t>
      </w:r>
    </w:p>
    <w:p w14:paraId="22124EC0" w14:textId="2029AB78" w:rsidR="00A63BA7" w:rsidRPr="006B3495" w:rsidRDefault="00A63BA7" w:rsidP="00665AD7">
      <w:pPr>
        <w:pStyle w:val="ListParagraph"/>
        <w:numPr>
          <w:ilvl w:val="0"/>
          <w:numId w:val="5"/>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Patients </w:t>
      </w:r>
      <w:r w:rsidR="00C07C8D" w:rsidRPr="00C07C8D">
        <w:rPr>
          <w:rFonts w:asciiTheme="majorBidi" w:hAnsiTheme="majorBidi" w:cstheme="majorBidi"/>
          <w:sz w:val="24"/>
          <w:szCs w:val="24"/>
          <w:highlight w:val="yellow"/>
        </w:rPr>
        <w:t>who had</w:t>
      </w:r>
      <w:r w:rsidR="00C07C8D">
        <w:rPr>
          <w:rFonts w:asciiTheme="majorBidi" w:hAnsiTheme="majorBidi" w:cstheme="majorBidi"/>
          <w:sz w:val="24"/>
          <w:szCs w:val="24"/>
        </w:rPr>
        <w:t xml:space="preserve"> </w:t>
      </w:r>
      <w:r w:rsidRPr="006B3495">
        <w:rPr>
          <w:rFonts w:asciiTheme="majorBidi" w:hAnsiTheme="majorBidi" w:cstheme="majorBidi"/>
          <w:sz w:val="24"/>
          <w:szCs w:val="24"/>
        </w:rPr>
        <w:t>significant medical conditions along with an average life expectancy of less than 12 months.</w:t>
      </w:r>
    </w:p>
    <w:p w14:paraId="74C881D6" w14:textId="15E71080" w:rsidR="00A249D9" w:rsidRPr="006B3495" w:rsidRDefault="00A249D9" w:rsidP="00665AD7">
      <w:pPr>
        <w:pStyle w:val="ListParagraph"/>
        <w:numPr>
          <w:ilvl w:val="0"/>
          <w:numId w:val="5"/>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Patients who participated in pharmaceutical or devices investigating clinical trials within the past 30 days.</w:t>
      </w:r>
    </w:p>
    <w:p w14:paraId="1CCF3820" w14:textId="4A3C9581"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 </w:t>
      </w:r>
    </w:p>
    <w:p w14:paraId="640C6D89" w14:textId="634435CA" w:rsidR="00EC74E8" w:rsidRPr="006B3495" w:rsidRDefault="00EC74E8" w:rsidP="00A11B6B">
      <w:pPr>
        <w:pStyle w:val="a"/>
      </w:pPr>
      <w:bookmarkStart w:id="56" w:name="_Toc212871520"/>
      <w:r w:rsidRPr="006B3495">
        <w:t>2.</w:t>
      </w:r>
      <w:r w:rsidR="002864DB">
        <w:t>8</w:t>
      </w:r>
      <w:r w:rsidRPr="006B3495">
        <w:t xml:space="preserve"> Data collection procedure</w:t>
      </w:r>
      <w:bookmarkEnd w:id="56"/>
    </w:p>
    <w:p w14:paraId="1C9E530F" w14:textId="4725C45A" w:rsidR="00434610" w:rsidRPr="002864DB" w:rsidRDefault="00434610" w:rsidP="002864DB">
      <w:pPr>
        <w:spacing w:after="240" w:line="480" w:lineRule="auto"/>
        <w:jc w:val="both"/>
        <w:rPr>
          <w:rFonts w:asciiTheme="majorBidi" w:hAnsiTheme="majorBidi" w:cstheme="majorBidi"/>
          <w:strike/>
          <w:color w:val="FF0000"/>
          <w:sz w:val="24"/>
          <w:szCs w:val="24"/>
        </w:rPr>
      </w:pPr>
      <w:r w:rsidRPr="00964664">
        <w:rPr>
          <w:rFonts w:asciiTheme="majorBidi" w:hAnsiTheme="majorBidi" w:cstheme="majorBidi"/>
          <w:sz w:val="24"/>
          <w:szCs w:val="24"/>
          <w:highlight w:val="yellow"/>
        </w:rPr>
        <w:t xml:space="preserve">The data </w:t>
      </w:r>
      <w:r w:rsidR="007C6C84" w:rsidRPr="00964664">
        <w:rPr>
          <w:rFonts w:asciiTheme="majorBidi" w:hAnsiTheme="majorBidi" w:cstheme="majorBidi"/>
          <w:sz w:val="24"/>
          <w:szCs w:val="24"/>
          <w:highlight w:val="yellow"/>
        </w:rPr>
        <w:t xml:space="preserve">collected </w:t>
      </w:r>
      <w:r w:rsidR="00341FE5" w:rsidRPr="00964664">
        <w:rPr>
          <w:rFonts w:asciiTheme="majorBidi" w:hAnsiTheme="majorBidi" w:cstheme="majorBidi"/>
          <w:sz w:val="24"/>
          <w:szCs w:val="24"/>
          <w:highlight w:val="yellow"/>
        </w:rPr>
        <w:t>was</w:t>
      </w:r>
      <w:r w:rsidR="007C6C84" w:rsidRPr="00964664">
        <w:rPr>
          <w:rFonts w:asciiTheme="majorBidi" w:hAnsiTheme="majorBidi" w:cstheme="majorBidi"/>
          <w:sz w:val="24"/>
          <w:szCs w:val="24"/>
          <w:highlight w:val="yellow"/>
        </w:rPr>
        <w:t xml:space="preserve"> </w:t>
      </w:r>
      <w:r w:rsidRPr="00964664">
        <w:rPr>
          <w:rFonts w:asciiTheme="majorBidi" w:hAnsiTheme="majorBidi" w:cstheme="majorBidi"/>
          <w:sz w:val="24"/>
          <w:szCs w:val="24"/>
          <w:highlight w:val="yellow"/>
        </w:rPr>
        <w:t>obtain</w:t>
      </w:r>
      <w:r w:rsidR="007C6C84" w:rsidRPr="00964664">
        <w:rPr>
          <w:rFonts w:asciiTheme="majorBidi" w:hAnsiTheme="majorBidi" w:cstheme="majorBidi"/>
          <w:sz w:val="24"/>
          <w:szCs w:val="24"/>
          <w:highlight w:val="yellow"/>
        </w:rPr>
        <w:t xml:space="preserve">ed </w:t>
      </w:r>
      <w:r w:rsidR="00341FE5" w:rsidRPr="00964664">
        <w:rPr>
          <w:rFonts w:asciiTheme="majorBidi" w:hAnsiTheme="majorBidi" w:cstheme="majorBidi"/>
          <w:sz w:val="24"/>
          <w:szCs w:val="24"/>
          <w:highlight w:val="yellow"/>
        </w:rPr>
        <w:t>after get</w:t>
      </w:r>
      <w:r w:rsidRPr="00964664">
        <w:rPr>
          <w:rFonts w:asciiTheme="majorBidi" w:hAnsiTheme="majorBidi" w:cstheme="majorBidi"/>
          <w:sz w:val="24"/>
          <w:szCs w:val="24"/>
          <w:highlight w:val="yellow"/>
        </w:rPr>
        <w:t xml:space="preserve"> permission from the Institutional Review Board (IRB). </w:t>
      </w:r>
      <w:r w:rsidR="00DE76B2" w:rsidRPr="00964664">
        <w:rPr>
          <w:rFonts w:asciiTheme="majorBidi" w:hAnsiTheme="majorBidi" w:cstheme="majorBidi"/>
          <w:color w:val="FF0000"/>
          <w:sz w:val="24"/>
          <w:szCs w:val="24"/>
          <w:highlight w:val="yellow"/>
        </w:rPr>
        <w:t xml:space="preserve">The </w:t>
      </w:r>
      <w:r w:rsidR="00C84551" w:rsidRPr="004944B1">
        <w:rPr>
          <w:rFonts w:asciiTheme="majorBidi" w:hAnsiTheme="majorBidi" w:cstheme="majorBidi"/>
          <w:color w:val="FF0000"/>
          <w:sz w:val="24"/>
          <w:szCs w:val="24"/>
          <w:highlight w:val="yellow"/>
        </w:rPr>
        <w:t>researcher collected data for the study through</w:t>
      </w:r>
      <w:r w:rsidR="00C84551" w:rsidRPr="006B3495">
        <w:rPr>
          <w:rFonts w:asciiTheme="majorBidi" w:hAnsiTheme="majorBidi" w:cstheme="majorBidi"/>
          <w:sz w:val="24"/>
          <w:szCs w:val="24"/>
          <w:highlight w:val="yellow"/>
        </w:rPr>
        <w:t xml:space="preserve"> </w:t>
      </w:r>
      <w:r w:rsidRPr="006B3495">
        <w:rPr>
          <w:rFonts w:asciiTheme="majorBidi" w:hAnsiTheme="majorBidi" w:cstheme="majorBidi"/>
          <w:sz w:val="24"/>
          <w:szCs w:val="24"/>
          <w:highlight w:val="yellow"/>
        </w:rPr>
        <w:t xml:space="preserve">the hospital’s electronic </w:t>
      </w:r>
      <w:r w:rsidRPr="006B3495">
        <w:rPr>
          <w:rFonts w:asciiTheme="majorBidi" w:hAnsiTheme="majorBidi" w:cstheme="majorBidi"/>
          <w:sz w:val="24"/>
          <w:szCs w:val="24"/>
          <w:highlight w:val="yellow"/>
        </w:rPr>
        <w:lastRenderedPageBreak/>
        <w:t xml:space="preserve">medical record (EMR) system and archived paper files through the medical records department with official permission from the hospital administration. Data were retrospectively retrieved </w:t>
      </w:r>
      <w:r w:rsidR="00DE76B2" w:rsidRPr="00DC2CDB">
        <w:rPr>
          <w:rFonts w:asciiTheme="majorBidi" w:hAnsiTheme="majorBidi" w:cstheme="majorBidi"/>
          <w:color w:val="FF0000"/>
          <w:sz w:val="24"/>
          <w:szCs w:val="24"/>
          <w:highlight w:val="yellow"/>
        </w:rPr>
        <w:t>from</w:t>
      </w:r>
      <w:r w:rsidRPr="00DC2CDB">
        <w:rPr>
          <w:rFonts w:asciiTheme="majorBidi" w:hAnsiTheme="majorBidi" w:cstheme="majorBidi"/>
          <w:color w:val="FF0000"/>
          <w:sz w:val="24"/>
          <w:szCs w:val="24"/>
          <w:highlight w:val="yellow"/>
        </w:rPr>
        <w:t xml:space="preserve"> </w:t>
      </w:r>
      <w:r w:rsidRPr="006B3495">
        <w:rPr>
          <w:rFonts w:asciiTheme="majorBidi" w:hAnsiTheme="majorBidi" w:cstheme="majorBidi"/>
          <w:sz w:val="24"/>
          <w:szCs w:val="24"/>
          <w:highlight w:val="yellow"/>
        </w:rPr>
        <w:t xml:space="preserve">all </w:t>
      </w:r>
      <w:r w:rsidR="00EA715E" w:rsidRPr="006B3495">
        <w:rPr>
          <w:rFonts w:asciiTheme="majorBidi" w:hAnsiTheme="majorBidi" w:cstheme="majorBidi"/>
          <w:sz w:val="24"/>
          <w:szCs w:val="24"/>
          <w:highlight w:val="yellow"/>
        </w:rPr>
        <w:t>patients’</w:t>
      </w:r>
      <w:r w:rsidR="00DE76B2">
        <w:rPr>
          <w:rFonts w:asciiTheme="majorBidi" w:hAnsiTheme="majorBidi" w:cstheme="majorBidi"/>
          <w:sz w:val="24"/>
          <w:szCs w:val="24"/>
          <w:highlight w:val="yellow"/>
        </w:rPr>
        <w:t xml:space="preserve"> </w:t>
      </w:r>
      <w:r w:rsidR="00DE76B2" w:rsidRPr="00DE76B2">
        <w:rPr>
          <w:rFonts w:asciiTheme="majorBidi" w:hAnsiTheme="majorBidi" w:cstheme="majorBidi"/>
          <w:color w:val="FF0000"/>
          <w:sz w:val="24"/>
          <w:szCs w:val="24"/>
          <w:highlight w:val="yellow"/>
        </w:rPr>
        <w:t>files</w:t>
      </w:r>
      <w:r w:rsidR="00DC2CDB">
        <w:rPr>
          <w:rFonts w:asciiTheme="majorBidi" w:hAnsiTheme="majorBidi" w:cstheme="majorBidi"/>
          <w:color w:val="FF0000"/>
          <w:sz w:val="24"/>
          <w:szCs w:val="24"/>
          <w:highlight w:val="yellow"/>
        </w:rPr>
        <w:t xml:space="preserve"> for patients</w:t>
      </w:r>
      <w:r w:rsidRPr="006B3495">
        <w:rPr>
          <w:rFonts w:asciiTheme="majorBidi" w:hAnsiTheme="majorBidi" w:cstheme="majorBidi"/>
          <w:sz w:val="24"/>
          <w:szCs w:val="24"/>
          <w:highlight w:val="yellow"/>
        </w:rPr>
        <w:t xml:space="preserve"> who underwent PCI via TRA </w:t>
      </w:r>
      <w:r w:rsidRPr="007C6C84">
        <w:rPr>
          <w:rFonts w:asciiTheme="majorBidi" w:hAnsiTheme="majorBidi" w:cstheme="majorBidi"/>
          <w:strike/>
          <w:sz w:val="24"/>
          <w:szCs w:val="24"/>
          <w:highlight w:val="yellow"/>
        </w:rPr>
        <w:t>or</w:t>
      </w:r>
      <w:r w:rsidR="007C6C84">
        <w:rPr>
          <w:rFonts w:asciiTheme="majorBidi" w:hAnsiTheme="majorBidi" w:cstheme="majorBidi"/>
          <w:sz w:val="24"/>
          <w:szCs w:val="24"/>
          <w:highlight w:val="yellow"/>
        </w:rPr>
        <w:t xml:space="preserve"> and</w:t>
      </w:r>
      <w:r w:rsidRPr="006B3495">
        <w:rPr>
          <w:rFonts w:asciiTheme="majorBidi" w:hAnsiTheme="majorBidi" w:cstheme="majorBidi"/>
          <w:sz w:val="24"/>
          <w:szCs w:val="24"/>
          <w:highlight w:val="yellow"/>
        </w:rPr>
        <w:t xml:space="preserve"> TFA with VCD</w:t>
      </w:r>
      <w:r w:rsidR="00EA715E" w:rsidRPr="00EA715E">
        <w:rPr>
          <w:rFonts w:asciiTheme="majorBidi" w:hAnsiTheme="majorBidi" w:cstheme="majorBidi"/>
          <w:sz w:val="24"/>
          <w:szCs w:val="24"/>
          <w:highlight w:val="yellow"/>
        </w:rPr>
        <w:t>.</w:t>
      </w:r>
      <w:r w:rsidR="002864DB">
        <w:rPr>
          <w:rFonts w:asciiTheme="majorBidi" w:hAnsiTheme="majorBidi" w:cstheme="majorBidi"/>
          <w:sz w:val="24"/>
          <w:szCs w:val="24"/>
        </w:rPr>
        <w:t xml:space="preserve"> It</w:t>
      </w:r>
      <w:r w:rsidR="002864DB" w:rsidRPr="006B3495">
        <w:rPr>
          <w:rFonts w:asciiTheme="majorBidi" w:hAnsiTheme="majorBidi" w:cstheme="majorBidi"/>
          <w:sz w:val="24"/>
          <w:szCs w:val="24"/>
        </w:rPr>
        <w:t xml:space="preserve"> consist</w:t>
      </w:r>
      <w:r w:rsidR="002864DB">
        <w:rPr>
          <w:rFonts w:asciiTheme="majorBidi" w:hAnsiTheme="majorBidi" w:cstheme="majorBidi"/>
          <w:sz w:val="24"/>
          <w:szCs w:val="24"/>
        </w:rPr>
        <w:t>ed</w:t>
      </w:r>
      <w:r w:rsidR="002864DB" w:rsidRPr="006B3495">
        <w:rPr>
          <w:rFonts w:asciiTheme="majorBidi" w:hAnsiTheme="majorBidi" w:cstheme="majorBidi"/>
          <w:sz w:val="24"/>
          <w:szCs w:val="24"/>
        </w:rPr>
        <w:t xml:space="preserve"> of three parts: the first part include</w:t>
      </w:r>
      <w:r w:rsidR="002864DB">
        <w:rPr>
          <w:rFonts w:asciiTheme="majorBidi" w:hAnsiTheme="majorBidi" w:cstheme="majorBidi"/>
          <w:sz w:val="24"/>
          <w:szCs w:val="24"/>
        </w:rPr>
        <w:t>d</w:t>
      </w:r>
      <w:r w:rsidR="002864DB" w:rsidRPr="006B3495">
        <w:rPr>
          <w:rFonts w:asciiTheme="majorBidi" w:hAnsiTheme="majorBidi" w:cstheme="majorBidi"/>
          <w:sz w:val="24"/>
          <w:szCs w:val="24"/>
        </w:rPr>
        <w:t xml:space="preserve"> demographic data (age, gender, height, weight, and diagnosis of the patient and the type of procedure etc.). The second part include</w:t>
      </w:r>
      <w:r w:rsidR="002864DB">
        <w:rPr>
          <w:rFonts w:asciiTheme="majorBidi" w:hAnsiTheme="majorBidi" w:cstheme="majorBidi"/>
          <w:sz w:val="24"/>
          <w:szCs w:val="24"/>
        </w:rPr>
        <w:t>d</w:t>
      </w:r>
      <w:r w:rsidR="002864DB" w:rsidRPr="006B3495">
        <w:rPr>
          <w:rFonts w:asciiTheme="majorBidi" w:hAnsiTheme="majorBidi" w:cstheme="majorBidi"/>
          <w:sz w:val="24"/>
          <w:szCs w:val="24"/>
        </w:rPr>
        <w:t xml:space="preserve"> health information (cardiovascular risks like hypertension, diabetes, dyslipidemia, smoking, family history of coronary artery disease (CAD), and clinical data on admission. The third part include</w:t>
      </w:r>
      <w:r w:rsidR="002864DB">
        <w:rPr>
          <w:rFonts w:asciiTheme="majorBidi" w:hAnsiTheme="majorBidi" w:cstheme="majorBidi"/>
          <w:sz w:val="24"/>
          <w:szCs w:val="24"/>
        </w:rPr>
        <w:t>d</w:t>
      </w:r>
      <w:r w:rsidR="002864DB" w:rsidRPr="006B3495">
        <w:rPr>
          <w:rFonts w:asciiTheme="majorBidi" w:hAnsiTheme="majorBidi" w:cstheme="majorBidi"/>
          <w:sz w:val="24"/>
          <w:szCs w:val="24"/>
        </w:rPr>
        <w:t xml:space="preserve"> clinical complications such as bleeding), vascular complications such as arterio-venous fistula, pseudoaneurysm, </w:t>
      </w:r>
      <w:r w:rsidR="002864DB" w:rsidRPr="007F19D0">
        <w:rPr>
          <w:rFonts w:asciiTheme="majorBidi" w:hAnsiTheme="majorBidi" w:cstheme="majorBidi"/>
          <w:sz w:val="24"/>
          <w:szCs w:val="24"/>
        </w:rPr>
        <w:t>leg ischemia, upper limb ischemia</w:t>
      </w:r>
      <w:r w:rsidR="002864DB" w:rsidRPr="006B3495">
        <w:rPr>
          <w:rFonts w:asciiTheme="majorBidi" w:hAnsiTheme="majorBidi" w:cstheme="majorBidi"/>
          <w:sz w:val="24"/>
          <w:szCs w:val="24"/>
        </w:rPr>
        <w:t xml:space="preserve">, asymptomatic arterial occlusion, </w:t>
      </w:r>
      <w:r w:rsidR="002864DB" w:rsidRPr="006B3495">
        <w:rPr>
          <w:rFonts w:asciiTheme="majorBidi" w:hAnsiTheme="majorBidi" w:cstheme="majorBidi"/>
          <w:sz w:val="24"/>
          <w:szCs w:val="24"/>
          <w:highlight w:val="yellow"/>
        </w:rPr>
        <w:t>nerve</w:t>
      </w:r>
      <w:r w:rsidR="002864DB" w:rsidRPr="006B3495">
        <w:rPr>
          <w:rFonts w:asciiTheme="majorBidi" w:hAnsiTheme="majorBidi" w:cstheme="majorBidi"/>
          <w:sz w:val="24"/>
          <w:szCs w:val="24"/>
        </w:rPr>
        <w:t xml:space="preserve"> injuries, vascular surgical repair, and local site complications such as local site infection, access site oozing and local hematoma (</w:t>
      </w:r>
      <w:r w:rsidR="002864DB" w:rsidRPr="007702B9">
        <w:rPr>
          <w:rFonts w:asciiTheme="majorBidi" w:hAnsiTheme="majorBidi" w:cstheme="majorBidi"/>
          <w:sz w:val="24"/>
          <w:szCs w:val="24"/>
        </w:rPr>
        <w:t xml:space="preserve">Appendix </w:t>
      </w:r>
      <w:r w:rsidR="002864DB">
        <w:rPr>
          <w:rFonts w:asciiTheme="majorBidi" w:hAnsiTheme="majorBidi" w:cstheme="majorBidi"/>
          <w:sz w:val="24"/>
          <w:szCs w:val="24"/>
        </w:rPr>
        <w:t>A</w:t>
      </w:r>
      <w:r w:rsidR="002864DB" w:rsidRPr="006B3495">
        <w:rPr>
          <w:rFonts w:asciiTheme="majorBidi" w:hAnsiTheme="majorBidi" w:cstheme="majorBidi"/>
          <w:sz w:val="24"/>
          <w:szCs w:val="24"/>
        </w:rPr>
        <w:t>). Another procedural detail was studied, which included procedural success rate, time for the procedure, time to ambulation, and hospital length of stay</w:t>
      </w:r>
    </w:p>
    <w:p w14:paraId="7B715B79" w14:textId="3611469F" w:rsidR="00EC74E8" w:rsidRPr="006B3495" w:rsidRDefault="00EC74E8" w:rsidP="00A11B6B">
      <w:pPr>
        <w:pStyle w:val="a"/>
        <w:rPr>
          <w:rtl/>
          <w:lang w:bidi="ar-AE"/>
        </w:rPr>
      </w:pPr>
      <w:bookmarkStart w:id="57" w:name="_Toc212871521"/>
      <w:r w:rsidRPr="006B3495">
        <w:t>2.</w:t>
      </w:r>
      <w:r w:rsidR="002864DB">
        <w:t>9</w:t>
      </w:r>
      <w:r w:rsidRPr="006B3495">
        <w:t xml:space="preserve"> Study procedure</w:t>
      </w:r>
      <w:bookmarkEnd w:id="57"/>
    </w:p>
    <w:p w14:paraId="3BE9073C" w14:textId="34E43D29" w:rsidR="0054123C"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Patients admitted who were </w:t>
      </w:r>
      <w:r w:rsidR="007003D5" w:rsidRPr="006B3495">
        <w:rPr>
          <w:rFonts w:asciiTheme="majorBidi" w:hAnsiTheme="majorBidi" w:cstheme="majorBidi"/>
          <w:sz w:val="24"/>
          <w:szCs w:val="24"/>
        </w:rPr>
        <w:t>planned</w:t>
      </w:r>
      <w:r w:rsidRPr="006B3495">
        <w:rPr>
          <w:rFonts w:asciiTheme="majorBidi" w:hAnsiTheme="majorBidi" w:cstheme="majorBidi"/>
          <w:sz w:val="24"/>
          <w:szCs w:val="24"/>
        </w:rPr>
        <w:t xml:space="preserve"> for early invasive stratification </w:t>
      </w:r>
      <w:r w:rsidR="007003D5" w:rsidRPr="006B3495">
        <w:rPr>
          <w:rFonts w:asciiTheme="majorBidi" w:hAnsiTheme="majorBidi" w:cstheme="majorBidi"/>
          <w:sz w:val="24"/>
          <w:szCs w:val="24"/>
        </w:rPr>
        <w:t xml:space="preserve">via </w:t>
      </w:r>
      <w:r w:rsidRPr="006B3495">
        <w:rPr>
          <w:rFonts w:asciiTheme="majorBidi" w:hAnsiTheme="majorBidi" w:cstheme="majorBidi"/>
          <w:sz w:val="24"/>
          <w:szCs w:val="24"/>
        </w:rPr>
        <w:t xml:space="preserve">CAG </w:t>
      </w:r>
      <w:r w:rsidR="007003D5" w:rsidRPr="006B3495">
        <w:rPr>
          <w:rFonts w:asciiTheme="majorBidi" w:hAnsiTheme="majorBidi" w:cstheme="majorBidi"/>
          <w:sz w:val="24"/>
          <w:szCs w:val="24"/>
        </w:rPr>
        <w:t>subsequent to</w:t>
      </w:r>
      <w:r w:rsidRPr="006B3495">
        <w:rPr>
          <w:rFonts w:asciiTheme="majorBidi" w:hAnsiTheme="majorBidi" w:cstheme="majorBidi"/>
          <w:sz w:val="24"/>
          <w:szCs w:val="24"/>
        </w:rPr>
        <w:t xml:space="preserve"> PCI, </w:t>
      </w:r>
      <w:r w:rsidR="007003D5" w:rsidRPr="006B3495">
        <w:rPr>
          <w:rFonts w:asciiTheme="majorBidi" w:hAnsiTheme="majorBidi" w:cstheme="majorBidi"/>
          <w:sz w:val="24"/>
          <w:szCs w:val="24"/>
        </w:rPr>
        <w:t xml:space="preserve">were assessed </w:t>
      </w:r>
      <w:r w:rsidR="00911F6F" w:rsidRPr="006B3495">
        <w:rPr>
          <w:rFonts w:asciiTheme="majorBidi" w:hAnsiTheme="majorBidi" w:cstheme="majorBidi"/>
          <w:sz w:val="24"/>
          <w:szCs w:val="24"/>
        </w:rPr>
        <w:t>when applicable</w:t>
      </w:r>
      <w:r w:rsidR="00911F6F">
        <w:rPr>
          <w:rFonts w:asciiTheme="majorBidi" w:hAnsiTheme="majorBidi" w:cstheme="majorBidi"/>
          <w:sz w:val="24"/>
          <w:szCs w:val="24"/>
        </w:rPr>
        <w:t xml:space="preserve"> </w:t>
      </w:r>
      <w:r w:rsidR="007003D5" w:rsidRPr="006B3495">
        <w:rPr>
          <w:rFonts w:asciiTheme="majorBidi" w:hAnsiTheme="majorBidi" w:cstheme="majorBidi"/>
          <w:sz w:val="24"/>
          <w:szCs w:val="24"/>
        </w:rPr>
        <w:t>regarding the feasibility of femoral and radial access procedures utilizing VCD</w:t>
      </w:r>
      <w:r w:rsidR="00221CE5" w:rsidRPr="006B3495">
        <w:rPr>
          <w:rFonts w:asciiTheme="majorBidi" w:hAnsiTheme="majorBidi" w:cstheme="majorBidi"/>
          <w:sz w:val="24"/>
          <w:szCs w:val="24"/>
        </w:rPr>
        <w:t xml:space="preserve">. </w:t>
      </w:r>
      <w:r w:rsidR="0054123C" w:rsidRPr="006B3495">
        <w:rPr>
          <w:rFonts w:asciiTheme="majorBidi" w:hAnsiTheme="majorBidi" w:cstheme="majorBidi"/>
          <w:sz w:val="24"/>
          <w:szCs w:val="24"/>
        </w:rPr>
        <w:t xml:space="preserve">Femoral and radial PCI were conducted utilising the Judkins technique, employing 6-French diameter sheaths and pre-molded catheters for selective catheterisation of the right and left coronary arteries, allowing for diameter adjustments at the operator's discretion. </w:t>
      </w:r>
      <w:r w:rsidR="00F4250C" w:rsidRPr="006B3495">
        <w:rPr>
          <w:rFonts w:asciiTheme="majorBidi" w:hAnsiTheme="majorBidi" w:cstheme="majorBidi"/>
          <w:sz w:val="24"/>
          <w:szCs w:val="24"/>
        </w:rPr>
        <w:t>Individuals with multi-arterial coronary disease were subjected to PCI following a consensus and decision of the heart surgeon, clinical cardiologist, and interventionist.</w:t>
      </w:r>
    </w:p>
    <w:p w14:paraId="20AB33DD" w14:textId="0DEB7482" w:rsidR="000734C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lastRenderedPageBreak/>
        <w:t xml:space="preserve">For TRA: </w:t>
      </w:r>
      <w:r w:rsidR="00C954ED" w:rsidRPr="006B3495">
        <w:rPr>
          <w:rFonts w:asciiTheme="majorBidi" w:hAnsiTheme="majorBidi" w:cstheme="majorBidi"/>
          <w:sz w:val="24"/>
          <w:szCs w:val="24"/>
        </w:rPr>
        <w:t xml:space="preserve">The TR Band device (Terumo Medical Corporation, Tokyo, JP) was utilised to achieve </w:t>
      </w:r>
      <w:r w:rsidR="008E2D51" w:rsidRPr="007C6C84">
        <w:rPr>
          <w:rFonts w:asciiTheme="majorBidi" w:hAnsiTheme="majorBidi" w:cstheme="majorBidi"/>
          <w:sz w:val="24"/>
          <w:szCs w:val="24"/>
        </w:rPr>
        <w:t>hemostasis</w:t>
      </w:r>
      <w:r w:rsidR="00C954ED" w:rsidRPr="006B3495">
        <w:rPr>
          <w:rFonts w:asciiTheme="majorBidi" w:hAnsiTheme="majorBidi" w:cstheme="majorBidi"/>
          <w:sz w:val="24"/>
          <w:szCs w:val="24"/>
        </w:rPr>
        <w:t xml:space="preserve"> immediately following the completion of the procedure.</w:t>
      </w:r>
      <w:r w:rsidR="00430F60" w:rsidRPr="006B3495">
        <w:rPr>
          <w:rFonts w:asciiTheme="majorBidi" w:hAnsiTheme="majorBidi" w:cstheme="majorBidi"/>
          <w:sz w:val="24"/>
          <w:szCs w:val="24"/>
        </w:rPr>
        <w:t xml:space="preserve"> The sheath had previously retracted by around two centimetres. The device was positioned on the individual's body with the green marker, situated at the centre of the larger balloon, aligned precisely with the puncture hole to facilitate location, visualisation, and management of potential bleeding.</w:t>
      </w:r>
      <w:r w:rsidR="008F4F85" w:rsidRPr="006B3495">
        <w:rPr>
          <w:rFonts w:asciiTheme="majorBidi" w:hAnsiTheme="majorBidi" w:cstheme="majorBidi"/>
          <w:sz w:val="24"/>
          <w:szCs w:val="24"/>
        </w:rPr>
        <w:t xml:space="preserve"> The balloon was inflated using a syringe to inject fifteen millilitres of air while </w:t>
      </w:r>
      <w:r w:rsidR="008F4F85" w:rsidRPr="00ED2221">
        <w:rPr>
          <w:rFonts w:asciiTheme="majorBidi" w:hAnsiTheme="majorBidi" w:cstheme="majorBidi"/>
          <w:sz w:val="24"/>
          <w:szCs w:val="24"/>
        </w:rPr>
        <w:t>simultaneously removing the sheath, which eventually led to the absence of active bleeding.</w:t>
      </w:r>
      <w:r w:rsidR="009F5D41" w:rsidRPr="00ED2221">
        <w:rPr>
          <w:rFonts w:asciiTheme="majorBidi" w:hAnsiTheme="majorBidi" w:cstheme="majorBidi"/>
          <w:sz w:val="24"/>
          <w:szCs w:val="24"/>
        </w:rPr>
        <w:t xml:space="preserve"> Beginning at the end of the fourth hour and continuing at each subsequent hour (fifth and sixth hours), </w:t>
      </w:r>
      <w:r w:rsidR="009F5D41" w:rsidRPr="006B3495">
        <w:rPr>
          <w:rFonts w:asciiTheme="majorBidi" w:hAnsiTheme="majorBidi" w:cstheme="majorBidi"/>
          <w:sz w:val="24"/>
          <w:szCs w:val="24"/>
        </w:rPr>
        <w:t xml:space="preserve">five millilitres of air was gradually extracted while keeping the balloon attached to the syringe and controlling the plunger with the thumb. </w:t>
      </w:r>
      <w:r w:rsidR="00764167" w:rsidRPr="006B3495">
        <w:rPr>
          <w:rFonts w:asciiTheme="majorBidi" w:hAnsiTheme="majorBidi" w:cstheme="majorBidi"/>
          <w:sz w:val="24"/>
          <w:szCs w:val="24"/>
        </w:rPr>
        <w:t xml:space="preserve">In the event of bleeding throughout any phase of device removal, the required volume of air </w:t>
      </w:r>
      <w:r w:rsidR="00764167" w:rsidRPr="007C6C84">
        <w:rPr>
          <w:rFonts w:asciiTheme="majorBidi" w:hAnsiTheme="majorBidi" w:cstheme="majorBidi"/>
          <w:sz w:val="24"/>
          <w:szCs w:val="24"/>
        </w:rPr>
        <w:t xml:space="preserve">for </w:t>
      </w:r>
      <w:r w:rsidR="008E2D51" w:rsidRPr="007C6C84">
        <w:rPr>
          <w:rFonts w:asciiTheme="majorBidi" w:hAnsiTheme="majorBidi" w:cstheme="majorBidi"/>
          <w:sz w:val="24"/>
          <w:szCs w:val="24"/>
        </w:rPr>
        <w:t xml:space="preserve">hemostasis </w:t>
      </w:r>
      <w:r w:rsidR="00764167" w:rsidRPr="007C6C84">
        <w:rPr>
          <w:rFonts w:asciiTheme="majorBidi" w:hAnsiTheme="majorBidi" w:cstheme="majorBidi"/>
          <w:sz w:val="24"/>
          <w:szCs w:val="24"/>
        </w:rPr>
        <w:t xml:space="preserve">is re-injected, with the procedure repeated after 60 minutes. </w:t>
      </w:r>
      <w:r w:rsidR="000734C8" w:rsidRPr="007C6C84">
        <w:rPr>
          <w:rFonts w:asciiTheme="majorBidi" w:hAnsiTheme="majorBidi" w:cstheme="majorBidi"/>
          <w:sz w:val="24"/>
          <w:szCs w:val="24"/>
        </w:rPr>
        <w:t xml:space="preserve">In the event of device failure, </w:t>
      </w:r>
      <w:r w:rsidR="008E2D51" w:rsidRPr="007C6C84">
        <w:rPr>
          <w:rFonts w:asciiTheme="majorBidi" w:hAnsiTheme="majorBidi" w:cstheme="majorBidi"/>
          <w:sz w:val="24"/>
          <w:szCs w:val="24"/>
        </w:rPr>
        <w:t>hemostasis</w:t>
      </w:r>
      <w:r w:rsidR="008E2D51" w:rsidRPr="006B3495">
        <w:rPr>
          <w:rFonts w:asciiTheme="majorBidi" w:hAnsiTheme="majorBidi" w:cstheme="majorBidi"/>
          <w:sz w:val="24"/>
          <w:szCs w:val="24"/>
        </w:rPr>
        <w:t xml:space="preserve"> </w:t>
      </w:r>
      <w:r w:rsidR="006C5641">
        <w:rPr>
          <w:rFonts w:asciiTheme="majorBidi" w:hAnsiTheme="majorBidi" w:cstheme="majorBidi"/>
          <w:sz w:val="24"/>
          <w:szCs w:val="24"/>
        </w:rPr>
        <w:t>was</w:t>
      </w:r>
      <w:r w:rsidR="000734C8" w:rsidRPr="006B3495">
        <w:rPr>
          <w:rFonts w:asciiTheme="majorBidi" w:hAnsiTheme="majorBidi" w:cstheme="majorBidi"/>
          <w:sz w:val="24"/>
          <w:szCs w:val="24"/>
        </w:rPr>
        <w:t xml:space="preserve"> achieved through the application of a compressive dressing utilising a porous elastic adhesive bandage.</w:t>
      </w:r>
    </w:p>
    <w:p w14:paraId="5A746487" w14:textId="0B35514B"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For TFA using VCD: </w:t>
      </w:r>
      <w:r w:rsidR="005534AE" w:rsidRPr="006B3495">
        <w:rPr>
          <w:rFonts w:asciiTheme="majorBidi" w:hAnsiTheme="majorBidi" w:cstheme="majorBidi"/>
          <w:sz w:val="24"/>
          <w:szCs w:val="24"/>
        </w:rPr>
        <w:t>The AngioSeal (VCD), consisting of an absorbable collagen sponge and an absorbable polymer anchor made of polylactic and polyglycolic acid</w:t>
      </w:r>
      <w:r w:rsidR="00F03985">
        <w:rPr>
          <w:rFonts w:asciiTheme="majorBidi" w:hAnsiTheme="majorBidi" w:cstheme="majorBidi"/>
          <w:sz w:val="24"/>
          <w:szCs w:val="24"/>
        </w:rPr>
        <w:t xml:space="preserve"> </w:t>
      </w:r>
      <w:r w:rsidR="005534AE" w:rsidRPr="006B3495">
        <w:rPr>
          <w:rFonts w:asciiTheme="majorBidi" w:hAnsiTheme="majorBidi" w:cstheme="majorBidi"/>
          <w:sz w:val="24"/>
          <w:szCs w:val="24"/>
        </w:rPr>
        <w:t>linked by an absorbable self-adjustable suture was used for haemostasis.</w:t>
      </w:r>
      <w:r w:rsidR="00DC73C0" w:rsidRPr="006B3495">
        <w:rPr>
          <w:rFonts w:asciiTheme="majorBidi" w:hAnsiTheme="majorBidi" w:cstheme="majorBidi"/>
          <w:sz w:val="24"/>
          <w:szCs w:val="24"/>
        </w:rPr>
        <w:t xml:space="preserve"> The device occludes the arteriot</w:t>
      </w:r>
      <w:r w:rsidR="00DC73C0" w:rsidRPr="00ED2221">
        <w:rPr>
          <w:rFonts w:asciiTheme="majorBidi" w:hAnsiTheme="majorBidi" w:cstheme="majorBidi"/>
          <w:sz w:val="24"/>
          <w:szCs w:val="24"/>
        </w:rPr>
        <w:t>omy aperture between its two primary components, the collagen sponge and anchor.</w:t>
      </w:r>
      <w:r w:rsidR="005F6BD9" w:rsidRPr="00ED2221">
        <w:rPr>
          <w:rFonts w:asciiTheme="majorBidi" w:hAnsiTheme="majorBidi" w:cstheme="majorBidi"/>
          <w:sz w:val="24"/>
          <w:szCs w:val="24"/>
        </w:rPr>
        <w:t xml:space="preserve"> </w:t>
      </w:r>
      <w:r w:rsidR="005F6BD9" w:rsidRPr="006B3495">
        <w:rPr>
          <w:rFonts w:asciiTheme="majorBidi" w:hAnsiTheme="majorBidi" w:cstheme="majorBidi"/>
          <w:sz w:val="24"/>
          <w:szCs w:val="24"/>
        </w:rPr>
        <w:t xml:space="preserve">Haemostasis </w:t>
      </w:r>
      <w:r w:rsidR="00A6296A">
        <w:rPr>
          <w:rFonts w:asciiTheme="majorBidi" w:hAnsiTheme="majorBidi" w:cstheme="majorBidi"/>
          <w:sz w:val="24"/>
          <w:szCs w:val="24"/>
        </w:rPr>
        <w:t>was</w:t>
      </w:r>
      <w:r w:rsidR="005F6BD9" w:rsidRPr="006B3495">
        <w:rPr>
          <w:rFonts w:asciiTheme="majorBidi" w:hAnsiTheme="majorBidi" w:cstheme="majorBidi"/>
          <w:sz w:val="24"/>
          <w:szCs w:val="24"/>
        </w:rPr>
        <w:t xml:space="preserve"> generally achieved by mechanical methods enhanced by the collagen's ability to induce platelet aggregation. The device was released in accordance with the manufacturer's specifications.</w:t>
      </w:r>
      <w:r w:rsidR="001E2A2B"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First, an insertion introducer and a femoral artery arteriotomy hole locator were positioned using a 0.035-inch guidewire. Once blood reflow by the distal edge of the set </w:t>
      </w:r>
      <w:r w:rsidR="006C5739">
        <w:rPr>
          <w:rFonts w:asciiTheme="majorBidi" w:hAnsiTheme="majorBidi" w:cstheme="majorBidi"/>
          <w:sz w:val="24"/>
          <w:szCs w:val="24"/>
        </w:rPr>
        <w:t>was</w:t>
      </w:r>
      <w:r w:rsidRPr="006B3495">
        <w:rPr>
          <w:rFonts w:asciiTheme="majorBidi" w:hAnsiTheme="majorBidi" w:cstheme="majorBidi"/>
          <w:sz w:val="24"/>
          <w:szCs w:val="24"/>
        </w:rPr>
        <w:t xml:space="preserve"> confirmed, the guide wire and insertion introducer </w:t>
      </w:r>
      <w:r w:rsidR="006C5739">
        <w:rPr>
          <w:rFonts w:asciiTheme="majorBidi" w:hAnsiTheme="majorBidi" w:cstheme="majorBidi"/>
          <w:sz w:val="24"/>
          <w:szCs w:val="24"/>
        </w:rPr>
        <w:t>were</w:t>
      </w:r>
      <w:r w:rsidRPr="006B3495">
        <w:rPr>
          <w:rFonts w:asciiTheme="majorBidi" w:hAnsiTheme="majorBidi" w:cstheme="majorBidi"/>
          <w:sz w:val="24"/>
          <w:szCs w:val="24"/>
        </w:rPr>
        <w:t xml:space="preserve"> removed, keeping the arteriotomy locator in position. Next, the repair and hemostasis device </w:t>
      </w:r>
      <w:r w:rsidR="006C5739">
        <w:rPr>
          <w:rFonts w:asciiTheme="majorBidi" w:hAnsiTheme="majorBidi" w:cstheme="majorBidi"/>
          <w:sz w:val="24"/>
          <w:szCs w:val="24"/>
        </w:rPr>
        <w:t>were</w:t>
      </w:r>
      <w:r w:rsidRPr="006B3495">
        <w:rPr>
          <w:rFonts w:asciiTheme="majorBidi" w:hAnsiTheme="majorBidi" w:cstheme="majorBidi"/>
          <w:sz w:val="24"/>
          <w:szCs w:val="24"/>
        </w:rPr>
        <w:t xml:space="preserve"> inserted through the locator, exposing the anchor in the </w:t>
      </w:r>
      <w:r w:rsidRPr="006B3495">
        <w:rPr>
          <w:rFonts w:asciiTheme="majorBidi" w:hAnsiTheme="majorBidi" w:cstheme="majorBidi"/>
          <w:sz w:val="24"/>
          <w:szCs w:val="24"/>
        </w:rPr>
        <w:lastRenderedPageBreak/>
        <w:t>intraluminal space. The retreat of this second set places the anchor against the internal puncture hole. Maintaining the retreat</w:t>
      </w:r>
      <w:r w:rsidRPr="006B3495">
        <w:rPr>
          <w:rFonts w:asciiTheme="majorBidi" w:hAnsiTheme="majorBidi" w:cstheme="majorBidi"/>
          <w:sz w:val="24"/>
          <w:szCs w:val="24"/>
          <w:rtl/>
        </w:rPr>
        <w:t>,</w:t>
      </w:r>
      <w:r w:rsidRPr="006B3495">
        <w:rPr>
          <w:rFonts w:asciiTheme="majorBidi" w:hAnsiTheme="majorBidi" w:cstheme="majorBidi"/>
          <w:sz w:val="24"/>
          <w:szCs w:val="24"/>
        </w:rPr>
        <w:t xml:space="preserve"> the collagen sponge </w:t>
      </w:r>
      <w:r w:rsidR="006C5739">
        <w:rPr>
          <w:rFonts w:asciiTheme="majorBidi" w:hAnsiTheme="majorBidi" w:cstheme="majorBidi"/>
          <w:sz w:val="24"/>
          <w:szCs w:val="24"/>
        </w:rPr>
        <w:t>was</w:t>
      </w:r>
      <w:r w:rsidRPr="006B3495">
        <w:rPr>
          <w:rFonts w:asciiTheme="majorBidi" w:hAnsiTheme="majorBidi" w:cstheme="majorBidi"/>
          <w:sz w:val="24"/>
          <w:szCs w:val="24"/>
        </w:rPr>
        <w:t xml:space="preserve"> then released in the external puncture hole while the anchor is sustained, resulting in effective and safe hemostasis by preventing intra-arterial collagen release. Total set removal </w:t>
      </w:r>
      <w:r w:rsidR="006C5739">
        <w:rPr>
          <w:rFonts w:asciiTheme="majorBidi" w:hAnsiTheme="majorBidi" w:cstheme="majorBidi"/>
          <w:sz w:val="24"/>
          <w:szCs w:val="24"/>
        </w:rPr>
        <w:t>was</w:t>
      </w:r>
      <w:r w:rsidRPr="006B3495">
        <w:rPr>
          <w:rFonts w:asciiTheme="majorBidi" w:hAnsiTheme="majorBidi" w:cstheme="majorBidi"/>
          <w:sz w:val="24"/>
          <w:szCs w:val="24"/>
        </w:rPr>
        <w:t xml:space="preserve"> achieved manually using an absorbable suture wrapped in a plastic tube to compact the </w:t>
      </w:r>
      <w:r w:rsidRPr="003A41B4">
        <w:rPr>
          <w:rFonts w:asciiTheme="majorBidi" w:hAnsiTheme="majorBidi" w:cstheme="majorBidi"/>
          <w:sz w:val="24"/>
          <w:szCs w:val="24"/>
        </w:rPr>
        <w:t xml:space="preserve">collagen sponge against the arterial wall. After the appearance of an opaque mark, the suture </w:t>
      </w:r>
      <w:r w:rsidR="006C5739" w:rsidRPr="003A41B4">
        <w:rPr>
          <w:rFonts w:asciiTheme="majorBidi" w:hAnsiTheme="majorBidi" w:cstheme="majorBidi"/>
          <w:sz w:val="24"/>
          <w:szCs w:val="24"/>
        </w:rPr>
        <w:t>was</w:t>
      </w:r>
      <w:r w:rsidRPr="003A41B4">
        <w:rPr>
          <w:rFonts w:asciiTheme="majorBidi" w:hAnsiTheme="majorBidi" w:cstheme="majorBidi"/>
          <w:sz w:val="24"/>
          <w:szCs w:val="24"/>
        </w:rPr>
        <w:t xml:space="preserve"> cut, the compacting tube exerting compression may be removed, and the remaining suture </w:t>
      </w:r>
      <w:r w:rsidR="00435976" w:rsidRPr="003A41B4">
        <w:rPr>
          <w:rFonts w:asciiTheme="majorBidi" w:hAnsiTheme="majorBidi" w:cstheme="majorBidi"/>
          <w:sz w:val="24"/>
          <w:szCs w:val="24"/>
        </w:rPr>
        <w:t>was</w:t>
      </w:r>
      <w:r w:rsidRPr="003A41B4">
        <w:rPr>
          <w:rFonts w:asciiTheme="majorBidi" w:hAnsiTheme="majorBidi" w:cstheme="majorBidi"/>
          <w:sz w:val="24"/>
          <w:szCs w:val="24"/>
        </w:rPr>
        <w:t xml:space="preserve"> cut close </w:t>
      </w:r>
      <w:r w:rsidRPr="006B3495">
        <w:rPr>
          <w:rFonts w:asciiTheme="majorBidi" w:hAnsiTheme="majorBidi" w:cstheme="majorBidi"/>
          <w:sz w:val="24"/>
          <w:szCs w:val="24"/>
        </w:rPr>
        <w:t>to the skin. If the device fails</w:t>
      </w:r>
      <w:r w:rsidRPr="007C6C84">
        <w:rPr>
          <w:rFonts w:asciiTheme="majorBidi" w:hAnsiTheme="majorBidi" w:cstheme="majorBidi"/>
          <w:sz w:val="24"/>
          <w:szCs w:val="24"/>
          <w:rtl/>
        </w:rPr>
        <w:t xml:space="preserve">, </w:t>
      </w:r>
      <w:r w:rsidR="008E2D51" w:rsidRPr="007C6C84">
        <w:rPr>
          <w:rFonts w:asciiTheme="majorBidi" w:hAnsiTheme="majorBidi" w:cstheme="majorBidi"/>
          <w:sz w:val="24"/>
          <w:szCs w:val="24"/>
        </w:rPr>
        <w:t>hemostasis</w:t>
      </w:r>
      <w:r w:rsidR="008E2D51" w:rsidRPr="006B3495">
        <w:rPr>
          <w:rFonts w:asciiTheme="majorBidi" w:hAnsiTheme="majorBidi" w:cstheme="majorBidi"/>
          <w:sz w:val="24"/>
          <w:szCs w:val="24"/>
        </w:rPr>
        <w:t xml:space="preserve"> </w:t>
      </w:r>
      <w:r w:rsidR="00435976">
        <w:rPr>
          <w:rFonts w:asciiTheme="majorBidi" w:hAnsiTheme="majorBidi" w:cstheme="majorBidi"/>
          <w:sz w:val="24"/>
          <w:szCs w:val="24"/>
        </w:rPr>
        <w:t>was</w:t>
      </w:r>
      <w:r w:rsidRPr="006B3495">
        <w:rPr>
          <w:rFonts w:asciiTheme="majorBidi" w:hAnsiTheme="majorBidi" w:cstheme="majorBidi"/>
          <w:sz w:val="24"/>
          <w:szCs w:val="24"/>
        </w:rPr>
        <w:t xml:space="preserve"> obtained by manual compression</w:t>
      </w:r>
      <w:r w:rsidRPr="006B3495">
        <w:rPr>
          <w:rFonts w:asciiTheme="majorBidi" w:hAnsiTheme="majorBidi" w:cstheme="majorBidi"/>
          <w:sz w:val="24"/>
          <w:szCs w:val="24"/>
          <w:rtl/>
        </w:rPr>
        <w:t>.</w:t>
      </w:r>
    </w:p>
    <w:p w14:paraId="3E4187C1" w14:textId="4E11A676" w:rsidR="00EC74E8"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The patient was allowed to walk immediately after the radial procedure and one hour after bed rest in the supine position after the femoral procedure with AngioSeal. After successful PCI, anticoagulant therapy was withdrawn. According to current secondary prevention guidelines, drugs such as angiotensin-converting enzyme inhibitors (ACEI) or angiotensin receptor blockers (ARB's), beta blockers, and statins. Electrocardiogram (ECG), CK-MB and/or troponin, glucose, creatinine, sodium, potassium, blood count, and coagulation tests </w:t>
      </w:r>
      <w:r w:rsidR="006560AA">
        <w:rPr>
          <w:rFonts w:asciiTheme="majorBidi" w:hAnsiTheme="majorBidi" w:cstheme="majorBidi"/>
          <w:sz w:val="24"/>
          <w:szCs w:val="24"/>
        </w:rPr>
        <w:t>were</w:t>
      </w:r>
      <w:r w:rsidRPr="006B3495">
        <w:rPr>
          <w:rFonts w:asciiTheme="majorBidi" w:hAnsiTheme="majorBidi" w:cstheme="majorBidi"/>
          <w:sz w:val="24"/>
          <w:szCs w:val="24"/>
        </w:rPr>
        <w:t xml:space="preserve"> obtained before patient randomization. Biomarkers (CK-MB and/or troponin) </w:t>
      </w:r>
      <w:r w:rsidR="006560AA">
        <w:rPr>
          <w:rFonts w:asciiTheme="majorBidi" w:hAnsiTheme="majorBidi" w:cstheme="majorBidi"/>
          <w:sz w:val="24"/>
          <w:szCs w:val="24"/>
        </w:rPr>
        <w:t>were</w:t>
      </w:r>
      <w:r w:rsidR="006560AA"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checked between 12 and 24 hours after the procedure. ECG </w:t>
      </w:r>
      <w:r w:rsidR="000949DF">
        <w:rPr>
          <w:rFonts w:asciiTheme="majorBidi" w:hAnsiTheme="majorBidi" w:cstheme="majorBidi"/>
          <w:sz w:val="24"/>
          <w:szCs w:val="24"/>
        </w:rPr>
        <w:t>were</w:t>
      </w:r>
      <w:r w:rsidRPr="006B3495">
        <w:rPr>
          <w:rFonts w:asciiTheme="majorBidi" w:hAnsiTheme="majorBidi" w:cstheme="majorBidi"/>
          <w:sz w:val="24"/>
          <w:szCs w:val="24"/>
        </w:rPr>
        <w:t xml:space="preserve"> performed soon after the procedure and within 12 to 24 hours after the procedure or when a new ischemic event </w:t>
      </w:r>
      <w:r w:rsidR="000949DF">
        <w:rPr>
          <w:rFonts w:asciiTheme="majorBidi" w:hAnsiTheme="majorBidi" w:cstheme="majorBidi"/>
          <w:sz w:val="24"/>
          <w:szCs w:val="24"/>
        </w:rPr>
        <w:t>was</w:t>
      </w:r>
      <w:r w:rsidRPr="006B3495">
        <w:rPr>
          <w:rFonts w:asciiTheme="majorBidi" w:hAnsiTheme="majorBidi" w:cstheme="majorBidi"/>
          <w:sz w:val="24"/>
          <w:szCs w:val="24"/>
        </w:rPr>
        <w:t xml:space="preserve"> suspected. </w:t>
      </w:r>
      <w:r w:rsidR="0003017D" w:rsidRPr="00BF53DC">
        <w:rPr>
          <w:rFonts w:asciiTheme="majorBidi" w:hAnsiTheme="majorBidi" w:cstheme="majorBidi"/>
          <w:sz w:val="24"/>
          <w:szCs w:val="24"/>
        </w:rPr>
        <w:t>Hemoglobin</w:t>
      </w:r>
      <w:r w:rsidRPr="00BF53DC">
        <w:rPr>
          <w:rFonts w:asciiTheme="majorBidi" w:hAnsiTheme="majorBidi" w:cstheme="majorBidi"/>
          <w:sz w:val="24"/>
          <w:szCs w:val="24"/>
        </w:rPr>
        <w:t xml:space="preserve"> and hematocrit dosage were required in the presence of vascular complications or bleeding. Vascular and systemic complications related to arterial vascular access were evaluated at the </w:t>
      </w:r>
      <w:r w:rsidRPr="006B3495">
        <w:rPr>
          <w:rFonts w:asciiTheme="majorBidi" w:hAnsiTheme="majorBidi" w:cstheme="majorBidi"/>
          <w:sz w:val="24"/>
          <w:szCs w:val="24"/>
        </w:rPr>
        <w:t>interval between procedure completion and hospital stay and after 14 days of PCI evaluation through a scheduled visit</w:t>
      </w:r>
      <w:r w:rsidRPr="006B3495">
        <w:rPr>
          <w:rFonts w:asciiTheme="majorBidi" w:hAnsiTheme="majorBidi" w:cstheme="majorBidi"/>
          <w:sz w:val="24"/>
          <w:szCs w:val="24"/>
          <w:rtl/>
        </w:rPr>
        <w:t>.</w:t>
      </w:r>
    </w:p>
    <w:p w14:paraId="162BCBEB" w14:textId="1D07B7F0" w:rsidR="00964664" w:rsidRDefault="00964664" w:rsidP="00665AD7">
      <w:pPr>
        <w:spacing w:after="240" w:line="480" w:lineRule="auto"/>
        <w:jc w:val="both"/>
        <w:rPr>
          <w:rFonts w:asciiTheme="majorBidi" w:hAnsiTheme="majorBidi" w:cstheme="majorBidi"/>
          <w:sz w:val="24"/>
          <w:szCs w:val="24"/>
        </w:rPr>
      </w:pPr>
    </w:p>
    <w:p w14:paraId="2E62F797" w14:textId="70F37940" w:rsidR="00964664" w:rsidRPr="006B3495" w:rsidRDefault="00964664" w:rsidP="00A11B6B">
      <w:pPr>
        <w:pStyle w:val="a"/>
      </w:pPr>
      <w:bookmarkStart w:id="58" w:name="_Toc212871522"/>
      <w:r w:rsidRPr="006B3495">
        <w:lastRenderedPageBreak/>
        <w:t>2.</w:t>
      </w:r>
      <w:r>
        <w:t>1</w:t>
      </w:r>
      <w:r w:rsidR="002864DB">
        <w:t>0</w:t>
      </w:r>
      <w:r w:rsidRPr="006B3495">
        <w:t xml:space="preserve"> </w:t>
      </w:r>
      <w:r w:rsidR="002864DB">
        <w:t xml:space="preserve"> </w:t>
      </w:r>
      <w:r w:rsidR="009C4871">
        <w:t xml:space="preserve"> </w:t>
      </w:r>
      <w:r w:rsidRPr="006B3495">
        <w:t>Validity of the study instrument</w:t>
      </w:r>
      <w:bookmarkEnd w:id="58"/>
    </w:p>
    <w:p w14:paraId="25C119F9" w14:textId="77777777" w:rsidR="00964664" w:rsidRDefault="00964664" w:rsidP="00964664">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Validation pertains to the extent to which the study instrument accurately assesses the intended construct. The instrument </w:t>
      </w:r>
      <w:r>
        <w:rPr>
          <w:rFonts w:asciiTheme="majorBidi" w:hAnsiTheme="majorBidi" w:cstheme="majorBidi"/>
          <w:sz w:val="24"/>
          <w:szCs w:val="24"/>
        </w:rPr>
        <w:t>was</w:t>
      </w:r>
      <w:r w:rsidRPr="006B3495">
        <w:rPr>
          <w:rFonts w:asciiTheme="majorBidi" w:hAnsiTheme="majorBidi" w:cstheme="majorBidi"/>
          <w:sz w:val="24"/>
          <w:szCs w:val="24"/>
        </w:rPr>
        <w:t xml:space="preserve"> evaluat</w:t>
      </w:r>
      <w:r>
        <w:rPr>
          <w:rFonts w:asciiTheme="majorBidi" w:hAnsiTheme="majorBidi" w:cstheme="majorBidi"/>
          <w:sz w:val="24"/>
          <w:szCs w:val="24"/>
        </w:rPr>
        <w:t>ed</w:t>
      </w:r>
      <w:r w:rsidRPr="006B3495">
        <w:rPr>
          <w:rFonts w:asciiTheme="majorBidi" w:hAnsiTheme="majorBidi" w:cstheme="majorBidi"/>
          <w:sz w:val="24"/>
          <w:szCs w:val="24"/>
        </w:rPr>
        <w:t xml:space="preserve"> by the study supervisor and an advisory group </w:t>
      </w:r>
      <w:r w:rsidRPr="00122A41">
        <w:rPr>
          <w:rFonts w:asciiTheme="majorBidi" w:hAnsiTheme="majorBidi" w:cstheme="majorBidi"/>
          <w:sz w:val="24"/>
          <w:szCs w:val="24"/>
        </w:rPr>
        <w:t xml:space="preserve">of experts (critical care nursing, interventional cardiologists, and statisticians) to assess </w:t>
      </w:r>
      <w:r w:rsidRPr="00122A41">
        <w:rPr>
          <w:rFonts w:asciiTheme="majorBidi" w:hAnsiTheme="majorBidi" w:cstheme="majorBidi"/>
          <w:sz w:val="24"/>
          <w:szCs w:val="24"/>
          <w:lang w:bidi="ar-AE"/>
        </w:rPr>
        <w:t xml:space="preserve">and evaluate whether the </w:t>
      </w:r>
      <w:r w:rsidRPr="00122A41">
        <w:rPr>
          <w:rFonts w:asciiTheme="majorBidi" w:hAnsiTheme="majorBidi" w:cstheme="majorBidi"/>
          <w:sz w:val="24"/>
          <w:szCs w:val="24"/>
        </w:rPr>
        <w:t>data sheet</w:t>
      </w:r>
      <w:r w:rsidRPr="00122A41">
        <w:rPr>
          <w:rFonts w:asciiTheme="majorBidi" w:hAnsiTheme="majorBidi" w:cstheme="majorBidi"/>
          <w:sz w:val="24"/>
          <w:szCs w:val="24"/>
          <w:lang w:bidi="ar-AE"/>
        </w:rPr>
        <w:t xml:space="preserve"> is reasonably well-structured to analyse the variables and to examine the relationships, and provide judgement and suggestions on the appropriateness of the </w:t>
      </w:r>
      <w:r w:rsidRPr="00122A41">
        <w:rPr>
          <w:rFonts w:asciiTheme="majorBidi" w:hAnsiTheme="majorBidi" w:cstheme="majorBidi"/>
          <w:sz w:val="24"/>
          <w:szCs w:val="24"/>
        </w:rPr>
        <w:t>data sheet</w:t>
      </w:r>
      <w:r w:rsidRPr="00122A41">
        <w:rPr>
          <w:rFonts w:asciiTheme="majorBidi" w:hAnsiTheme="majorBidi" w:cstheme="majorBidi"/>
          <w:sz w:val="24"/>
          <w:szCs w:val="24"/>
          <w:lang w:bidi="ar-AE"/>
        </w:rPr>
        <w:t xml:space="preserve">, and to evaluate and decide if the items are related to the study goals, </w:t>
      </w:r>
      <w:r w:rsidRPr="00122A41">
        <w:rPr>
          <w:rFonts w:asciiTheme="majorBidi" w:hAnsiTheme="majorBidi" w:cstheme="majorBidi"/>
          <w:sz w:val="24"/>
          <w:szCs w:val="24"/>
        </w:rPr>
        <w:t>and to offer recommendations. All feedback and modifications were considered (e.g., revising ambiguous items, removing redundant questions).</w:t>
      </w:r>
      <w:r w:rsidRPr="006B3495">
        <w:rPr>
          <w:rFonts w:asciiTheme="majorBidi" w:hAnsiTheme="majorBidi" w:cstheme="majorBidi"/>
          <w:sz w:val="24"/>
          <w:szCs w:val="24"/>
        </w:rPr>
        <w:t xml:space="preserve"> </w:t>
      </w:r>
      <w:r>
        <w:rPr>
          <w:rFonts w:asciiTheme="majorBidi" w:hAnsiTheme="majorBidi" w:cstheme="majorBidi"/>
          <w:sz w:val="24"/>
          <w:szCs w:val="24"/>
        </w:rPr>
        <w:t>In addition, a</w:t>
      </w:r>
      <w:r w:rsidRPr="006B3495">
        <w:rPr>
          <w:rFonts w:asciiTheme="majorBidi" w:hAnsiTheme="majorBidi" w:cstheme="majorBidi"/>
          <w:sz w:val="24"/>
          <w:szCs w:val="24"/>
        </w:rPr>
        <w:t xml:space="preserve"> pilot study was conducted prior to the commencement of data collection.</w:t>
      </w:r>
    </w:p>
    <w:p w14:paraId="7C0E2F2F" w14:textId="5B18B5CD" w:rsidR="00964664" w:rsidRPr="00545126" w:rsidRDefault="00964664" w:rsidP="00A11B6B">
      <w:pPr>
        <w:pStyle w:val="a"/>
      </w:pPr>
      <w:bookmarkStart w:id="59" w:name="_Toc212871523"/>
      <w:r w:rsidRPr="00545126">
        <w:t>2.1</w:t>
      </w:r>
      <w:r w:rsidR="002864DB">
        <w:t xml:space="preserve">1 </w:t>
      </w:r>
      <w:r w:rsidRPr="00545126">
        <w:t>Pilot study</w:t>
      </w:r>
      <w:bookmarkEnd w:id="59"/>
      <w:r w:rsidRPr="00545126">
        <w:t xml:space="preserve"> </w:t>
      </w:r>
    </w:p>
    <w:p w14:paraId="47351416" w14:textId="77777777" w:rsidR="00964664" w:rsidRPr="00EA0D35" w:rsidRDefault="00964664" w:rsidP="00964664">
      <w:pPr>
        <w:spacing w:after="240" w:line="480" w:lineRule="auto"/>
        <w:jc w:val="both"/>
        <w:rPr>
          <w:rFonts w:asciiTheme="majorBidi" w:hAnsiTheme="majorBidi" w:cstheme="majorBidi"/>
          <w:sz w:val="24"/>
          <w:szCs w:val="24"/>
        </w:rPr>
      </w:pPr>
      <w:r w:rsidRPr="00545126">
        <w:rPr>
          <w:rFonts w:asciiTheme="majorBidi" w:hAnsiTheme="majorBidi" w:cstheme="majorBidi"/>
          <w:sz w:val="24"/>
          <w:szCs w:val="24"/>
        </w:rPr>
        <w:t>It performed before the starting of actual data collection. It consisted of 10% of sample size, and performed for several purposes, including determining if there are any problems in the datasheet, evaluating the actual time required to fill out the questionnaire, and checking the validity of the data sheet. The pilot study sample was entered into the main study sample because of it did not contain any problems.</w:t>
      </w:r>
    </w:p>
    <w:p w14:paraId="5A506D20" w14:textId="0E4CD5AE" w:rsidR="00964664" w:rsidRPr="006B3495" w:rsidRDefault="00964664" w:rsidP="00A11B6B">
      <w:pPr>
        <w:pStyle w:val="a"/>
      </w:pPr>
      <w:bookmarkStart w:id="60" w:name="_Toc212871524"/>
      <w:r w:rsidRPr="006B3495">
        <w:t>2.1</w:t>
      </w:r>
      <w:r w:rsidR="002864DB">
        <w:t>2</w:t>
      </w:r>
      <w:r w:rsidRPr="006B3495">
        <w:t xml:space="preserve"> Study outcomes</w:t>
      </w:r>
      <w:bookmarkEnd w:id="60"/>
    </w:p>
    <w:p w14:paraId="5A775C5C" w14:textId="77777777" w:rsidR="00964664" w:rsidRPr="006B3495" w:rsidRDefault="00964664" w:rsidP="00964664">
      <w:pPr>
        <w:pStyle w:val="ListParagraph"/>
        <w:numPr>
          <w:ilvl w:val="0"/>
          <w:numId w:val="9"/>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Vascular complications.</w:t>
      </w:r>
    </w:p>
    <w:p w14:paraId="301F194D" w14:textId="77777777" w:rsidR="00964664" w:rsidRPr="006B3495" w:rsidRDefault="00964664" w:rsidP="00964664">
      <w:pPr>
        <w:pStyle w:val="ListParagraph"/>
        <w:numPr>
          <w:ilvl w:val="0"/>
          <w:numId w:val="9"/>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Access site complications.</w:t>
      </w:r>
    </w:p>
    <w:p w14:paraId="341A7DAF" w14:textId="77777777" w:rsidR="00964664" w:rsidRPr="006B3495" w:rsidRDefault="00964664" w:rsidP="00964664">
      <w:pPr>
        <w:pStyle w:val="ListParagraph"/>
        <w:numPr>
          <w:ilvl w:val="0"/>
          <w:numId w:val="9"/>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Hemostasis time (minutes).</w:t>
      </w:r>
    </w:p>
    <w:p w14:paraId="77546CD3" w14:textId="77777777" w:rsidR="00964664" w:rsidRPr="006B3495" w:rsidRDefault="00964664" w:rsidP="00964664">
      <w:pPr>
        <w:pStyle w:val="ListParagraph"/>
        <w:numPr>
          <w:ilvl w:val="0"/>
          <w:numId w:val="9"/>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Ambulation time (minutes). </w:t>
      </w:r>
    </w:p>
    <w:p w14:paraId="7CDFDB13" w14:textId="77777777" w:rsidR="00964664" w:rsidRPr="006B3495" w:rsidRDefault="00964664" w:rsidP="00964664">
      <w:pPr>
        <w:pStyle w:val="ListParagraph"/>
        <w:numPr>
          <w:ilvl w:val="0"/>
          <w:numId w:val="9"/>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Hospital LOS (</w:t>
      </w:r>
      <w:r>
        <w:rPr>
          <w:rFonts w:asciiTheme="majorBidi" w:hAnsiTheme="majorBidi" w:cstheme="majorBidi"/>
          <w:sz w:val="24"/>
          <w:szCs w:val="24"/>
        </w:rPr>
        <w:t>t</w:t>
      </w:r>
      <w:r w:rsidRPr="006B3495">
        <w:rPr>
          <w:rFonts w:asciiTheme="majorBidi" w:hAnsiTheme="majorBidi" w:cstheme="majorBidi"/>
          <w:sz w:val="24"/>
          <w:szCs w:val="24"/>
        </w:rPr>
        <w:t>ime to discharge).</w:t>
      </w:r>
    </w:p>
    <w:p w14:paraId="32E474FE" w14:textId="7748DAA2" w:rsidR="00964664" w:rsidRPr="006B3495" w:rsidRDefault="00964664" w:rsidP="00A11B6B">
      <w:pPr>
        <w:pStyle w:val="a"/>
      </w:pPr>
      <w:bookmarkStart w:id="61" w:name="_Toc212871525"/>
      <w:r w:rsidRPr="006B3495">
        <w:lastRenderedPageBreak/>
        <w:t>2.1</w:t>
      </w:r>
      <w:r w:rsidR="002864DB">
        <w:t>3</w:t>
      </w:r>
      <w:r w:rsidRPr="006B3495">
        <w:t xml:space="preserve"> Variables</w:t>
      </w:r>
      <w:bookmarkEnd w:id="61"/>
    </w:p>
    <w:p w14:paraId="01690F51" w14:textId="77777777" w:rsidR="00964664" w:rsidRPr="006B3495" w:rsidRDefault="00964664" w:rsidP="00964664">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Independent variable: Type of PCI (TRA, </w:t>
      </w:r>
      <w:r>
        <w:rPr>
          <w:rFonts w:asciiTheme="majorBidi" w:hAnsiTheme="majorBidi" w:cstheme="majorBidi"/>
          <w:sz w:val="24"/>
          <w:szCs w:val="24"/>
        </w:rPr>
        <w:t xml:space="preserve">and </w:t>
      </w:r>
      <w:r w:rsidRPr="006B3495">
        <w:rPr>
          <w:rFonts w:asciiTheme="majorBidi" w:hAnsiTheme="majorBidi" w:cstheme="majorBidi"/>
          <w:sz w:val="24"/>
          <w:szCs w:val="24"/>
        </w:rPr>
        <w:t>TFA with VCD).</w:t>
      </w:r>
    </w:p>
    <w:p w14:paraId="367D3E24" w14:textId="77777777" w:rsidR="00964664" w:rsidRPr="006B3495" w:rsidRDefault="00964664" w:rsidP="00964664">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Dependent variable: clinical outcomes (complications: bleeding; requiring blood transfusion, vascular complications such as arterio-venous fistula, pseudoaneurysm, </w:t>
      </w:r>
      <w:r w:rsidRPr="007F19D0">
        <w:rPr>
          <w:rFonts w:asciiTheme="majorBidi" w:hAnsiTheme="majorBidi" w:cstheme="majorBidi"/>
          <w:sz w:val="24"/>
          <w:szCs w:val="24"/>
        </w:rPr>
        <w:t>leg ischemia, upper limb ischemia</w:t>
      </w:r>
      <w:r w:rsidRPr="00780D21">
        <w:rPr>
          <w:rFonts w:asciiTheme="majorBidi" w:hAnsiTheme="majorBidi" w:cstheme="majorBidi"/>
          <w:color w:val="FF0000"/>
          <w:sz w:val="24"/>
          <w:szCs w:val="24"/>
        </w:rPr>
        <w:t xml:space="preserve">, </w:t>
      </w:r>
      <w:r w:rsidRPr="006B3495">
        <w:rPr>
          <w:rFonts w:asciiTheme="majorBidi" w:hAnsiTheme="majorBidi" w:cstheme="majorBidi"/>
          <w:sz w:val="24"/>
          <w:szCs w:val="24"/>
        </w:rPr>
        <w:t xml:space="preserve">retroperitoneal hematoma, asymptomatic arterial occlusion, </w:t>
      </w:r>
      <w:r w:rsidRPr="00780D21">
        <w:rPr>
          <w:rFonts w:asciiTheme="majorBidi" w:hAnsiTheme="majorBidi" w:cstheme="majorBidi"/>
          <w:sz w:val="24"/>
          <w:szCs w:val="24"/>
        </w:rPr>
        <w:t>nerve</w:t>
      </w:r>
      <w:r w:rsidRPr="006B3495">
        <w:rPr>
          <w:rFonts w:asciiTheme="majorBidi" w:hAnsiTheme="majorBidi" w:cstheme="majorBidi"/>
          <w:sz w:val="24"/>
          <w:szCs w:val="24"/>
        </w:rPr>
        <w:t xml:space="preserve"> injuries, vascular surgical repair, and local site complications such as local site infection, access site oozing and local hematoma), time to ambulation, time for procedure, and hospital length of stay.</w:t>
      </w:r>
    </w:p>
    <w:p w14:paraId="7301C27D" w14:textId="098CBFD6" w:rsidR="00EC74E8" w:rsidRPr="006B3495" w:rsidRDefault="00EC74E8" w:rsidP="00A11B6B">
      <w:pPr>
        <w:pStyle w:val="a"/>
      </w:pPr>
      <w:bookmarkStart w:id="62" w:name="_Toc212871526"/>
      <w:r w:rsidRPr="006B3495">
        <w:t>2.1</w:t>
      </w:r>
      <w:r w:rsidR="002864DB">
        <w:t>4</w:t>
      </w:r>
      <w:r w:rsidR="00E65681">
        <w:t xml:space="preserve"> </w:t>
      </w:r>
      <w:r w:rsidRPr="006B3495">
        <w:t>Statistical analysis</w:t>
      </w:r>
      <w:bookmarkEnd w:id="62"/>
    </w:p>
    <w:p w14:paraId="4A44EEA9" w14:textId="32E2FA94" w:rsidR="0029203E" w:rsidRPr="006B3495" w:rsidRDefault="009E20B8" w:rsidP="0099009D">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highlight w:val="yellow"/>
        </w:rPr>
        <w:t>T</w:t>
      </w:r>
      <w:r w:rsidR="00EC74E8" w:rsidRPr="006B3495">
        <w:rPr>
          <w:rFonts w:asciiTheme="majorBidi" w:hAnsiTheme="majorBidi" w:cstheme="majorBidi"/>
          <w:sz w:val="24"/>
          <w:szCs w:val="24"/>
          <w:highlight w:val="yellow"/>
        </w:rPr>
        <w:t xml:space="preserve">he </w:t>
      </w:r>
      <w:r w:rsidR="00A17F83" w:rsidRPr="006B3495">
        <w:rPr>
          <w:rFonts w:asciiTheme="majorBidi" w:hAnsiTheme="majorBidi" w:cstheme="majorBidi"/>
          <w:sz w:val="24"/>
          <w:szCs w:val="24"/>
          <w:highlight w:val="yellow"/>
        </w:rPr>
        <w:t>SPSS V</w:t>
      </w:r>
      <w:r w:rsidR="00EC74E8" w:rsidRPr="006B3495">
        <w:rPr>
          <w:rFonts w:asciiTheme="majorBidi" w:hAnsiTheme="majorBidi" w:cstheme="majorBidi"/>
          <w:sz w:val="24"/>
          <w:szCs w:val="24"/>
          <w:highlight w:val="yellow"/>
        </w:rPr>
        <w:t xml:space="preserve"> </w:t>
      </w:r>
      <w:r w:rsidRPr="006B3495">
        <w:rPr>
          <w:rFonts w:asciiTheme="majorBidi" w:hAnsiTheme="majorBidi" w:cstheme="majorBidi"/>
          <w:sz w:val="24"/>
          <w:szCs w:val="24"/>
        </w:rPr>
        <w:t>25 consecutive</w:t>
      </w:r>
      <w:r w:rsidR="00EC74E8" w:rsidRPr="006B3495">
        <w:rPr>
          <w:rFonts w:asciiTheme="majorBidi" w:hAnsiTheme="majorBidi" w:cstheme="majorBidi"/>
          <w:sz w:val="24"/>
          <w:szCs w:val="24"/>
        </w:rPr>
        <w:t xml:space="preserve"> program </w:t>
      </w:r>
      <w:r w:rsidR="0048709B">
        <w:rPr>
          <w:rFonts w:asciiTheme="majorBidi" w:hAnsiTheme="majorBidi" w:cstheme="majorBidi"/>
          <w:sz w:val="24"/>
          <w:szCs w:val="24"/>
        </w:rPr>
        <w:t xml:space="preserve">was used to </w:t>
      </w:r>
      <w:r w:rsidR="00EC74E8" w:rsidRPr="006B3495">
        <w:rPr>
          <w:rFonts w:asciiTheme="majorBidi" w:hAnsiTheme="majorBidi" w:cstheme="majorBidi"/>
          <w:sz w:val="24"/>
          <w:szCs w:val="24"/>
        </w:rPr>
        <w:t>facilitate data entry and analysis, with a statistician providing support to conduct the necessary statistical tests.</w:t>
      </w:r>
      <w:r w:rsidR="0029203E" w:rsidRPr="006B3495">
        <w:rPr>
          <w:rFonts w:asciiTheme="majorBidi" w:hAnsiTheme="majorBidi" w:cstheme="majorBidi"/>
          <w:sz w:val="24"/>
          <w:szCs w:val="24"/>
        </w:rPr>
        <w:t xml:space="preserve"> Chi-square (χ²) was used to show a statistical test used to recognize if there is a significant association between two categorical variables. The statistical significance of the P-value was determined to be significant when P &lt; 0.05. </w:t>
      </w:r>
    </w:p>
    <w:p w14:paraId="60596DB9" w14:textId="41B91A58" w:rsidR="009F0AC1" w:rsidRPr="009C1C70" w:rsidRDefault="00EC74E8" w:rsidP="00A11B6B">
      <w:pPr>
        <w:pStyle w:val="a"/>
      </w:pPr>
      <w:bookmarkStart w:id="63" w:name="_Toc212871527"/>
      <w:r w:rsidRPr="007C6C84">
        <w:t>2.1</w:t>
      </w:r>
      <w:r w:rsidR="002864DB">
        <w:t>5</w:t>
      </w:r>
      <w:r w:rsidRPr="007C6C84">
        <w:t xml:space="preserve"> Ethical consideration</w:t>
      </w:r>
      <w:r w:rsidR="00E30180" w:rsidRPr="007C6C84">
        <w:rPr>
          <w:highlight w:val="yellow"/>
        </w:rPr>
        <w:t>s</w:t>
      </w:r>
      <w:bookmarkStart w:id="64" w:name="_Toc90472908"/>
      <w:bookmarkEnd w:id="63"/>
    </w:p>
    <w:p w14:paraId="5AB10E55" w14:textId="557FBB07" w:rsidR="00665457" w:rsidRPr="009C1C70" w:rsidRDefault="00665457" w:rsidP="009C1C70">
      <w:pPr>
        <w:spacing w:after="240" w:line="480" w:lineRule="auto"/>
        <w:jc w:val="both"/>
        <w:rPr>
          <w:rFonts w:asciiTheme="majorBidi" w:hAnsiTheme="majorBidi" w:cstheme="majorBidi"/>
          <w:sz w:val="24"/>
          <w:szCs w:val="24"/>
          <w:highlight w:val="yellow"/>
        </w:rPr>
      </w:pPr>
      <w:r w:rsidRPr="009C1C70">
        <w:rPr>
          <w:rFonts w:asciiTheme="majorBidi" w:hAnsiTheme="majorBidi" w:cstheme="majorBidi"/>
          <w:sz w:val="24"/>
          <w:szCs w:val="24"/>
          <w:highlight w:val="yellow"/>
        </w:rPr>
        <w:t>This study was approved by the Institutional Review Board (IRB) of An-Najah National University. The permission for the study was obtained from the Ethical Committee of the Palestinian Ministry of Health (MOH). The study followed the World Medical, A. (2013). "World Medical Association Declaration of Helsinki: ethical principles for medical research involving human subjects." JAMA310(20): 2191-2194.</w:t>
      </w:r>
    </w:p>
    <w:p w14:paraId="27661D94" w14:textId="77777777" w:rsidR="00EC74E8" w:rsidRPr="006B3495" w:rsidRDefault="00EC74E8" w:rsidP="00665AD7">
      <w:pPr>
        <w:spacing w:after="240" w:line="480" w:lineRule="auto"/>
        <w:ind w:left="360"/>
        <w:jc w:val="both"/>
        <w:rPr>
          <w:rFonts w:ascii="Times New Roman" w:eastAsia="Times New Roman" w:hAnsi="Times New Roman" w:cs="Times New Roman"/>
          <w:b/>
          <w:bCs/>
          <w:w w:val="110"/>
          <w:sz w:val="28"/>
          <w:szCs w:val="62"/>
        </w:rPr>
      </w:pPr>
      <w:r w:rsidRPr="006B3495">
        <w:br w:type="page"/>
      </w:r>
    </w:p>
    <w:p w14:paraId="138981A9" w14:textId="77777777" w:rsidR="00EC74E8" w:rsidRPr="006B3495" w:rsidRDefault="00EC74E8" w:rsidP="00A11B6B">
      <w:pPr>
        <w:pStyle w:val="a"/>
      </w:pPr>
      <w:bookmarkStart w:id="65" w:name="_Toc212871528"/>
      <w:r w:rsidRPr="006B3495">
        <w:lastRenderedPageBreak/>
        <w:t>Chapter Three</w:t>
      </w:r>
      <w:bookmarkEnd w:id="64"/>
      <w:bookmarkEnd w:id="65"/>
    </w:p>
    <w:p w14:paraId="1D3FE5C9" w14:textId="77777777" w:rsidR="00EC74E8" w:rsidRPr="006B3495" w:rsidRDefault="00EC74E8" w:rsidP="00A11B6B">
      <w:pPr>
        <w:pStyle w:val="a"/>
      </w:pPr>
      <w:bookmarkStart w:id="66" w:name="_Toc90472909"/>
      <w:bookmarkStart w:id="67" w:name="_Toc90473390"/>
      <w:bookmarkStart w:id="68" w:name="_Toc212871529"/>
      <w:r w:rsidRPr="006B3495">
        <w:t>Results</w:t>
      </w:r>
      <w:bookmarkEnd w:id="66"/>
      <w:bookmarkEnd w:id="67"/>
      <w:bookmarkEnd w:id="68"/>
    </w:p>
    <w:p w14:paraId="375F0063" w14:textId="77777777" w:rsidR="00EC74E8" w:rsidRPr="006B3495" w:rsidRDefault="00EC74E8" w:rsidP="00A11B6B">
      <w:pPr>
        <w:pStyle w:val="a"/>
        <w:numPr>
          <w:ilvl w:val="1"/>
          <w:numId w:val="1"/>
        </w:numPr>
      </w:pPr>
      <w:bookmarkStart w:id="69" w:name="_Toc132612264"/>
      <w:bookmarkStart w:id="70" w:name="_Toc212871530"/>
      <w:r w:rsidRPr="006B3495">
        <w:t>Introduction</w:t>
      </w:r>
      <w:bookmarkEnd w:id="69"/>
      <w:bookmarkEnd w:id="70"/>
    </w:p>
    <w:p w14:paraId="2B59E42A" w14:textId="2B7360D2" w:rsidR="00EC74E8" w:rsidRPr="006B3495" w:rsidRDefault="00EC74E8" w:rsidP="00900D50">
      <w:pPr>
        <w:spacing w:after="240" w:line="480" w:lineRule="auto"/>
        <w:jc w:val="both"/>
        <w:rPr>
          <w:rFonts w:ascii="Times New Roman" w:eastAsia="Times New Roman" w:hAnsi="Times New Roman" w:cs="Times New Roman"/>
          <w:w w:val="110"/>
          <w:kern w:val="2"/>
          <w:sz w:val="24"/>
          <w:szCs w:val="24"/>
          <w14:ligatures w14:val="standardContextual"/>
        </w:rPr>
      </w:pPr>
      <w:r w:rsidRPr="006B3495">
        <w:rPr>
          <w:rFonts w:asciiTheme="majorBidi" w:hAnsiTheme="majorBidi" w:cstheme="majorBidi"/>
          <w:sz w:val="24"/>
          <w:szCs w:val="24"/>
        </w:rPr>
        <w:t xml:space="preserve">This chapter discusses the outcomes of the statistical analysis conducted on the data, which includes descriptive analysis that introduces the study and provides solutions to the study's research questions. The total sample number was 240 subjects divided into groups. Group 1 is TFA, with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(n=120), and group 2 is TRA (n=120). A </w:t>
      </w:r>
      <w:r w:rsidR="00AB5E36">
        <w:rPr>
          <w:rFonts w:asciiTheme="majorBidi" w:hAnsiTheme="majorBidi" w:cstheme="majorBidi"/>
          <w:sz w:val="24"/>
          <w:szCs w:val="24"/>
        </w:rPr>
        <w:t>retrospective</w:t>
      </w:r>
      <w:r w:rsidRPr="006B3495">
        <w:rPr>
          <w:rFonts w:asciiTheme="majorBidi" w:hAnsiTheme="majorBidi" w:cstheme="majorBidi"/>
          <w:sz w:val="24"/>
          <w:szCs w:val="24"/>
        </w:rPr>
        <w:t xml:space="preserve"> study design was utilized, and appropriate statistical calculations, such as mean and standard deviation, were employed for numerical data. The independent t-test (Student's t-test) was utilized to assess if there was a statistically significant difference between TFA with the use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and TRA group patients with respect to various variables including age group, gender, level of education, occupation, patient diagnosis, reason for the procedure, current cigarette smoking status, smoke hookah, having diabetes mellitus, having hypertension, having hyperlipidaemia, having a family history of coronary artery disease (CAD), having previous Coronary Artery Bypass Grafting (CABG), having previous Percutaneous Coronary Intervention (PCI), Glycoprotein Inhibitors (GPI) use, Intra-Aortic Balloon Pump (IABP) use and complications as </w:t>
      </w:r>
      <w:r w:rsidR="00E6249E">
        <w:rPr>
          <w:rFonts w:asciiTheme="majorBidi" w:hAnsiTheme="majorBidi" w:cstheme="majorBidi"/>
          <w:sz w:val="24"/>
          <w:szCs w:val="24"/>
        </w:rPr>
        <w:t>a</w:t>
      </w:r>
      <w:r w:rsidRPr="006B3495">
        <w:rPr>
          <w:rFonts w:asciiTheme="majorBidi" w:hAnsiTheme="majorBidi" w:cstheme="majorBidi"/>
          <w:sz w:val="24"/>
          <w:szCs w:val="24"/>
        </w:rPr>
        <w:t xml:space="preserve">ccess site pain, </w:t>
      </w:r>
      <w:r w:rsidR="00E6249E" w:rsidRPr="006B3495">
        <w:rPr>
          <w:rFonts w:asciiTheme="majorBidi" w:hAnsiTheme="majorBidi" w:cstheme="majorBidi"/>
          <w:sz w:val="24"/>
          <w:szCs w:val="24"/>
        </w:rPr>
        <w:t xml:space="preserve">numbness, oozing, patient discomfort, spasms, arterial occlusion, hematoma, bleeding, adjacent nerve injury or the need for vascular surgical repair, </w:t>
      </w:r>
      <w:r w:rsidR="00E6249E" w:rsidRPr="00806212">
        <w:rPr>
          <w:rFonts w:asciiTheme="majorBidi" w:hAnsiTheme="majorBidi" w:cstheme="majorBidi"/>
          <w:sz w:val="24"/>
          <w:szCs w:val="24"/>
        </w:rPr>
        <w:t>arteriovenous fistula</w:t>
      </w:r>
      <w:r w:rsidR="00E6249E" w:rsidRPr="006B3495">
        <w:rPr>
          <w:rFonts w:asciiTheme="majorBidi" w:hAnsiTheme="majorBidi" w:cstheme="majorBidi"/>
          <w:sz w:val="24"/>
          <w:szCs w:val="24"/>
        </w:rPr>
        <w:t xml:space="preserve">, compartment syndrome, infection, leg ischemia, </w:t>
      </w:r>
      <w:r w:rsidR="007F19D0">
        <w:rPr>
          <w:rFonts w:asciiTheme="majorBidi" w:hAnsiTheme="majorBidi" w:cstheme="majorBidi"/>
          <w:sz w:val="24"/>
          <w:szCs w:val="24"/>
        </w:rPr>
        <w:t xml:space="preserve">upper </w:t>
      </w:r>
      <w:r w:rsidR="00E6249E" w:rsidRPr="006B3495">
        <w:rPr>
          <w:rFonts w:asciiTheme="majorBidi" w:hAnsiTheme="majorBidi" w:cstheme="majorBidi"/>
          <w:sz w:val="24"/>
          <w:szCs w:val="24"/>
        </w:rPr>
        <w:t>limb ischemia, pseudoaneurysm and another complication</w:t>
      </w:r>
      <w:r w:rsidRPr="006B3495">
        <w:rPr>
          <w:rFonts w:asciiTheme="majorBidi" w:hAnsiTheme="majorBidi" w:cstheme="majorBidi"/>
          <w:sz w:val="24"/>
          <w:szCs w:val="24"/>
        </w:rPr>
        <w:t xml:space="preserve">. Chi-square (χ²) was used to recognize if there is a significant association between two categorical variables. The statistical significance of the P-value was determined to be significant when P &lt; 0.05 and non-significant when P &gt; 0.05. </w:t>
      </w:r>
      <w:r w:rsidRPr="006B3495">
        <w:br w:type="page"/>
      </w:r>
    </w:p>
    <w:p w14:paraId="3292F49A" w14:textId="77777777" w:rsidR="00EC74E8" w:rsidRPr="006B3495" w:rsidRDefault="00EC74E8" w:rsidP="00A11B6B">
      <w:pPr>
        <w:pStyle w:val="a"/>
        <w:numPr>
          <w:ilvl w:val="1"/>
          <w:numId w:val="1"/>
        </w:numPr>
      </w:pPr>
      <w:bookmarkStart w:id="71" w:name="_Toc132612265"/>
      <w:bookmarkStart w:id="72" w:name="_Toc212871531"/>
      <w:r w:rsidRPr="006B3495">
        <w:lastRenderedPageBreak/>
        <w:t>Distribution of the participants according to socio-demographic characteristics</w:t>
      </w:r>
      <w:bookmarkEnd w:id="71"/>
      <w:bookmarkEnd w:id="72"/>
    </w:p>
    <w:p w14:paraId="4ABE8D83" w14:textId="21CCD186"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Table 1 shows the distribution of the participants according to socio-demographic characteristics among 240 participants. Regarding age distribution, the results </w:t>
      </w:r>
      <w:r w:rsidR="00D26884" w:rsidRPr="006B3495">
        <w:rPr>
          <w:rFonts w:asciiTheme="majorBidi" w:hAnsiTheme="majorBidi" w:cstheme="majorBidi"/>
          <w:sz w:val="24"/>
          <w:szCs w:val="24"/>
        </w:rPr>
        <w:t>show</w:t>
      </w:r>
      <w:r w:rsidR="002F34D8">
        <w:rPr>
          <w:rFonts w:asciiTheme="majorBidi" w:hAnsiTheme="majorBidi" w:cstheme="majorBidi"/>
          <w:sz w:val="24"/>
          <w:szCs w:val="24"/>
        </w:rPr>
        <w:t>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that the highest groups were those older than 38 years old (65.8%), followed by 34.2%, ranging between 18 and 38 years old. However, the results </w:t>
      </w:r>
      <w:r w:rsidR="00D26884" w:rsidRPr="006B3495">
        <w:rPr>
          <w:rFonts w:asciiTheme="majorBidi" w:hAnsiTheme="majorBidi" w:cstheme="majorBidi"/>
          <w:sz w:val="24"/>
          <w:szCs w:val="24"/>
        </w:rPr>
        <w:t>show</w:t>
      </w:r>
      <w:r w:rsidR="002F34D8">
        <w:rPr>
          <w:rFonts w:asciiTheme="majorBidi" w:hAnsiTheme="majorBidi" w:cstheme="majorBidi"/>
          <w:sz w:val="24"/>
          <w:szCs w:val="24"/>
        </w:rPr>
        <w:t>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that 47.1% were male and 52.9% female. Finally,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that 62.1% of participants are employed, while 37.9% are unemployed. The study design was a </w:t>
      </w:r>
      <w:r w:rsidR="00E6249E">
        <w:rPr>
          <w:rFonts w:asciiTheme="majorBidi" w:hAnsiTheme="majorBidi" w:cstheme="majorBidi"/>
          <w:sz w:val="24"/>
          <w:szCs w:val="24"/>
        </w:rPr>
        <w:t xml:space="preserve">retrospective </w:t>
      </w:r>
      <w:r w:rsidRPr="006B3495">
        <w:rPr>
          <w:rFonts w:asciiTheme="majorBidi" w:hAnsiTheme="majorBidi" w:cstheme="majorBidi"/>
          <w:sz w:val="24"/>
          <w:szCs w:val="24"/>
        </w:rPr>
        <w:t xml:space="preserve">design with two groups: group 1 is TFA with the use of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(n=120), and Group 2 is TRA (n=120). The age distribution was matched between two groups (TFA with the use of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and the TRA group), and the statistical test showed that there is no statistically significant difference between the two groups regarding age (P&gt;0.05). The table showed that the TFA with the use of the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was </w:t>
      </w:r>
      <w:r w:rsidR="00922A27" w:rsidRPr="006B3495">
        <w:rPr>
          <w:rFonts w:asciiTheme="majorBidi" w:hAnsiTheme="majorBidi" w:cstheme="majorBidi"/>
          <w:sz w:val="24"/>
          <w:szCs w:val="24"/>
        </w:rPr>
        <w:t xml:space="preserve">significantly </w:t>
      </w:r>
      <w:r w:rsidRPr="006B3495">
        <w:rPr>
          <w:rFonts w:asciiTheme="majorBidi" w:hAnsiTheme="majorBidi" w:cstheme="majorBidi"/>
          <w:sz w:val="24"/>
          <w:szCs w:val="24"/>
        </w:rPr>
        <w:t>higher in females (68.3%), while the TRA was higher in males (62.5%</w:t>
      </w:r>
      <w:r w:rsidR="00922A27" w:rsidRPr="006B3495">
        <w:rPr>
          <w:rFonts w:asciiTheme="majorBidi" w:hAnsiTheme="majorBidi" w:cstheme="majorBidi"/>
          <w:sz w:val="24"/>
          <w:szCs w:val="24"/>
        </w:rPr>
        <w:t>),</w:t>
      </w:r>
      <w:r w:rsidRPr="006B3495">
        <w:rPr>
          <w:rFonts w:asciiTheme="majorBidi" w:hAnsiTheme="majorBidi" w:cstheme="majorBidi"/>
          <w:sz w:val="24"/>
          <w:szCs w:val="24"/>
        </w:rPr>
        <w:t xml:space="preserve"> </w:t>
      </w:r>
      <w:r w:rsidR="00922A27" w:rsidRPr="006B3495">
        <w:rPr>
          <w:rFonts w:asciiTheme="majorBidi" w:hAnsiTheme="majorBidi" w:cstheme="majorBidi"/>
          <w:sz w:val="24"/>
          <w:szCs w:val="24"/>
        </w:rPr>
        <w:t>and the statistical test showed that there is statistically significant difference between the two groups regarding gender (</w:t>
      </w:r>
      <w:r w:rsidRPr="006B3495">
        <w:rPr>
          <w:rFonts w:asciiTheme="majorBidi" w:hAnsiTheme="majorBidi" w:cstheme="majorBidi"/>
          <w:sz w:val="24"/>
          <w:szCs w:val="24"/>
        </w:rPr>
        <w:t xml:space="preserve">P&lt;0.05). Regarding occupation, however, there were no significant differences among TFAs with the use of the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group compared to the TRA group (P&gt;0.05).</w:t>
      </w:r>
    </w:p>
    <w:p w14:paraId="4E613EC3" w14:textId="77777777" w:rsidR="00EC74E8" w:rsidRPr="006B3495" w:rsidRDefault="00EC74E8" w:rsidP="00665AD7">
      <w:pPr>
        <w:spacing w:after="240" w:line="480" w:lineRule="auto"/>
        <w:jc w:val="both"/>
        <w:rPr>
          <w:rFonts w:asciiTheme="majorBidi" w:hAnsiTheme="majorBidi" w:cstheme="majorBidi"/>
          <w:sz w:val="24"/>
          <w:szCs w:val="24"/>
        </w:rPr>
      </w:pPr>
    </w:p>
    <w:p w14:paraId="03B1A26C" w14:textId="77777777" w:rsidR="00EC74E8" w:rsidRPr="006B3495" w:rsidRDefault="00EC74E8" w:rsidP="00665AD7">
      <w:pPr>
        <w:spacing w:after="240" w:line="480" w:lineRule="auto"/>
        <w:jc w:val="both"/>
        <w:rPr>
          <w:rFonts w:asciiTheme="majorBidi" w:hAnsiTheme="majorBidi" w:cstheme="majorBidi"/>
          <w:sz w:val="24"/>
          <w:szCs w:val="24"/>
        </w:rPr>
      </w:pPr>
    </w:p>
    <w:p w14:paraId="50B0CC12" w14:textId="77777777" w:rsidR="00EC74E8" w:rsidRPr="006B3495" w:rsidRDefault="00EC74E8" w:rsidP="00665AD7">
      <w:pPr>
        <w:spacing w:line="480" w:lineRule="auto"/>
      </w:pPr>
      <w:r w:rsidRPr="006B3495">
        <w:br w:type="page"/>
      </w:r>
    </w:p>
    <w:p w14:paraId="2991A947" w14:textId="77777777" w:rsidR="00EC74E8" w:rsidRPr="006B3495" w:rsidRDefault="00EC74E8" w:rsidP="00665AD7">
      <w:pPr>
        <w:pStyle w:val="table"/>
        <w:spacing w:after="0" w:line="480" w:lineRule="auto"/>
      </w:pPr>
      <w:bookmarkStart w:id="73" w:name="_Toc170299112"/>
      <w:r w:rsidRPr="006B3495">
        <w:lastRenderedPageBreak/>
        <w:t>Table 1</w:t>
      </w:r>
      <w:bookmarkEnd w:id="73"/>
      <w:r w:rsidRPr="006B3495">
        <w:t xml:space="preserve"> </w:t>
      </w:r>
    </w:p>
    <w:p w14:paraId="5417E15B" w14:textId="77777777" w:rsidR="00EC74E8" w:rsidRPr="006B3495" w:rsidRDefault="00EC74E8" w:rsidP="00665AD7">
      <w:pPr>
        <w:pStyle w:val="table"/>
        <w:spacing w:after="0" w:line="480" w:lineRule="auto"/>
        <w:rPr>
          <w:b w:val="0"/>
          <w:bCs w:val="0"/>
          <w:i/>
          <w:iCs/>
        </w:rPr>
      </w:pPr>
      <w:bookmarkStart w:id="74" w:name="_Toc170299113"/>
      <w:r w:rsidRPr="006B3495">
        <w:rPr>
          <w:b w:val="0"/>
          <w:bCs w:val="0"/>
          <w:i/>
          <w:iCs/>
        </w:rPr>
        <w:t>Distribution of participants according to socio-demographic characteristics.</w:t>
      </w:r>
      <w:bookmarkEnd w:id="74"/>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410"/>
        <w:gridCol w:w="1066"/>
        <w:gridCol w:w="1276"/>
        <w:gridCol w:w="1134"/>
        <w:gridCol w:w="855"/>
        <w:gridCol w:w="766"/>
      </w:tblGrid>
      <w:tr w:rsidR="004A617A" w:rsidRPr="006B3495" w14:paraId="4910911D" w14:textId="77777777" w:rsidTr="00212183">
        <w:trPr>
          <w:trHeight w:val="20"/>
        </w:trPr>
        <w:tc>
          <w:tcPr>
            <w:tcW w:w="4253" w:type="dxa"/>
            <w:gridSpan w:val="2"/>
            <w:vMerge w:val="restart"/>
            <w:noWrap/>
            <w:vAlign w:val="center"/>
            <w:hideMark/>
          </w:tcPr>
          <w:p w14:paraId="332D54B9"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hAnsiTheme="majorBidi" w:cstheme="majorBidi"/>
              </w:rPr>
              <w:t>Socio-demographic characteristics</w:t>
            </w:r>
          </w:p>
        </w:tc>
        <w:tc>
          <w:tcPr>
            <w:tcW w:w="1066" w:type="dxa"/>
            <w:vMerge w:val="restart"/>
            <w:vAlign w:val="center"/>
          </w:tcPr>
          <w:p w14:paraId="6D180FED" w14:textId="77777777" w:rsidR="00EC74E8" w:rsidRPr="006B3495" w:rsidRDefault="00EC74E8" w:rsidP="00665AD7">
            <w:pPr>
              <w:spacing w:after="0" w:line="480" w:lineRule="auto"/>
              <w:jc w:val="center"/>
              <w:rPr>
                <w:rFonts w:asciiTheme="majorBidi" w:hAnsiTheme="majorBidi" w:cstheme="majorBidi"/>
                <w:sz w:val="24"/>
                <w:szCs w:val="24"/>
              </w:rPr>
            </w:pPr>
            <w:r w:rsidRPr="006B3495">
              <w:rPr>
                <w:rFonts w:asciiTheme="majorBidi" w:hAnsiTheme="majorBidi" w:cstheme="majorBidi"/>
                <w:sz w:val="24"/>
                <w:szCs w:val="24"/>
              </w:rPr>
              <w:t>Total (n=240)</w:t>
            </w:r>
          </w:p>
          <w:p w14:paraId="4F27E551" w14:textId="77777777" w:rsidR="00EC74E8" w:rsidRPr="006B3495" w:rsidRDefault="00EC74E8" w:rsidP="00665AD7">
            <w:pPr>
              <w:spacing w:after="0"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n (%)</w:t>
            </w:r>
          </w:p>
        </w:tc>
        <w:tc>
          <w:tcPr>
            <w:tcW w:w="2410" w:type="dxa"/>
            <w:gridSpan w:val="2"/>
            <w:vAlign w:val="center"/>
          </w:tcPr>
          <w:p w14:paraId="489535C2" w14:textId="77777777" w:rsidR="00EC74E8" w:rsidRPr="006B3495" w:rsidRDefault="00EC74E8" w:rsidP="00665AD7">
            <w:pPr>
              <w:spacing w:after="0"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Cases</w:t>
            </w:r>
          </w:p>
          <w:p w14:paraId="1F3C2B72" w14:textId="77777777" w:rsidR="00EC74E8" w:rsidRPr="006B3495" w:rsidRDefault="00EC74E8" w:rsidP="00665AD7">
            <w:pPr>
              <w:spacing w:after="0"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(n=240)</w:t>
            </w:r>
          </w:p>
          <w:p w14:paraId="625B715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4"/>
                <w:szCs w:val="24"/>
              </w:rPr>
              <w:t>n (%)</w:t>
            </w:r>
          </w:p>
        </w:tc>
        <w:tc>
          <w:tcPr>
            <w:tcW w:w="1621" w:type="dxa"/>
            <w:gridSpan w:val="2"/>
            <w:vAlign w:val="center"/>
            <w:hideMark/>
          </w:tcPr>
          <w:p w14:paraId="6917973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4"/>
                <w:szCs w:val="24"/>
              </w:rPr>
              <w:t>Statistical test</w:t>
            </w:r>
          </w:p>
        </w:tc>
      </w:tr>
      <w:tr w:rsidR="004A617A" w:rsidRPr="006B3495" w14:paraId="0836D91D" w14:textId="77777777" w:rsidTr="00212183">
        <w:trPr>
          <w:trHeight w:val="20"/>
        </w:trPr>
        <w:tc>
          <w:tcPr>
            <w:tcW w:w="4253" w:type="dxa"/>
            <w:gridSpan w:val="2"/>
            <w:vMerge/>
            <w:noWrap/>
            <w:vAlign w:val="center"/>
          </w:tcPr>
          <w:p w14:paraId="1B9BDC9B" w14:textId="77777777" w:rsidR="00EC74E8" w:rsidRPr="006B3495" w:rsidRDefault="00EC74E8" w:rsidP="00665AD7">
            <w:pPr>
              <w:spacing w:after="0" w:line="480" w:lineRule="auto"/>
              <w:rPr>
                <w:rFonts w:asciiTheme="majorBidi" w:hAnsiTheme="majorBidi" w:cstheme="majorBidi"/>
              </w:rPr>
            </w:pPr>
          </w:p>
        </w:tc>
        <w:tc>
          <w:tcPr>
            <w:tcW w:w="1066" w:type="dxa"/>
            <w:vMerge/>
          </w:tcPr>
          <w:p w14:paraId="456ADC5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1276" w:type="dxa"/>
            <w:vAlign w:val="center"/>
          </w:tcPr>
          <w:p w14:paraId="2F93814C" w14:textId="069ACE0A"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 xml:space="preserve">TFA with the use of </w:t>
            </w:r>
            <w:r w:rsidR="004B4B08" w:rsidRPr="004B4B08">
              <w:rPr>
                <w:rFonts w:asciiTheme="majorBidi" w:eastAsia="Times New Roman" w:hAnsiTheme="majorBidi" w:cstheme="majorBidi"/>
                <w:sz w:val="20"/>
                <w:szCs w:val="20"/>
                <w:lang w:eastAsia="en-GB"/>
              </w:rPr>
              <w:t>VCD</w:t>
            </w:r>
          </w:p>
          <w:p w14:paraId="48D400F9"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4"/>
                <w:szCs w:val="24"/>
              </w:rPr>
              <w:t>(n=120)</w:t>
            </w:r>
          </w:p>
        </w:tc>
        <w:tc>
          <w:tcPr>
            <w:tcW w:w="1134" w:type="dxa"/>
            <w:vAlign w:val="center"/>
          </w:tcPr>
          <w:p w14:paraId="08362B6C"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TRA</w:t>
            </w:r>
          </w:p>
          <w:p w14:paraId="212C9558"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4"/>
                <w:szCs w:val="24"/>
              </w:rPr>
              <w:t>(n=120)</w:t>
            </w:r>
          </w:p>
        </w:tc>
        <w:tc>
          <w:tcPr>
            <w:tcW w:w="855" w:type="dxa"/>
            <w:vAlign w:val="center"/>
          </w:tcPr>
          <w:p w14:paraId="466A12E8" w14:textId="77777777" w:rsidR="00EC74E8" w:rsidRPr="006B3495" w:rsidRDefault="00EC74E8" w:rsidP="00665AD7">
            <w:pPr>
              <w:spacing w:after="0"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Chi-square</w:t>
            </w:r>
          </w:p>
          <w:p w14:paraId="6E642220"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4"/>
                <w:szCs w:val="24"/>
              </w:rPr>
              <w:t>(</w:t>
            </w:r>
            <w:r w:rsidRPr="006B3495">
              <w:rPr>
                <w:rFonts w:asciiTheme="majorBidi" w:hAnsiTheme="majorBidi" w:cstheme="majorBidi"/>
                <w:sz w:val="20"/>
                <w:szCs w:val="20"/>
              </w:rPr>
              <w:sym w:font="Symbol" w:char="F063"/>
            </w:r>
            <w:r w:rsidRPr="006B3495">
              <w:rPr>
                <w:rFonts w:asciiTheme="majorBidi" w:hAnsiTheme="majorBidi" w:cstheme="majorBidi"/>
                <w:sz w:val="20"/>
                <w:szCs w:val="20"/>
                <w:vertAlign w:val="superscript"/>
              </w:rPr>
              <w:t>2</w:t>
            </w:r>
            <w:r w:rsidRPr="006B3495">
              <w:rPr>
                <w:rFonts w:asciiTheme="majorBidi" w:hAnsiTheme="majorBidi" w:cstheme="majorBidi"/>
                <w:sz w:val="20"/>
                <w:szCs w:val="20"/>
              </w:rPr>
              <w:t>)</w:t>
            </w:r>
          </w:p>
        </w:tc>
        <w:tc>
          <w:tcPr>
            <w:tcW w:w="766" w:type="dxa"/>
            <w:vAlign w:val="center"/>
          </w:tcPr>
          <w:p w14:paraId="127E0948"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4"/>
                <w:szCs w:val="24"/>
              </w:rPr>
              <w:t>P-value</w:t>
            </w:r>
          </w:p>
        </w:tc>
      </w:tr>
      <w:tr w:rsidR="004A617A" w:rsidRPr="006B3495" w14:paraId="7E72DB4E" w14:textId="77777777" w:rsidTr="00212183">
        <w:trPr>
          <w:trHeight w:val="20"/>
        </w:trPr>
        <w:tc>
          <w:tcPr>
            <w:tcW w:w="1843" w:type="dxa"/>
            <w:noWrap/>
          </w:tcPr>
          <w:p w14:paraId="3B33EBBA"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bookmarkStart w:id="75" w:name="_Hlk169091519"/>
            <w:r w:rsidRPr="006B3495">
              <w:rPr>
                <w:rFonts w:asciiTheme="majorBidi" w:eastAsia="Times New Roman" w:hAnsiTheme="majorBidi" w:cstheme="majorBidi"/>
                <w:sz w:val="20"/>
                <w:szCs w:val="20"/>
                <w:lang w:eastAsia="en-GB"/>
              </w:rPr>
              <w:t>Age group</w:t>
            </w:r>
          </w:p>
        </w:tc>
        <w:tc>
          <w:tcPr>
            <w:tcW w:w="2410" w:type="dxa"/>
            <w:noWrap/>
          </w:tcPr>
          <w:p w14:paraId="51E70F44"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18-38 years old.</w:t>
            </w:r>
          </w:p>
        </w:tc>
        <w:tc>
          <w:tcPr>
            <w:tcW w:w="1066" w:type="dxa"/>
          </w:tcPr>
          <w:p w14:paraId="28419599" w14:textId="77777777" w:rsidR="00EC74E8" w:rsidRPr="006B3495" w:rsidRDefault="00EC74E8" w:rsidP="00665AD7">
            <w:pPr>
              <w:spacing w:after="0" w:line="480" w:lineRule="auto"/>
              <w:jc w:val="right"/>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82 (34.2)</w:t>
            </w:r>
          </w:p>
        </w:tc>
        <w:tc>
          <w:tcPr>
            <w:tcW w:w="1276" w:type="dxa"/>
            <w:noWrap/>
          </w:tcPr>
          <w:p w14:paraId="7714C5A7" w14:textId="77777777" w:rsidR="00EC74E8" w:rsidRPr="006B3495" w:rsidRDefault="00EC74E8" w:rsidP="00665AD7">
            <w:pPr>
              <w:spacing w:after="0" w:line="480" w:lineRule="auto"/>
              <w:jc w:val="right"/>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41 (34.2)</w:t>
            </w:r>
          </w:p>
        </w:tc>
        <w:tc>
          <w:tcPr>
            <w:tcW w:w="1134" w:type="dxa"/>
            <w:noWrap/>
          </w:tcPr>
          <w:p w14:paraId="72EF84E9" w14:textId="77777777" w:rsidR="00EC74E8" w:rsidRPr="006B3495" w:rsidRDefault="00EC74E8" w:rsidP="00665AD7">
            <w:pPr>
              <w:spacing w:after="0" w:line="480" w:lineRule="auto"/>
              <w:jc w:val="right"/>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41 (34.2)</w:t>
            </w:r>
          </w:p>
        </w:tc>
        <w:tc>
          <w:tcPr>
            <w:tcW w:w="855" w:type="dxa"/>
            <w:noWrap/>
          </w:tcPr>
          <w:p w14:paraId="69CAD88D" w14:textId="77777777" w:rsidR="00EC74E8" w:rsidRPr="006B3495" w:rsidRDefault="00EC74E8" w:rsidP="00665AD7">
            <w:pPr>
              <w:spacing w:after="0" w:line="480" w:lineRule="auto"/>
              <w:jc w:val="right"/>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0.000</w:t>
            </w:r>
          </w:p>
        </w:tc>
        <w:tc>
          <w:tcPr>
            <w:tcW w:w="766" w:type="dxa"/>
            <w:noWrap/>
          </w:tcPr>
          <w:p w14:paraId="25E28772" w14:textId="77777777" w:rsidR="00EC74E8" w:rsidRPr="006B3495" w:rsidRDefault="00EC74E8" w:rsidP="00665AD7">
            <w:pPr>
              <w:spacing w:after="0" w:line="480" w:lineRule="auto"/>
              <w:jc w:val="right"/>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1.000</w:t>
            </w:r>
          </w:p>
        </w:tc>
      </w:tr>
      <w:tr w:rsidR="004A617A" w:rsidRPr="006B3495" w14:paraId="045004F5" w14:textId="77777777" w:rsidTr="00212183">
        <w:trPr>
          <w:trHeight w:val="20"/>
        </w:trPr>
        <w:tc>
          <w:tcPr>
            <w:tcW w:w="1843" w:type="dxa"/>
            <w:noWrap/>
          </w:tcPr>
          <w:p w14:paraId="175436B3"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tcPr>
          <w:p w14:paraId="14C33225"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More than 38 years old.</w:t>
            </w:r>
          </w:p>
        </w:tc>
        <w:tc>
          <w:tcPr>
            <w:tcW w:w="1066" w:type="dxa"/>
          </w:tcPr>
          <w:p w14:paraId="1F676300" w14:textId="77777777" w:rsidR="00EC74E8" w:rsidRPr="006B3495" w:rsidRDefault="00EC74E8" w:rsidP="00665AD7">
            <w:pPr>
              <w:spacing w:after="0" w:line="480" w:lineRule="auto"/>
              <w:jc w:val="right"/>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158 (65.8)</w:t>
            </w:r>
          </w:p>
        </w:tc>
        <w:tc>
          <w:tcPr>
            <w:tcW w:w="1276" w:type="dxa"/>
            <w:noWrap/>
          </w:tcPr>
          <w:p w14:paraId="5C4DBB42" w14:textId="77777777" w:rsidR="00EC74E8" w:rsidRPr="006B3495" w:rsidRDefault="00EC74E8" w:rsidP="00665AD7">
            <w:pPr>
              <w:spacing w:after="0" w:line="480" w:lineRule="auto"/>
              <w:jc w:val="right"/>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79 (65.8)</w:t>
            </w:r>
          </w:p>
        </w:tc>
        <w:tc>
          <w:tcPr>
            <w:tcW w:w="1134" w:type="dxa"/>
            <w:noWrap/>
          </w:tcPr>
          <w:p w14:paraId="2D15BF06" w14:textId="77777777" w:rsidR="00EC74E8" w:rsidRPr="006B3495" w:rsidRDefault="00EC74E8" w:rsidP="00665AD7">
            <w:pPr>
              <w:spacing w:after="0" w:line="480" w:lineRule="auto"/>
              <w:jc w:val="right"/>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79 (65.8)</w:t>
            </w:r>
          </w:p>
        </w:tc>
        <w:tc>
          <w:tcPr>
            <w:tcW w:w="855" w:type="dxa"/>
            <w:noWrap/>
          </w:tcPr>
          <w:p w14:paraId="364E202C" w14:textId="77777777" w:rsidR="00EC74E8" w:rsidRPr="006B3495" w:rsidRDefault="00EC74E8" w:rsidP="00665AD7">
            <w:pPr>
              <w:spacing w:after="0" w:line="480" w:lineRule="auto"/>
              <w:jc w:val="right"/>
              <w:rPr>
                <w:rFonts w:asciiTheme="majorBidi" w:eastAsia="Times New Roman" w:hAnsiTheme="majorBidi" w:cstheme="majorBidi"/>
                <w:sz w:val="20"/>
                <w:szCs w:val="20"/>
                <w:lang w:eastAsia="en-GB"/>
              </w:rPr>
            </w:pPr>
          </w:p>
        </w:tc>
        <w:tc>
          <w:tcPr>
            <w:tcW w:w="766" w:type="dxa"/>
            <w:noWrap/>
          </w:tcPr>
          <w:p w14:paraId="6E350D66" w14:textId="77777777" w:rsidR="00EC74E8" w:rsidRPr="006B3495" w:rsidRDefault="00EC74E8" w:rsidP="00665AD7">
            <w:pPr>
              <w:spacing w:after="0" w:line="480" w:lineRule="auto"/>
              <w:jc w:val="right"/>
              <w:rPr>
                <w:rFonts w:asciiTheme="majorBidi" w:eastAsia="Times New Roman" w:hAnsiTheme="majorBidi" w:cstheme="majorBidi"/>
                <w:sz w:val="20"/>
                <w:szCs w:val="20"/>
                <w:lang w:eastAsia="en-GB"/>
              </w:rPr>
            </w:pPr>
          </w:p>
        </w:tc>
      </w:tr>
      <w:tr w:rsidR="004A617A" w:rsidRPr="006B3495" w14:paraId="2555DDA7" w14:textId="77777777" w:rsidTr="00212183">
        <w:trPr>
          <w:trHeight w:val="20"/>
        </w:trPr>
        <w:tc>
          <w:tcPr>
            <w:tcW w:w="1843" w:type="dxa"/>
            <w:noWrap/>
            <w:hideMark/>
          </w:tcPr>
          <w:p w14:paraId="0CDAEB12"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Gender</w:t>
            </w:r>
          </w:p>
        </w:tc>
        <w:tc>
          <w:tcPr>
            <w:tcW w:w="2410" w:type="dxa"/>
            <w:noWrap/>
            <w:hideMark/>
          </w:tcPr>
          <w:p w14:paraId="4578D0A1"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Male</w:t>
            </w:r>
          </w:p>
        </w:tc>
        <w:tc>
          <w:tcPr>
            <w:tcW w:w="1066" w:type="dxa"/>
          </w:tcPr>
          <w:p w14:paraId="46E8881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113 (47.1)</w:t>
            </w:r>
          </w:p>
        </w:tc>
        <w:tc>
          <w:tcPr>
            <w:tcW w:w="1276" w:type="dxa"/>
            <w:noWrap/>
            <w:hideMark/>
          </w:tcPr>
          <w:p w14:paraId="61B94E1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38 (31.7)</w:t>
            </w:r>
          </w:p>
        </w:tc>
        <w:tc>
          <w:tcPr>
            <w:tcW w:w="1134" w:type="dxa"/>
            <w:noWrap/>
            <w:hideMark/>
          </w:tcPr>
          <w:p w14:paraId="1CF4C41C"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75 (62.5)</w:t>
            </w:r>
          </w:p>
        </w:tc>
        <w:tc>
          <w:tcPr>
            <w:tcW w:w="855" w:type="dxa"/>
            <w:noWrap/>
            <w:hideMark/>
          </w:tcPr>
          <w:p w14:paraId="75142928"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22.895</w:t>
            </w:r>
          </w:p>
        </w:tc>
        <w:tc>
          <w:tcPr>
            <w:tcW w:w="766" w:type="dxa"/>
            <w:noWrap/>
            <w:hideMark/>
          </w:tcPr>
          <w:p w14:paraId="217BCC3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0.000*</w:t>
            </w:r>
          </w:p>
        </w:tc>
      </w:tr>
      <w:tr w:rsidR="004A617A" w:rsidRPr="006B3495" w14:paraId="25AC3FFE" w14:textId="77777777" w:rsidTr="00212183">
        <w:trPr>
          <w:trHeight w:val="20"/>
        </w:trPr>
        <w:tc>
          <w:tcPr>
            <w:tcW w:w="1843" w:type="dxa"/>
            <w:noWrap/>
            <w:hideMark/>
          </w:tcPr>
          <w:p w14:paraId="6A2525AF"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hideMark/>
          </w:tcPr>
          <w:p w14:paraId="2E23987F"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Female</w:t>
            </w:r>
          </w:p>
        </w:tc>
        <w:tc>
          <w:tcPr>
            <w:tcW w:w="1066" w:type="dxa"/>
          </w:tcPr>
          <w:p w14:paraId="269E0586"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127 (52.9)</w:t>
            </w:r>
          </w:p>
        </w:tc>
        <w:tc>
          <w:tcPr>
            <w:tcW w:w="1276" w:type="dxa"/>
            <w:noWrap/>
            <w:hideMark/>
          </w:tcPr>
          <w:p w14:paraId="1746A0CD"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82 (68.3)</w:t>
            </w:r>
          </w:p>
        </w:tc>
        <w:tc>
          <w:tcPr>
            <w:tcW w:w="1134" w:type="dxa"/>
            <w:noWrap/>
            <w:hideMark/>
          </w:tcPr>
          <w:p w14:paraId="0B93980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45 (37.5)</w:t>
            </w:r>
          </w:p>
        </w:tc>
        <w:tc>
          <w:tcPr>
            <w:tcW w:w="855" w:type="dxa"/>
            <w:noWrap/>
            <w:hideMark/>
          </w:tcPr>
          <w:p w14:paraId="383B862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5E956E10"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2E083EFB" w14:textId="77777777" w:rsidTr="00212183">
        <w:trPr>
          <w:trHeight w:val="20"/>
        </w:trPr>
        <w:tc>
          <w:tcPr>
            <w:tcW w:w="1843" w:type="dxa"/>
            <w:noWrap/>
            <w:hideMark/>
          </w:tcPr>
          <w:p w14:paraId="6E520741"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Occupation</w:t>
            </w:r>
          </w:p>
        </w:tc>
        <w:tc>
          <w:tcPr>
            <w:tcW w:w="2410" w:type="dxa"/>
            <w:noWrap/>
            <w:hideMark/>
          </w:tcPr>
          <w:p w14:paraId="5BED4C69"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 xml:space="preserve">Employed </w:t>
            </w:r>
          </w:p>
        </w:tc>
        <w:tc>
          <w:tcPr>
            <w:tcW w:w="1066" w:type="dxa"/>
          </w:tcPr>
          <w:p w14:paraId="39994577"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149 (62.1)</w:t>
            </w:r>
          </w:p>
        </w:tc>
        <w:tc>
          <w:tcPr>
            <w:tcW w:w="1276" w:type="dxa"/>
            <w:noWrap/>
            <w:hideMark/>
          </w:tcPr>
          <w:p w14:paraId="480AC098"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74 (61.7)</w:t>
            </w:r>
          </w:p>
        </w:tc>
        <w:tc>
          <w:tcPr>
            <w:tcW w:w="1134" w:type="dxa"/>
            <w:noWrap/>
            <w:hideMark/>
          </w:tcPr>
          <w:p w14:paraId="5F8B634E"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75 (62.5)</w:t>
            </w:r>
          </w:p>
        </w:tc>
        <w:tc>
          <w:tcPr>
            <w:tcW w:w="855" w:type="dxa"/>
            <w:noWrap/>
            <w:hideMark/>
          </w:tcPr>
          <w:p w14:paraId="016D8A3F"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0.018</w:t>
            </w:r>
          </w:p>
        </w:tc>
        <w:tc>
          <w:tcPr>
            <w:tcW w:w="766" w:type="dxa"/>
            <w:noWrap/>
            <w:hideMark/>
          </w:tcPr>
          <w:p w14:paraId="625D3D5F"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0.894</w:t>
            </w:r>
          </w:p>
        </w:tc>
      </w:tr>
      <w:tr w:rsidR="00EC74E8" w:rsidRPr="006B3495" w14:paraId="28D87838" w14:textId="77777777" w:rsidTr="00212183">
        <w:trPr>
          <w:trHeight w:val="20"/>
        </w:trPr>
        <w:tc>
          <w:tcPr>
            <w:tcW w:w="1843" w:type="dxa"/>
            <w:noWrap/>
            <w:hideMark/>
          </w:tcPr>
          <w:p w14:paraId="0D64DD7B"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hideMark/>
          </w:tcPr>
          <w:p w14:paraId="7191774C"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Unemployed</w:t>
            </w:r>
          </w:p>
        </w:tc>
        <w:tc>
          <w:tcPr>
            <w:tcW w:w="1066" w:type="dxa"/>
          </w:tcPr>
          <w:p w14:paraId="749A809D"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91 (37.9)</w:t>
            </w:r>
          </w:p>
        </w:tc>
        <w:tc>
          <w:tcPr>
            <w:tcW w:w="1276" w:type="dxa"/>
            <w:noWrap/>
            <w:hideMark/>
          </w:tcPr>
          <w:p w14:paraId="6644F75A"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46 (38.3)</w:t>
            </w:r>
          </w:p>
        </w:tc>
        <w:tc>
          <w:tcPr>
            <w:tcW w:w="1134" w:type="dxa"/>
            <w:noWrap/>
            <w:hideMark/>
          </w:tcPr>
          <w:p w14:paraId="7ED21C52"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45 (37.5)</w:t>
            </w:r>
          </w:p>
        </w:tc>
        <w:tc>
          <w:tcPr>
            <w:tcW w:w="855" w:type="dxa"/>
            <w:noWrap/>
            <w:hideMark/>
          </w:tcPr>
          <w:p w14:paraId="5D9573D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498906D8"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bookmarkEnd w:id="75"/>
    </w:tbl>
    <w:p w14:paraId="1388B777" w14:textId="77777777" w:rsidR="00EC74E8" w:rsidRPr="006B3495" w:rsidRDefault="00EC74E8" w:rsidP="00665AD7">
      <w:pPr>
        <w:spacing w:line="480" w:lineRule="auto"/>
      </w:pPr>
    </w:p>
    <w:p w14:paraId="7EF30FC4" w14:textId="77777777" w:rsidR="00EC74E8" w:rsidRPr="006B3495" w:rsidRDefault="00EC74E8" w:rsidP="00A11B6B">
      <w:pPr>
        <w:pStyle w:val="a"/>
        <w:numPr>
          <w:ilvl w:val="1"/>
          <w:numId w:val="1"/>
        </w:numPr>
      </w:pPr>
      <w:bookmarkStart w:id="76" w:name="_Toc212871532"/>
      <w:r w:rsidRPr="006B3495">
        <w:t>Distribution of participants according to Health information</w:t>
      </w:r>
      <w:bookmarkEnd w:id="76"/>
    </w:p>
    <w:p w14:paraId="0A1A0633" w14:textId="77777777" w:rsidR="009C5862"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Table 2 shows the distribution of participants according to </w:t>
      </w:r>
      <w:r w:rsidR="009940DD" w:rsidRPr="006B3495">
        <w:rPr>
          <w:rFonts w:asciiTheme="majorBidi" w:hAnsiTheme="majorBidi" w:cstheme="majorBidi"/>
          <w:sz w:val="24"/>
          <w:szCs w:val="24"/>
        </w:rPr>
        <w:t>health information</w:t>
      </w:r>
      <w:r w:rsidRPr="006B3495">
        <w:rPr>
          <w:rFonts w:asciiTheme="majorBidi" w:hAnsiTheme="majorBidi" w:cstheme="majorBidi"/>
          <w:sz w:val="24"/>
          <w:szCs w:val="24"/>
        </w:rPr>
        <w:t xml:space="preserve">. The </w:t>
      </w:r>
      <w:r w:rsidR="00A27220">
        <w:rPr>
          <w:rFonts w:asciiTheme="majorBidi" w:hAnsiTheme="majorBidi" w:cstheme="majorBidi"/>
          <w:sz w:val="24"/>
          <w:szCs w:val="24"/>
        </w:rPr>
        <w:t>results showed</w:t>
      </w:r>
      <w:r w:rsidRPr="006B3495">
        <w:rPr>
          <w:rFonts w:asciiTheme="majorBidi" w:hAnsiTheme="majorBidi" w:cstheme="majorBidi"/>
          <w:sz w:val="24"/>
          <w:szCs w:val="24"/>
        </w:rPr>
        <w:t xml:space="preserve"> that the majority underwent interventional procedures (60.8%), while 39.2% underwent diagnostic procedures.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that 51.3% were non-smokers and 48.</w:t>
      </w:r>
      <w:r w:rsidR="009C5862">
        <w:rPr>
          <w:rFonts w:asciiTheme="majorBidi" w:hAnsiTheme="majorBidi" w:cstheme="majorBidi"/>
          <w:sz w:val="24"/>
          <w:szCs w:val="24"/>
        </w:rPr>
        <w:t>7</w:t>
      </w:r>
      <w:r w:rsidRPr="006B3495">
        <w:rPr>
          <w:rFonts w:asciiTheme="majorBidi" w:hAnsiTheme="majorBidi" w:cstheme="majorBidi"/>
          <w:sz w:val="24"/>
          <w:szCs w:val="24"/>
        </w:rPr>
        <w:t xml:space="preserve">% were smokers.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that 0.4% percentage reported smoking hookah, while 99.6% did not. Regarding comorbidities,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that 47.5% of participants had diabetes mellitus, 50.4% had hypertension. 34.2% was reported </w:t>
      </w:r>
      <w:r w:rsidR="009940DD">
        <w:rPr>
          <w:rFonts w:asciiTheme="majorBidi" w:hAnsiTheme="majorBidi" w:cstheme="majorBidi"/>
          <w:sz w:val="24"/>
          <w:szCs w:val="24"/>
        </w:rPr>
        <w:t>h</w:t>
      </w:r>
      <w:r w:rsidRPr="006B3495">
        <w:rPr>
          <w:rFonts w:asciiTheme="majorBidi" w:hAnsiTheme="majorBidi" w:cstheme="majorBidi"/>
          <w:sz w:val="24"/>
          <w:szCs w:val="24"/>
        </w:rPr>
        <w:t xml:space="preserve">yperlipidemia. Finally, 15.8% had a </w:t>
      </w:r>
      <w:r w:rsidR="009940DD">
        <w:rPr>
          <w:rFonts w:asciiTheme="majorBidi" w:hAnsiTheme="majorBidi" w:cstheme="majorBidi"/>
          <w:sz w:val="24"/>
          <w:szCs w:val="24"/>
        </w:rPr>
        <w:t>f</w:t>
      </w:r>
      <w:r w:rsidRPr="006B3495">
        <w:rPr>
          <w:rFonts w:asciiTheme="majorBidi" w:hAnsiTheme="majorBidi" w:cstheme="majorBidi"/>
          <w:sz w:val="24"/>
          <w:szCs w:val="24"/>
        </w:rPr>
        <w:t xml:space="preserve">amily history of CAD. </w:t>
      </w:r>
    </w:p>
    <w:p w14:paraId="4DB0D39B" w14:textId="6327D4C2"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Furthermore, the results of the current study showed that 12.1% had undergone Coronary Artery Bypass Grafting (CABG), and 30.8% had previous Percutaneous Coronary </w:t>
      </w:r>
      <w:r w:rsidRPr="006B3495">
        <w:rPr>
          <w:rFonts w:asciiTheme="majorBidi" w:hAnsiTheme="majorBidi" w:cstheme="majorBidi"/>
          <w:sz w:val="24"/>
          <w:szCs w:val="24"/>
        </w:rPr>
        <w:lastRenderedPageBreak/>
        <w:t xml:space="preserve">Intervention (PCI). Also,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that 27.5% used Glycoprotein Inhibitors (GPI) while 18.8% had received treatment with an Intra-Aortic Balloon Pump (IABP). This statistical test showed MI was statistically significant among TFA </w:t>
      </w:r>
      <w:r w:rsidR="004B4B08">
        <w:rPr>
          <w:rFonts w:asciiTheme="majorBidi" w:hAnsiTheme="majorBidi" w:cstheme="majorBidi"/>
          <w:sz w:val="24"/>
          <w:szCs w:val="24"/>
        </w:rPr>
        <w:t>with</w:t>
      </w:r>
      <w:r w:rsidRPr="006B3495">
        <w:rPr>
          <w:rFonts w:asciiTheme="majorBidi" w:hAnsiTheme="majorBidi" w:cstheme="majorBidi"/>
          <w:sz w:val="24"/>
          <w:szCs w:val="24"/>
        </w:rPr>
        <w:t xml:space="preserve">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group compared to the TRA group (P = 0.013).</w:t>
      </w:r>
    </w:p>
    <w:p w14:paraId="14BEC83F" w14:textId="77777777" w:rsidR="00D42934"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Regarding current cigarette smoking status,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that significant differences were observed among TFA with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compared to the TRA group.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that 37.5% vs. 65% were non-smokers, and 65.0% vs. 35.0% were smokers. </w:t>
      </w:r>
    </w:p>
    <w:p w14:paraId="13B2AF76" w14:textId="61C9C606"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that the TRA group with hypertension was more statistically significant than TFA with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(65.8% vs. 35.0%, respectively; P&lt;0.05). In contrast,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that there is </w:t>
      </w:r>
      <w:r w:rsidR="00D26884" w:rsidRPr="006B3495">
        <w:rPr>
          <w:rFonts w:asciiTheme="majorBidi" w:hAnsiTheme="majorBidi" w:cstheme="majorBidi"/>
          <w:sz w:val="24"/>
          <w:szCs w:val="24"/>
        </w:rPr>
        <w:t>not</w:t>
      </w:r>
      <w:r w:rsidRPr="006B3495">
        <w:rPr>
          <w:rFonts w:asciiTheme="majorBidi" w:hAnsiTheme="majorBidi" w:cstheme="majorBidi"/>
          <w:sz w:val="24"/>
          <w:szCs w:val="24"/>
        </w:rPr>
        <w:t xml:space="preserve"> statistically significant between TFA </w:t>
      </w:r>
      <w:r w:rsidR="004B4B08">
        <w:rPr>
          <w:rFonts w:asciiTheme="majorBidi" w:hAnsiTheme="majorBidi" w:cstheme="majorBidi"/>
          <w:sz w:val="24"/>
          <w:szCs w:val="24"/>
        </w:rPr>
        <w:t>with</w:t>
      </w:r>
      <w:r w:rsidRPr="006B3495">
        <w:rPr>
          <w:rFonts w:asciiTheme="majorBidi" w:hAnsiTheme="majorBidi" w:cstheme="majorBidi"/>
          <w:sz w:val="24"/>
          <w:szCs w:val="24"/>
        </w:rPr>
        <w:t xml:space="preserve">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and the TRA group regarding other health factors, such as diabetes mellitus, hyperlipidemia, family history of CAD, previous CABG, PCI, GPI use, and IABP use (P&gt;0.05). </w:t>
      </w:r>
    </w:p>
    <w:p w14:paraId="490206A7" w14:textId="77777777" w:rsidR="00EC74E8" w:rsidRPr="006B3495" w:rsidRDefault="00EC74E8" w:rsidP="00665AD7">
      <w:pPr>
        <w:pStyle w:val="table"/>
        <w:spacing w:after="0" w:line="480" w:lineRule="auto"/>
      </w:pPr>
      <w:bookmarkStart w:id="77" w:name="_Toc170299114"/>
      <w:r w:rsidRPr="006B3495">
        <w:t>Table 2</w:t>
      </w:r>
      <w:bookmarkEnd w:id="77"/>
      <w:r w:rsidRPr="006B3495">
        <w:t xml:space="preserve"> </w:t>
      </w:r>
    </w:p>
    <w:p w14:paraId="6DC604C4" w14:textId="77777777" w:rsidR="00EC74E8" w:rsidRPr="006B3495" w:rsidRDefault="00EC74E8" w:rsidP="00665AD7">
      <w:pPr>
        <w:pStyle w:val="table"/>
        <w:spacing w:after="0" w:line="480" w:lineRule="auto"/>
        <w:rPr>
          <w:b w:val="0"/>
          <w:bCs w:val="0"/>
          <w:i/>
          <w:iCs/>
        </w:rPr>
      </w:pPr>
      <w:bookmarkStart w:id="78" w:name="_Toc170299115"/>
      <w:r w:rsidRPr="006B3495">
        <w:rPr>
          <w:b w:val="0"/>
          <w:bCs w:val="0"/>
          <w:i/>
          <w:iCs/>
        </w:rPr>
        <w:t>Distribution of participants according to health information.</w:t>
      </w:r>
      <w:bookmarkEnd w:id="78"/>
    </w:p>
    <w:tbl>
      <w:tblPr>
        <w:tblW w:w="9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410"/>
        <w:gridCol w:w="1275"/>
        <w:gridCol w:w="1276"/>
        <w:gridCol w:w="1134"/>
        <w:gridCol w:w="843"/>
        <w:gridCol w:w="766"/>
      </w:tblGrid>
      <w:tr w:rsidR="004A617A" w:rsidRPr="006B3495" w14:paraId="7DDCE29C" w14:textId="77777777" w:rsidTr="00212183">
        <w:trPr>
          <w:trHeight w:val="20"/>
        </w:trPr>
        <w:tc>
          <w:tcPr>
            <w:tcW w:w="4253" w:type="dxa"/>
            <w:gridSpan w:val="2"/>
            <w:vMerge w:val="restart"/>
            <w:noWrap/>
            <w:vAlign w:val="center"/>
            <w:hideMark/>
          </w:tcPr>
          <w:p w14:paraId="60B1B3B6"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bookmarkStart w:id="79" w:name="_Hlk169091543"/>
            <w:r w:rsidRPr="006B3495">
              <w:rPr>
                <w:rFonts w:asciiTheme="majorBidi" w:hAnsiTheme="majorBidi" w:cstheme="majorBidi"/>
              </w:rPr>
              <w:t>Health information</w:t>
            </w:r>
          </w:p>
        </w:tc>
        <w:tc>
          <w:tcPr>
            <w:tcW w:w="1275" w:type="dxa"/>
            <w:vMerge w:val="restart"/>
            <w:vAlign w:val="center"/>
            <w:hideMark/>
          </w:tcPr>
          <w:p w14:paraId="1C482529" w14:textId="77777777" w:rsidR="00EC74E8" w:rsidRPr="006B3495" w:rsidRDefault="00EC74E8" w:rsidP="00665AD7">
            <w:pPr>
              <w:spacing w:after="0" w:line="480" w:lineRule="auto"/>
              <w:jc w:val="center"/>
              <w:rPr>
                <w:rFonts w:asciiTheme="majorBidi" w:hAnsiTheme="majorBidi" w:cstheme="majorBidi"/>
                <w:sz w:val="24"/>
                <w:szCs w:val="24"/>
              </w:rPr>
            </w:pPr>
            <w:r w:rsidRPr="006B3495">
              <w:rPr>
                <w:rFonts w:asciiTheme="majorBidi" w:hAnsiTheme="majorBidi" w:cstheme="majorBidi"/>
                <w:sz w:val="24"/>
                <w:szCs w:val="24"/>
              </w:rPr>
              <w:t>Total (n=240)</w:t>
            </w:r>
          </w:p>
          <w:p w14:paraId="16C659C8"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4"/>
                <w:szCs w:val="24"/>
              </w:rPr>
              <w:t>n (%)</w:t>
            </w:r>
          </w:p>
        </w:tc>
        <w:tc>
          <w:tcPr>
            <w:tcW w:w="2410" w:type="dxa"/>
            <w:gridSpan w:val="2"/>
            <w:vAlign w:val="center"/>
          </w:tcPr>
          <w:p w14:paraId="526F16DC" w14:textId="77777777" w:rsidR="00EC74E8" w:rsidRPr="006B3495" w:rsidRDefault="00EC74E8" w:rsidP="00665AD7">
            <w:pPr>
              <w:spacing w:after="0"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Cases</w:t>
            </w:r>
          </w:p>
          <w:p w14:paraId="0ACCE186" w14:textId="77777777" w:rsidR="00EC74E8" w:rsidRPr="006B3495" w:rsidRDefault="00EC74E8" w:rsidP="00665AD7">
            <w:pPr>
              <w:spacing w:after="0"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(n=240)</w:t>
            </w:r>
          </w:p>
          <w:p w14:paraId="70F47EDC"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4"/>
                <w:szCs w:val="24"/>
              </w:rPr>
              <w:t>n (%)</w:t>
            </w:r>
          </w:p>
        </w:tc>
        <w:tc>
          <w:tcPr>
            <w:tcW w:w="1609" w:type="dxa"/>
            <w:gridSpan w:val="2"/>
            <w:vAlign w:val="center"/>
            <w:hideMark/>
          </w:tcPr>
          <w:p w14:paraId="6EB3AC10"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4"/>
                <w:szCs w:val="24"/>
              </w:rPr>
              <w:t>Statistical test</w:t>
            </w:r>
          </w:p>
        </w:tc>
      </w:tr>
      <w:tr w:rsidR="004A617A" w:rsidRPr="006B3495" w14:paraId="2AF944CD" w14:textId="77777777" w:rsidTr="00212183">
        <w:trPr>
          <w:trHeight w:val="20"/>
        </w:trPr>
        <w:tc>
          <w:tcPr>
            <w:tcW w:w="4253" w:type="dxa"/>
            <w:gridSpan w:val="2"/>
            <w:vMerge/>
            <w:noWrap/>
            <w:vAlign w:val="center"/>
          </w:tcPr>
          <w:p w14:paraId="1DEE842B" w14:textId="77777777" w:rsidR="00EC74E8" w:rsidRPr="006B3495" w:rsidRDefault="00EC74E8" w:rsidP="00665AD7">
            <w:pPr>
              <w:spacing w:after="0" w:line="480" w:lineRule="auto"/>
              <w:rPr>
                <w:rFonts w:asciiTheme="majorBidi" w:hAnsiTheme="majorBidi" w:cstheme="majorBidi"/>
              </w:rPr>
            </w:pPr>
          </w:p>
        </w:tc>
        <w:tc>
          <w:tcPr>
            <w:tcW w:w="1275" w:type="dxa"/>
            <w:vMerge/>
            <w:vAlign w:val="center"/>
          </w:tcPr>
          <w:p w14:paraId="62512515" w14:textId="77777777" w:rsidR="00EC74E8" w:rsidRPr="006B3495" w:rsidRDefault="00EC74E8" w:rsidP="00665AD7">
            <w:pPr>
              <w:spacing w:after="0" w:line="480" w:lineRule="auto"/>
              <w:jc w:val="center"/>
              <w:rPr>
                <w:rFonts w:asciiTheme="majorBidi" w:hAnsiTheme="majorBidi" w:cstheme="majorBidi"/>
                <w:sz w:val="24"/>
                <w:szCs w:val="24"/>
              </w:rPr>
            </w:pPr>
          </w:p>
        </w:tc>
        <w:tc>
          <w:tcPr>
            <w:tcW w:w="1276" w:type="dxa"/>
            <w:vAlign w:val="center"/>
          </w:tcPr>
          <w:p w14:paraId="5E08910F" w14:textId="38C25A5B"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TFA with the use of V</w:t>
            </w:r>
            <w:r w:rsidR="00FA2322">
              <w:rPr>
                <w:rFonts w:asciiTheme="majorBidi" w:eastAsia="Times New Roman" w:hAnsiTheme="majorBidi" w:cstheme="majorBidi"/>
                <w:sz w:val="20"/>
                <w:szCs w:val="20"/>
                <w:lang w:eastAsia="en-GB"/>
              </w:rPr>
              <w:t>C</w:t>
            </w:r>
            <w:r w:rsidRPr="006B3495">
              <w:rPr>
                <w:rFonts w:asciiTheme="majorBidi" w:eastAsia="Times New Roman" w:hAnsiTheme="majorBidi" w:cstheme="majorBidi"/>
                <w:sz w:val="20"/>
                <w:szCs w:val="20"/>
                <w:lang w:eastAsia="en-GB"/>
              </w:rPr>
              <w:t>D</w:t>
            </w:r>
          </w:p>
          <w:p w14:paraId="09B1E503"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4"/>
                <w:szCs w:val="24"/>
              </w:rPr>
              <w:t>(n=120)</w:t>
            </w:r>
          </w:p>
        </w:tc>
        <w:tc>
          <w:tcPr>
            <w:tcW w:w="1134" w:type="dxa"/>
            <w:vAlign w:val="center"/>
          </w:tcPr>
          <w:p w14:paraId="08AB6189"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TRA</w:t>
            </w:r>
          </w:p>
          <w:p w14:paraId="31C97626"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4"/>
                <w:szCs w:val="24"/>
              </w:rPr>
              <w:t>(n=120)</w:t>
            </w:r>
          </w:p>
        </w:tc>
        <w:tc>
          <w:tcPr>
            <w:tcW w:w="843" w:type="dxa"/>
            <w:vAlign w:val="center"/>
          </w:tcPr>
          <w:p w14:paraId="18C65E2F" w14:textId="77777777" w:rsidR="00EC74E8" w:rsidRPr="006B3495" w:rsidRDefault="00EC74E8" w:rsidP="00665AD7">
            <w:pPr>
              <w:spacing w:after="0"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Chi-square</w:t>
            </w:r>
          </w:p>
          <w:p w14:paraId="0D17E467"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4"/>
                <w:szCs w:val="24"/>
              </w:rPr>
              <w:t>(</w:t>
            </w:r>
            <w:r w:rsidRPr="006B3495">
              <w:rPr>
                <w:rFonts w:asciiTheme="majorBidi" w:hAnsiTheme="majorBidi" w:cstheme="majorBidi"/>
                <w:sz w:val="20"/>
                <w:szCs w:val="20"/>
              </w:rPr>
              <w:sym w:font="Symbol" w:char="F063"/>
            </w:r>
            <w:r w:rsidRPr="006B3495">
              <w:rPr>
                <w:rFonts w:asciiTheme="majorBidi" w:hAnsiTheme="majorBidi" w:cstheme="majorBidi"/>
                <w:sz w:val="20"/>
                <w:szCs w:val="20"/>
                <w:vertAlign w:val="superscript"/>
              </w:rPr>
              <w:t>2</w:t>
            </w:r>
            <w:r w:rsidRPr="006B3495">
              <w:rPr>
                <w:rFonts w:asciiTheme="majorBidi" w:hAnsiTheme="majorBidi" w:cstheme="majorBidi"/>
                <w:sz w:val="20"/>
                <w:szCs w:val="20"/>
              </w:rPr>
              <w:t>)</w:t>
            </w:r>
          </w:p>
        </w:tc>
        <w:tc>
          <w:tcPr>
            <w:tcW w:w="766" w:type="dxa"/>
            <w:vAlign w:val="center"/>
          </w:tcPr>
          <w:p w14:paraId="68A20727"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4"/>
                <w:szCs w:val="24"/>
              </w:rPr>
              <w:t>P-value</w:t>
            </w:r>
          </w:p>
        </w:tc>
      </w:tr>
      <w:tr w:rsidR="004A617A" w:rsidRPr="006B3495" w14:paraId="7640016F" w14:textId="77777777" w:rsidTr="00212183">
        <w:trPr>
          <w:trHeight w:val="20"/>
        </w:trPr>
        <w:tc>
          <w:tcPr>
            <w:tcW w:w="1843" w:type="dxa"/>
            <w:vMerge w:val="restart"/>
            <w:noWrap/>
            <w:hideMark/>
          </w:tcPr>
          <w:p w14:paraId="37D139F3"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Reason for procedure</w:t>
            </w:r>
          </w:p>
        </w:tc>
        <w:tc>
          <w:tcPr>
            <w:tcW w:w="2410" w:type="dxa"/>
            <w:noWrap/>
            <w:vAlign w:val="center"/>
            <w:hideMark/>
          </w:tcPr>
          <w:p w14:paraId="70A8F212"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Diagnostic.</w:t>
            </w:r>
          </w:p>
        </w:tc>
        <w:tc>
          <w:tcPr>
            <w:tcW w:w="1275" w:type="dxa"/>
            <w:noWrap/>
            <w:hideMark/>
          </w:tcPr>
          <w:p w14:paraId="1C5B91BB"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94 (39.2)</w:t>
            </w:r>
          </w:p>
        </w:tc>
        <w:tc>
          <w:tcPr>
            <w:tcW w:w="1276" w:type="dxa"/>
            <w:noWrap/>
            <w:hideMark/>
          </w:tcPr>
          <w:p w14:paraId="7FF269B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42 (35)</w:t>
            </w:r>
          </w:p>
        </w:tc>
        <w:tc>
          <w:tcPr>
            <w:tcW w:w="1134" w:type="dxa"/>
            <w:noWrap/>
            <w:hideMark/>
          </w:tcPr>
          <w:p w14:paraId="11CE162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52 (43.3)</w:t>
            </w:r>
          </w:p>
        </w:tc>
        <w:tc>
          <w:tcPr>
            <w:tcW w:w="843" w:type="dxa"/>
            <w:noWrap/>
            <w:hideMark/>
          </w:tcPr>
          <w:p w14:paraId="2A33ADA8"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1.749</w:t>
            </w:r>
          </w:p>
        </w:tc>
        <w:tc>
          <w:tcPr>
            <w:tcW w:w="766" w:type="dxa"/>
            <w:noWrap/>
            <w:hideMark/>
          </w:tcPr>
          <w:p w14:paraId="1B99CC5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0.186</w:t>
            </w:r>
          </w:p>
        </w:tc>
      </w:tr>
      <w:tr w:rsidR="004A617A" w:rsidRPr="006B3495" w14:paraId="22EA947C" w14:textId="77777777" w:rsidTr="00212183">
        <w:trPr>
          <w:trHeight w:val="20"/>
        </w:trPr>
        <w:tc>
          <w:tcPr>
            <w:tcW w:w="1843" w:type="dxa"/>
            <w:vMerge/>
            <w:noWrap/>
            <w:hideMark/>
          </w:tcPr>
          <w:p w14:paraId="10840081"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vAlign w:val="center"/>
            <w:hideMark/>
          </w:tcPr>
          <w:p w14:paraId="33140E09"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Interventional.</w:t>
            </w:r>
          </w:p>
        </w:tc>
        <w:tc>
          <w:tcPr>
            <w:tcW w:w="1275" w:type="dxa"/>
            <w:noWrap/>
            <w:hideMark/>
          </w:tcPr>
          <w:p w14:paraId="236B3973"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146 (60.8)</w:t>
            </w:r>
          </w:p>
        </w:tc>
        <w:tc>
          <w:tcPr>
            <w:tcW w:w="1276" w:type="dxa"/>
            <w:noWrap/>
            <w:hideMark/>
          </w:tcPr>
          <w:p w14:paraId="6387C3DF"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78 (65)</w:t>
            </w:r>
          </w:p>
        </w:tc>
        <w:tc>
          <w:tcPr>
            <w:tcW w:w="1134" w:type="dxa"/>
            <w:noWrap/>
            <w:hideMark/>
          </w:tcPr>
          <w:p w14:paraId="6A722CB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68 (56.7)</w:t>
            </w:r>
          </w:p>
        </w:tc>
        <w:tc>
          <w:tcPr>
            <w:tcW w:w="843" w:type="dxa"/>
            <w:noWrap/>
            <w:hideMark/>
          </w:tcPr>
          <w:p w14:paraId="392A0EC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1D856E7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109D203F" w14:textId="77777777" w:rsidTr="00212183">
        <w:trPr>
          <w:trHeight w:val="20"/>
        </w:trPr>
        <w:tc>
          <w:tcPr>
            <w:tcW w:w="1843" w:type="dxa"/>
            <w:vMerge w:val="restart"/>
            <w:noWrap/>
            <w:hideMark/>
          </w:tcPr>
          <w:p w14:paraId="1C4F0BB3"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Current cigarette smoking status</w:t>
            </w:r>
          </w:p>
        </w:tc>
        <w:tc>
          <w:tcPr>
            <w:tcW w:w="2410" w:type="dxa"/>
            <w:noWrap/>
            <w:vAlign w:val="center"/>
            <w:hideMark/>
          </w:tcPr>
          <w:p w14:paraId="1F80A3C7"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Non-smoker</w:t>
            </w:r>
          </w:p>
        </w:tc>
        <w:tc>
          <w:tcPr>
            <w:tcW w:w="1275" w:type="dxa"/>
            <w:noWrap/>
            <w:hideMark/>
          </w:tcPr>
          <w:p w14:paraId="2517C34A" w14:textId="77777777" w:rsidR="00EC74E8" w:rsidRPr="006B3495" w:rsidRDefault="00EC74E8" w:rsidP="00665AD7">
            <w:pPr>
              <w:spacing w:after="0" w:line="480" w:lineRule="auto"/>
              <w:jc w:val="right"/>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123 (51.3)</w:t>
            </w:r>
          </w:p>
        </w:tc>
        <w:tc>
          <w:tcPr>
            <w:tcW w:w="1276" w:type="dxa"/>
            <w:noWrap/>
            <w:hideMark/>
          </w:tcPr>
          <w:p w14:paraId="1BABB7FD" w14:textId="77777777" w:rsidR="00EC74E8" w:rsidRPr="006B3495" w:rsidRDefault="00EC74E8" w:rsidP="00665AD7">
            <w:pPr>
              <w:spacing w:after="0" w:line="480" w:lineRule="auto"/>
              <w:jc w:val="right"/>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45 (37.5)</w:t>
            </w:r>
          </w:p>
        </w:tc>
        <w:tc>
          <w:tcPr>
            <w:tcW w:w="1134" w:type="dxa"/>
            <w:noWrap/>
            <w:hideMark/>
          </w:tcPr>
          <w:p w14:paraId="25BE310A" w14:textId="77777777" w:rsidR="00EC74E8" w:rsidRPr="006B3495" w:rsidRDefault="00EC74E8" w:rsidP="00665AD7">
            <w:pPr>
              <w:spacing w:after="0" w:line="480" w:lineRule="auto"/>
              <w:jc w:val="right"/>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78 (65.0)</w:t>
            </w:r>
          </w:p>
        </w:tc>
        <w:tc>
          <w:tcPr>
            <w:tcW w:w="843" w:type="dxa"/>
            <w:noWrap/>
            <w:hideMark/>
          </w:tcPr>
          <w:p w14:paraId="0C6C1518" w14:textId="77777777" w:rsidR="00EC74E8" w:rsidRPr="006B3495" w:rsidRDefault="00EC74E8" w:rsidP="00665AD7">
            <w:pPr>
              <w:spacing w:after="0" w:line="480" w:lineRule="auto"/>
              <w:jc w:val="right"/>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18.161</w:t>
            </w:r>
          </w:p>
        </w:tc>
        <w:tc>
          <w:tcPr>
            <w:tcW w:w="766" w:type="dxa"/>
            <w:noWrap/>
            <w:hideMark/>
          </w:tcPr>
          <w:p w14:paraId="2971DFA2" w14:textId="77777777" w:rsidR="00EC74E8" w:rsidRPr="006B3495" w:rsidRDefault="00EC74E8" w:rsidP="00665AD7">
            <w:pPr>
              <w:spacing w:after="0" w:line="480" w:lineRule="auto"/>
              <w:jc w:val="right"/>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0.000*</w:t>
            </w:r>
          </w:p>
        </w:tc>
      </w:tr>
      <w:tr w:rsidR="004A617A" w:rsidRPr="006B3495" w14:paraId="36398706" w14:textId="77777777" w:rsidTr="00212183">
        <w:trPr>
          <w:trHeight w:val="20"/>
        </w:trPr>
        <w:tc>
          <w:tcPr>
            <w:tcW w:w="1843" w:type="dxa"/>
            <w:vMerge/>
            <w:noWrap/>
            <w:hideMark/>
          </w:tcPr>
          <w:p w14:paraId="76EAD4EB"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vAlign w:val="center"/>
            <w:hideMark/>
          </w:tcPr>
          <w:p w14:paraId="29F738E1"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 xml:space="preserve">Smoker </w:t>
            </w:r>
          </w:p>
        </w:tc>
        <w:tc>
          <w:tcPr>
            <w:tcW w:w="1275" w:type="dxa"/>
            <w:noWrap/>
            <w:hideMark/>
          </w:tcPr>
          <w:p w14:paraId="0C4DCCCF" w14:textId="25A6CCA6" w:rsidR="00EC74E8" w:rsidRPr="006B3495" w:rsidRDefault="00EC74E8" w:rsidP="00665AD7">
            <w:pPr>
              <w:spacing w:after="0" w:line="480" w:lineRule="auto"/>
              <w:jc w:val="right"/>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117 (48.</w:t>
            </w:r>
            <w:r w:rsidR="009C5862">
              <w:rPr>
                <w:rFonts w:asciiTheme="majorBidi" w:eastAsia="Times New Roman" w:hAnsiTheme="majorBidi" w:cstheme="majorBidi"/>
                <w:sz w:val="20"/>
                <w:szCs w:val="20"/>
                <w:lang w:eastAsia="en-GB"/>
              </w:rPr>
              <w:t>7</w:t>
            </w:r>
            <w:r w:rsidRPr="006B3495">
              <w:rPr>
                <w:rFonts w:asciiTheme="majorBidi" w:eastAsia="Times New Roman" w:hAnsiTheme="majorBidi" w:cstheme="majorBidi"/>
                <w:sz w:val="20"/>
                <w:szCs w:val="20"/>
                <w:lang w:eastAsia="en-GB"/>
              </w:rPr>
              <w:t>)</w:t>
            </w:r>
          </w:p>
        </w:tc>
        <w:tc>
          <w:tcPr>
            <w:tcW w:w="1276" w:type="dxa"/>
            <w:noWrap/>
            <w:hideMark/>
          </w:tcPr>
          <w:p w14:paraId="1FB6D61A" w14:textId="77777777" w:rsidR="00EC74E8" w:rsidRPr="006B3495" w:rsidRDefault="00EC74E8" w:rsidP="00665AD7">
            <w:pPr>
              <w:spacing w:after="0" w:line="480" w:lineRule="auto"/>
              <w:jc w:val="right"/>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75 (62.5)</w:t>
            </w:r>
          </w:p>
        </w:tc>
        <w:tc>
          <w:tcPr>
            <w:tcW w:w="1134" w:type="dxa"/>
            <w:noWrap/>
            <w:hideMark/>
          </w:tcPr>
          <w:p w14:paraId="44406010" w14:textId="77777777" w:rsidR="00EC74E8" w:rsidRPr="006B3495" w:rsidRDefault="00EC74E8" w:rsidP="00665AD7">
            <w:pPr>
              <w:spacing w:after="0" w:line="480" w:lineRule="auto"/>
              <w:jc w:val="right"/>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42 (35.0)</w:t>
            </w:r>
          </w:p>
        </w:tc>
        <w:tc>
          <w:tcPr>
            <w:tcW w:w="843" w:type="dxa"/>
            <w:noWrap/>
            <w:hideMark/>
          </w:tcPr>
          <w:p w14:paraId="74B21DA0" w14:textId="77777777" w:rsidR="00EC74E8" w:rsidRPr="006B3495" w:rsidRDefault="00EC74E8" w:rsidP="00665AD7">
            <w:pPr>
              <w:spacing w:after="0" w:line="480" w:lineRule="auto"/>
              <w:jc w:val="right"/>
              <w:rPr>
                <w:rFonts w:asciiTheme="majorBidi" w:eastAsia="Times New Roman" w:hAnsiTheme="majorBidi" w:cstheme="majorBidi"/>
                <w:sz w:val="20"/>
                <w:szCs w:val="20"/>
                <w:lang w:eastAsia="en-GB"/>
              </w:rPr>
            </w:pPr>
          </w:p>
        </w:tc>
        <w:tc>
          <w:tcPr>
            <w:tcW w:w="766" w:type="dxa"/>
            <w:noWrap/>
            <w:hideMark/>
          </w:tcPr>
          <w:p w14:paraId="70277ED4" w14:textId="77777777" w:rsidR="00EC74E8" w:rsidRPr="006B3495" w:rsidRDefault="00EC74E8" w:rsidP="00665AD7">
            <w:pPr>
              <w:spacing w:after="0" w:line="480" w:lineRule="auto"/>
              <w:jc w:val="right"/>
              <w:rPr>
                <w:rFonts w:asciiTheme="majorBidi" w:eastAsia="Times New Roman" w:hAnsiTheme="majorBidi" w:cstheme="majorBidi"/>
                <w:sz w:val="20"/>
                <w:szCs w:val="20"/>
                <w:lang w:eastAsia="en-GB"/>
              </w:rPr>
            </w:pPr>
          </w:p>
        </w:tc>
      </w:tr>
      <w:tr w:rsidR="004A617A" w:rsidRPr="006B3495" w14:paraId="3AE7FAE3" w14:textId="77777777" w:rsidTr="00212183">
        <w:trPr>
          <w:trHeight w:val="20"/>
        </w:trPr>
        <w:tc>
          <w:tcPr>
            <w:tcW w:w="1843" w:type="dxa"/>
            <w:vMerge w:val="restart"/>
            <w:noWrap/>
            <w:hideMark/>
          </w:tcPr>
          <w:p w14:paraId="57FDBC55"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Did you smoke hookah?</w:t>
            </w:r>
          </w:p>
        </w:tc>
        <w:tc>
          <w:tcPr>
            <w:tcW w:w="2410" w:type="dxa"/>
            <w:noWrap/>
            <w:vAlign w:val="center"/>
            <w:hideMark/>
          </w:tcPr>
          <w:p w14:paraId="3C2EE9D6"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Yes</w:t>
            </w:r>
          </w:p>
        </w:tc>
        <w:tc>
          <w:tcPr>
            <w:tcW w:w="1275" w:type="dxa"/>
            <w:noWrap/>
            <w:hideMark/>
          </w:tcPr>
          <w:p w14:paraId="6ECD923A"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 (0.4)</w:t>
            </w:r>
          </w:p>
        </w:tc>
        <w:tc>
          <w:tcPr>
            <w:tcW w:w="1276" w:type="dxa"/>
            <w:noWrap/>
            <w:hideMark/>
          </w:tcPr>
          <w:p w14:paraId="5F6FB2F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 (0)</w:t>
            </w:r>
          </w:p>
        </w:tc>
        <w:tc>
          <w:tcPr>
            <w:tcW w:w="1134" w:type="dxa"/>
            <w:noWrap/>
            <w:hideMark/>
          </w:tcPr>
          <w:p w14:paraId="5B312C7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 (0.8)</w:t>
            </w:r>
          </w:p>
        </w:tc>
        <w:tc>
          <w:tcPr>
            <w:tcW w:w="843" w:type="dxa"/>
            <w:noWrap/>
            <w:hideMark/>
          </w:tcPr>
          <w:p w14:paraId="08835AFA"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1.004</w:t>
            </w:r>
          </w:p>
        </w:tc>
        <w:tc>
          <w:tcPr>
            <w:tcW w:w="766" w:type="dxa"/>
            <w:noWrap/>
            <w:hideMark/>
          </w:tcPr>
          <w:p w14:paraId="3245CD76"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0.316</w:t>
            </w:r>
          </w:p>
        </w:tc>
      </w:tr>
      <w:tr w:rsidR="004A617A" w:rsidRPr="006B3495" w14:paraId="30058D0A" w14:textId="77777777" w:rsidTr="00212183">
        <w:trPr>
          <w:trHeight w:val="20"/>
        </w:trPr>
        <w:tc>
          <w:tcPr>
            <w:tcW w:w="1843" w:type="dxa"/>
            <w:vMerge/>
            <w:noWrap/>
            <w:hideMark/>
          </w:tcPr>
          <w:p w14:paraId="7090BA31"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vAlign w:val="center"/>
            <w:hideMark/>
          </w:tcPr>
          <w:p w14:paraId="7B43E0EF"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No</w:t>
            </w:r>
          </w:p>
        </w:tc>
        <w:tc>
          <w:tcPr>
            <w:tcW w:w="1275" w:type="dxa"/>
            <w:noWrap/>
            <w:hideMark/>
          </w:tcPr>
          <w:p w14:paraId="761929D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239 (99.6)</w:t>
            </w:r>
          </w:p>
        </w:tc>
        <w:tc>
          <w:tcPr>
            <w:tcW w:w="1276" w:type="dxa"/>
            <w:noWrap/>
            <w:hideMark/>
          </w:tcPr>
          <w:p w14:paraId="3E66B7B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120 (100)</w:t>
            </w:r>
          </w:p>
        </w:tc>
        <w:tc>
          <w:tcPr>
            <w:tcW w:w="1134" w:type="dxa"/>
            <w:noWrap/>
            <w:hideMark/>
          </w:tcPr>
          <w:p w14:paraId="05A260D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119 (99.2)</w:t>
            </w:r>
          </w:p>
        </w:tc>
        <w:tc>
          <w:tcPr>
            <w:tcW w:w="843" w:type="dxa"/>
            <w:noWrap/>
            <w:hideMark/>
          </w:tcPr>
          <w:p w14:paraId="4168DF08"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6F411D1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14859990" w14:textId="77777777" w:rsidTr="00212183">
        <w:trPr>
          <w:trHeight w:val="20"/>
        </w:trPr>
        <w:tc>
          <w:tcPr>
            <w:tcW w:w="1843" w:type="dxa"/>
            <w:vMerge w:val="restart"/>
            <w:noWrap/>
            <w:hideMark/>
          </w:tcPr>
          <w:p w14:paraId="60008D60"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Having diabetes mellitus:</w:t>
            </w:r>
          </w:p>
        </w:tc>
        <w:tc>
          <w:tcPr>
            <w:tcW w:w="2410" w:type="dxa"/>
            <w:noWrap/>
            <w:vAlign w:val="center"/>
            <w:hideMark/>
          </w:tcPr>
          <w:p w14:paraId="103C866D"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Yes</w:t>
            </w:r>
          </w:p>
        </w:tc>
        <w:tc>
          <w:tcPr>
            <w:tcW w:w="1275" w:type="dxa"/>
            <w:noWrap/>
            <w:hideMark/>
          </w:tcPr>
          <w:p w14:paraId="7CFDC24F"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114 (47.5)</w:t>
            </w:r>
          </w:p>
        </w:tc>
        <w:tc>
          <w:tcPr>
            <w:tcW w:w="1276" w:type="dxa"/>
            <w:noWrap/>
            <w:hideMark/>
          </w:tcPr>
          <w:p w14:paraId="2E14522D"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51 (42.5)</w:t>
            </w:r>
          </w:p>
        </w:tc>
        <w:tc>
          <w:tcPr>
            <w:tcW w:w="1134" w:type="dxa"/>
            <w:noWrap/>
            <w:hideMark/>
          </w:tcPr>
          <w:p w14:paraId="5CA15D6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63 (52.5)</w:t>
            </w:r>
          </w:p>
        </w:tc>
        <w:tc>
          <w:tcPr>
            <w:tcW w:w="843" w:type="dxa"/>
            <w:noWrap/>
            <w:hideMark/>
          </w:tcPr>
          <w:p w14:paraId="3588A563"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2.406</w:t>
            </w:r>
          </w:p>
        </w:tc>
        <w:tc>
          <w:tcPr>
            <w:tcW w:w="766" w:type="dxa"/>
            <w:noWrap/>
            <w:hideMark/>
          </w:tcPr>
          <w:p w14:paraId="563D9B8F"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0.120</w:t>
            </w:r>
          </w:p>
        </w:tc>
      </w:tr>
      <w:tr w:rsidR="004A617A" w:rsidRPr="006B3495" w14:paraId="7B911759" w14:textId="77777777" w:rsidTr="00212183">
        <w:trPr>
          <w:trHeight w:val="20"/>
        </w:trPr>
        <w:tc>
          <w:tcPr>
            <w:tcW w:w="1843" w:type="dxa"/>
            <w:vMerge/>
            <w:noWrap/>
            <w:hideMark/>
          </w:tcPr>
          <w:p w14:paraId="6460F045"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vAlign w:val="center"/>
            <w:hideMark/>
          </w:tcPr>
          <w:p w14:paraId="75EE616D"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No</w:t>
            </w:r>
          </w:p>
        </w:tc>
        <w:tc>
          <w:tcPr>
            <w:tcW w:w="1275" w:type="dxa"/>
            <w:noWrap/>
            <w:hideMark/>
          </w:tcPr>
          <w:p w14:paraId="551C950C"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126 (52.5)</w:t>
            </w:r>
          </w:p>
        </w:tc>
        <w:tc>
          <w:tcPr>
            <w:tcW w:w="1276" w:type="dxa"/>
            <w:noWrap/>
            <w:hideMark/>
          </w:tcPr>
          <w:p w14:paraId="448ED057"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69 (57.5)</w:t>
            </w:r>
          </w:p>
        </w:tc>
        <w:tc>
          <w:tcPr>
            <w:tcW w:w="1134" w:type="dxa"/>
            <w:noWrap/>
            <w:hideMark/>
          </w:tcPr>
          <w:p w14:paraId="35DB716C"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57 (47.5)</w:t>
            </w:r>
          </w:p>
        </w:tc>
        <w:tc>
          <w:tcPr>
            <w:tcW w:w="843" w:type="dxa"/>
            <w:noWrap/>
            <w:hideMark/>
          </w:tcPr>
          <w:p w14:paraId="3E9B119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5DFE305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40728569" w14:textId="77777777" w:rsidTr="00212183">
        <w:trPr>
          <w:trHeight w:val="20"/>
        </w:trPr>
        <w:tc>
          <w:tcPr>
            <w:tcW w:w="1843" w:type="dxa"/>
            <w:vMerge w:val="restart"/>
            <w:noWrap/>
            <w:hideMark/>
          </w:tcPr>
          <w:p w14:paraId="0839B5CF"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Having hypertension:</w:t>
            </w:r>
          </w:p>
        </w:tc>
        <w:tc>
          <w:tcPr>
            <w:tcW w:w="2410" w:type="dxa"/>
            <w:noWrap/>
            <w:vAlign w:val="center"/>
            <w:hideMark/>
          </w:tcPr>
          <w:p w14:paraId="29007F12"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Yes</w:t>
            </w:r>
          </w:p>
        </w:tc>
        <w:tc>
          <w:tcPr>
            <w:tcW w:w="1275" w:type="dxa"/>
            <w:noWrap/>
            <w:hideMark/>
          </w:tcPr>
          <w:p w14:paraId="1317AA36"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121 (50.4)</w:t>
            </w:r>
          </w:p>
        </w:tc>
        <w:tc>
          <w:tcPr>
            <w:tcW w:w="1276" w:type="dxa"/>
            <w:noWrap/>
            <w:hideMark/>
          </w:tcPr>
          <w:p w14:paraId="0DE996D6"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42 (35)</w:t>
            </w:r>
          </w:p>
        </w:tc>
        <w:tc>
          <w:tcPr>
            <w:tcW w:w="1134" w:type="dxa"/>
            <w:noWrap/>
            <w:hideMark/>
          </w:tcPr>
          <w:p w14:paraId="554C529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79 (65.8)</w:t>
            </w:r>
          </w:p>
        </w:tc>
        <w:tc>
          <w:tcPr>
            <w:tcW w:w="843" w:type="dxa"/>
            <w:noWrap/>
            <w:hideMark/>
          </w:tcPr>
          <w:p w14:paraId="6C08D280"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22.818</w:t>
            </w:r>
          </w:p>
        </w:tc>
        <w:tc>
          <w:tcPr>
            <w:tcW w:w="766" w:type="dxa"/>
            <w:noWrap/>
            <w:hideMark/>
          </w:tcPr>
          <w:p w14:paraId="2980776E"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0.000*</w:t>
            </w:r>
          </w:p>
        </w:tc>
      </w:tr>
      <w:tr w:rsidR="004A617A" w:rsidRPr="006B3495" w14:paraId="53615C14" w14:textId="77777777" w:rsidTr="00212183">
        <w:trPr>
          <w:trHeight w:val="20"/>
        </w:trPr>
        <w:tc>
          <w:tcPr>
            <w:tcW w:w="1843" w:type="dxa"/>
            <w:vMerge/>
            <w:noWrap/>
            <w:hideMark/>
          </w:tcPr>
          <w:p w14:paraId="0474EDCE"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vAlign w:val="center"/>
            <w:hideMark/>
          </w:tcPr>
          <w:p w14:paraId="14D3B774"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No</w:t>
            </w:r>
          </w:p>
        </w:tc>
        <w:tc>
          <w:tcPr>
            <w:tcW w:w="1275" w:type="dxa"/>
            <w:noWrap/>
            <w:hideMark/>
          </w:tcPr>
          <w:p w14:paraId="193198C9"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119 (49.6)</w:t>
            </w:r>
          </w:p>
        </w:tc>
        <w:tc>
          <w:tcPr>
            <w:tcW w:w="1276" w:type="dxa"/>
            <w:noWrap/>
            <w:hideMark/>
          </w:tcPr>
          <w:p w14:paraId="1EBF20FA"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78 (65)</w:t>
            </w:r>
          </w:p>
        </w:tc>
        <w:tc>
          <w:tcPr>
            <w:tcW w:w="1134" w:type="dxa"/>
            <w:noWrap/>
            <w:hideMark/>
          </w:tcPr>
          <w:p w14:paraId="2560D503"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41 (34.2)</w:t>
            </w:r>
          </w:p>
        </w:tc>
        <w:tc>
          <w:tcPr>
            <w:tcW w:w="843" w:type="dxa"/>
            <w:noWrap/>
            <w:hideMark/>
          </w:tcPr>
          <w:p w14:paraId="0ED8A4CA"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2836A4EA"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597320B4" w14:textId="77777777" w:rsidTr="00212183">
        <w:trPr>
          <w:trHeight w:val="20"/>
        </w:trPr>
        <w:tc>
          <w:tcPr>
            <w:tcW w:w="1843" w:type="dxa"/>
            <w:vMerge w:val="restart"/>
            <w:noWrap/>
            <w:hideMark/>
          </w:tcPr>
          <w:p w14:paraId="59165883"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Having hyperlipidemia:</w:t>
            </w:r>
          </w:p>
        </w:tc>
        <w:tc>
          <w:tcPr>
            <w:tcW w:w="2410" w:type="dxa"/>
            <w:noWrap/>
            <w:vAlign w:val="center"/>
            <w:hideMark/>
          </w:tcPr>
          <w:p w14:paraId="494E6CFC"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Yes</w:t>
            </w:r>
          </w:p>
        </w:tc>
        <w:tc>
          <w:tcPr>
            <w:tcW w:w="1275" w:type="dxa"/>
            <w:noWrap/>
            <w:hideMark/>
          </w:tcPr>
          <w:p w14:paraId="60B7DFC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82 (34.2)</w:t>
            </w:r>
          </w:p>
        </w:tc>
        <w:tc>
          <w:tcPr>
            <w:tcW w:w="1276" w:type="dxa"/>
            <w:noWrap/>
            <w:hideMark/>
          </w:tcPr>
          <w:p w14:paraId="090FD1A6"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35 (29.2)</w:t>
            </w:r>
          </w:p>
        </w:tc>
        <w:tc>
          <w:tcPr>
            <w:tcW w:w="1134" w:type="dxa"/>
            <w:noWrap/>
            <w:hideMark/>
          </w:tcPr>
          <w:p w14:paraId="3EEA7B50"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47 (39.2)</w:t>
            </w:r>
          </w:p>
        </w:tc>
        <w:tc>
          <w:tcPr>
            <w:tcW w:w="843" w:type="dxa"/>
            <w:noWrap/>
            <w:hideMark/>
          </w:tcPr>
          <w:p w14:paraId="448973C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2.667</w:t>
            </w:r>
          </w:p>
        </w:tc>
        <w:tc>
          <w:tcPr>
            <w:tcW w:w="766" w:type="dxa"/>
            <w:noWrap/>
            <w:hideMark/>
          </w:tcPr>
          <w:p w14:paraId="682B1FE2"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0.102</w:t>
            </w:r>
          </w:p>
        </w:tc>
      </w:tr>
      <w:tr w:rsidR="004A617A" w:rsidRPr="006B3495" w14:paraId="16C35819" w14:textId="77777777" w:rsidTr="00212183">
        <w:trPr>
          <w:trHeight w:val="20"/>
        </w:trPr>
        <w:tc>
          <w:tcPr>
            <w:tcW w:w="1843" w:type="dxa"/>
            <w:vMerge/>
            <w:noWrap/>
            <w:hideMark/>
          </w:tcPr>
          <w:p w14:paraId="30BA800B"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vAlign w:val="center"/>
            <w:hideMark/>
          </w:tcPr>
          <w:p w14:paraId="7DCEF9FD"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No</w:t>
            </w:r>
          </w:p>
        </w:tc>
        <w:tc>
          <w:tcPr>
            <w:tcW w:w="1275" w:type="dxa"/>
            <w:noWrap/>
            <w:hideMark/>
          </w:tcPr>
          <w:p w14:paraId="0859508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158 (65.8)</w:t>
            </w:r>
          </w:p>
        </w:tc>
        <w:tc>
          <w:tcPr>
            <w:tcW w:w="1276" w:type="dxa"/>
            <w:noWrap/>
            <w:hideMark/>
          </w:tcPr>
          <w:p w14:paraId="6572266C"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85 (70.8)</w:t>
            </w:r>
          </w:p>
        </w:tc>
        <w:tc>
          <w:tcPr>
            <w:tcW w:w="1134" w:type="dxa"/>
            <w:noWrap/>
            <w:hideMark/>
          </w:tcPr>
          <w:p w14:paraId="6738FAF6"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73 (60.8)</w:t>
            </w:r>
          </w:p>
        </w:tc>
        <w:tc>
          <w:tcPr>
            <w:tcW w:w="843" w:type="dxa"/>
            <w:noWrap/>
            <w:hideMark/>
          </w:tcPr>
          <w:p w14:paraId="1000A7A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042B936C"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7502E8F0" w14:textId="77777777" w:rsidTr="00212183">
        <w:trPr>
          <w:trHeight w:val="20"/>
        </w:trPr>
        <w:tc>
          <w:tcPr>
            <w:tcW w:w="1843" w:type="dxa"/>
            <w:vMerge w:val="restart"/>
            <w:noWrap/>
            <w:hideMark/>
          </w:tcPr>
          <w:p w14:paraId="5F1783F5"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Having a family history of coronary artery disease (CAD):</w:t>
            </w:r>
          </w:p>
        </w:tc>
        <w:tc>
          <w:tcPr>
            <w:tcW w:w="2410" w:type="dxa"/>
            <w:noWrap/>
            <w:vAlign w:val="center"/>
            <w:hideMark/>
          </w:tcPr>
          <w:p w14:paraId="242E35C8"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Yes</w:t>
            </w:r>
          </w:p>
        </w:tc>
        <w:tc>
          <w:tcPr>
            <w:tcW w:w="1275" w:type="dxa"/>
            <w:noWrap/>
            <w:hideMark/>
          </w:tcPr>
          <w:p w14:paraId="1BD20317"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38 (15.8)</w:t>
            </w:r>
          </w:p>
        </w:tc>
        <w:tc>
          <w:tcPr>
            <w:tcW w:w="1276" w:type="dxa"/>
            <w:noWrap/>
            <w:hideMark/>
          </w:tcPr>
          <w:p w14:paraId="62CD3D2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25 (20.8)</w:t>
            </w:r>
          </w:p>
        </w:tc>
        <w:tc>
          <w:tcPr>
            <w:tcW w:w="1134" w:type="dxa"/>
            <w:noWrap/>
            <w:hideMark/>
          </w:tcPr>
          <w:p w14:paraId="76AF0888"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13 (10.8)</w:t>
            </w:r>
          </w:p>
        </w:tc>
        <w:tc>
          <w:tcPr>
            <w:tcW w:w="843" w:type="dxa"/>
            <w:noWrap/>
            <w:hideMark/>
          </w:tcPr>
          <w:p w14:paraId="33E738AD"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4.502</w:t>
            </w:r>
          </w:p>
        </w:tc>
        <w:tc>
          <w:tcPr>
            <w:tcW w:w="766" w:type="dxa"/>
            <w:noWrap/>
            <w:hideMark/>
          </w:tcPr>
          <w:p w14:paraId="487614A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0.034*</w:t>
            </w:r>
          </w:p>
        </w:tc>
      </w:tr>
      <w:tr w:rsidR="004A617A" w:rsidRPr="006B3495" w14:paraId="6D9B976F" w14:textId="77777777" w:rsidTr="00212183">
        <w:trPr>
          <w:trHeight w:val="20"/>
        </w:trPr>
        <w:tc>
          <w:tcPr>
            <w:tcW w:w="1843" w:type="dxa"/>
            <w:vMerge/>
            <w:noWrap/>
            <w:hideMark/>
          </w:tcPr>
          <w:p w14:paraId="0BAF27B7"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vAlign w:val="center"/>
            <w:hideMark/>
          </w:tcPr>
          <w:p w14:paraId="599359F1"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No</w:t>
            </w:r>
          </w:p>
        </w:tc>
        <w:tc>
          <w:tcPr>
            <w:tcW w:w="1275" w:type="dxa"/>
            <w:noWrap/>
            <w:hideMark/>
          </w:tcPr>
          <w:p w14:paraId="04EE50D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202 (84.2)</w:t>
            </w:r>
          </w:p>
        </w:tc>
        <w:tc>
          <w:tcPr>
            <w:tcW w:w="1276" w:type="dxa"/>
            <w:noWrap/>
            <w:hideMark/>
          </w:tcPr>
          <w:p w14:paraId="459F025F"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95 (79.2)</w:t>
            </w:r>
          </w:p>
        </w:tc>
        <w:tc>
          <w:tcPr>
            <w:tcW w:w="1134" w:type="dxa"/>
            <w:noWrap/>
            <w:hideMark/>
          </w:tcPr>
          <w:p w14:paraId="002AC2F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107 (89.2)</w:t>
            </w:r>
          </w:p>
        </w:tc>
        <w:tc>
          <w:tcPr>
            <w:tcW w:w="843" w:type="dxa"/>
            <w:noWrap/>
            <w:hideMark/>
          </w:tcPr>
          <w:p w14:paraId="0385558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2D2E8B1D"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1ECC7617" w14:textId="77777777" w:rsidTr="00212183">
        <w:trPr>
          <w:trHeight w:val="20"/>
        </w:trPr>
        <w:tc>
          <w:tcPr>
            <w:tcW w:w="1843" w:type="dxa"/>
            <w:vMerge w:val="restart"/>
            <w:noWrap/>
            <w:hideMark/>
          </w:tcPr>
          <w:p w14:paraId="050D6451"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Having previous Coronary Artery Bypass Grafting (CABG):</w:t>
            </w:r>
          </w:p>
        </w:tc>
        <w:tc>
          <w:tcPr>
            <w:tcW w:w="2410" w:type="dxa"/>
            <w:noWrap/>
            <w:vAlign w:val="center"/>
            <w:hideMark/>
          </w:tcPr>
          <w:p w14:paraId="6DCE3158"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Yes</w:t>
            </w:r>
          </w:p>
        </w:tc>
        <w:tc>
          <w:tcPr>
            <w:tcW w:w="1275" w:type="dxa"/>
            <w:noWrap/>
            <w:hideMark/>
          </w:tcPr>
          <w:p w14:paraId="1A47E678"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29 (12.1)</w:t>
            </w:r>
          </w:p>
        </w:tc>
        <w:tc>
          <w:tcPr>
            <w:tcW w:w="1276" w:type="dxa"/>
            <w:noWrap/>
            <w:hideMark/>
          </w:tcPr>
          <w:p w14:paraId="536159D7"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17 (14.2)</w:t>
            </w:r>
          </w:p>
        </w:tc>
        <w:tc>
          <w:tcPr>
            <w:tcW w:w="1134" w:type="dxa"/>
            <w:noWrap/>
            <w:hideMark/>
          </w:tcPr>
          <w:p w14:paraId="58C07B8C"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12 (10)</w:t>
            </w:r>
          </w:p>
        </w:tc>
        <w:tc>
          <w:tcPr>
            <w:tcW w:w="843" w:type="dxa"/>
            <w:noWrap/>
            <w:hideMark/>
          </w:tcPr>
          <w:p w14:paraId="6B50A00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0.981</w:t>
            </w:r>
          </w:p>
        </w:tc>
        <w:tc>
          <w:tcPr>
            <w:tcW w:w="766" w:type="dxa"/>
            <w:noWrap/>
            <w:hideMark/>
          </w:tcPr>
          <w:p w14:paraId="0F17CAD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0.322</w:t>
            </w:r>
          </w:p>
        </w:tc>
      </w:tr>
      <w:tr w:rsidR="004A617A" w:rsidRPr="006B3495" w14:paraId="56C5A493" w14:textId="77777777" w:rsidTr="00212183">
        <w:trPr>
          <w:trHeight w:val="20"/>
        </w:trPr>
        <w:tc>
          <w:tcPr>
            <w:tcW w:w="1843" w:type="dxa"/>
            <w:vMerge/>
            <w:noWrap/>
            <w:hideMark/>
          </w:tcPr>
          <w:p w14:paraId="24DB12BE"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vAlign w:val="center"/>
            <w:hideMark/>
          </w:tcPr>
          <w:p w14:paraId="036ADA52"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No</w:t>
            </w:r>
          </w:p>
        </w:tc>
        <w:tc>
          <w:tcPr>
            <w:tcW w:w="1275" w:type="dxa"/>
            <w:noWrap/>
            <w:hideMark/>
          </w:tcPr>
          <w:p w14:paraId="3546205B"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211 (87.9)</w:t>
            </w:r>
          </w:p>
        </w:tc>
        <w:tc>
          <w:tcPr>
            <w:tcW w:w="1276" w:type="dxa"/>
            <w:noWrap/>
            <w:hideMark/>
          </w:tcPr>
          <w:p w14:paraId="5E540F1C"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103 (85.8)</w:t>
            </w:r>
          </w:p>
        </w:tc>
        <w:tc>
          <w:tcPr>
            <w:tcW w:w="1134" w:type="dxa"/>
            <w:noWrap/>
            <w:hideMark/>
          </w:tcPr>
          <w:p w14:paraId="59D48D0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108 (90)</w:t>
            </w:r>
          </w:p>
        </w:tc>
        <w:tc>
          <w:tcPr>
            <w:tcW w:w="843" w:type="dxa"/>
            <w:noWrap/>
            <w:hideMark/>
          </w:tcPr>
          <w:p w14:paraId="4A32EF9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1F1DD6C9"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190960C4" w14:textId="77777777" w:rsidTr="00212183">
        <w:trPr>
          <w:trHeight w:val="20"/>
        </w:trPr>
        <w:tc>
          <w:tcPr>
            <w:tcW w:w="1843" w:type="dxa"/>
            <w:vMerge w:val="restart"/>
            <w:noWrap/>
            <w:hideMark/>
          </w:tcPr>
          <w:p w14:paraId="77478725"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Having previous Percutaneous Coronary Intervention (PCI):</w:t>
            </w:r>
          </w:p>
        </w:tc>
        <w:tc>
          <w:tcPr>
            <w:tcW w:w="2410" w:type="dxa"/>
            <w:noWrap/>
            <w:hideMark/>
          </w:tcPr>
          <w:p w14:paraId="0E189E4A"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Yes</w:t>
            </w:r>
          </w:p>
        </w:tc>
        <w:tc>
          <w:tcPr>
            <w:tcW w:w="1275" w:type="dxa"/>
            <w:noWrap/>
            <w:hideMark/>
          </w:tcPr>
          <w:p w14:paraId="617D3C7F"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74 (30.8)</w:t>
            </w:r>
          </w:p>
        </w:tc>
        <w:tc>
          <w:tcPr>
            <w:tcW w:w="1276" w:type="dxa"/>
            <w:noWrap/>
            <w:hideMark/>
          </w:tcPr>
          <w:p w14:paraId="1C86B62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31 (25.8)</w:t>
            </w:r>
          </w:p>
        </w:tc>
        <w:tc>
          <w:tcPr>
            <w:tcW w:w="1134" w:type="dxa"/>
            <w:noWrap/>
            <w:hideMark/>
          </w:tcPr>
          <w:p w14:paraId="7706736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43 (35.8)</w:t>
            </w:r>
          </w:p>
        </w:tc>
        <w:tc>
          <w:tcPr>
            <w:tcW w:w="843" w:type="dxa"/>
            <w:noWrap/>
            <w:hideMark/>
          </w:tcPr>
          <w:p w14:paraId="4D85CE3F"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2.813</w:t>
            </w:r>
          </w:p>
        </w:tc>
        <w:tc>
          <w:tcPr>
            <w:tcW w:w="766" w:type="dxa"/>
            <w:noWrap/>
            <w:hideMark/>
          </w:tcPr>
          <w:p w14:paraId="214617BD"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0.093</w:t>
            </w:r>
          </w:p>
        </w:tc>
      </w:tr>
      <w:tr w:rsidR="004A617A" w:rsidRPr="006B3495" w14:paraId="25E49DB0" w14:textId="77777777" w:rsidTr="00212183">
        <w:trPr>
          <w:trHeight w:val="20"/>
        </w:trPr>
        <w:tc>
          <w:tcPr>
            <w:tcW w:w="1843" w:type="dxa"/>
            <w:vMerge/>
            <w:noWrap/>
            <w:hideMark/>
          </w:tcPr>
          <w:p w14:paraId="17D1EE09"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hideMark/>
          </w:tcPr>
          <w:p w14:paraId="6BA596E6"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No</w:t>
            </w:r>
          </w:p>
        </w:tc>
        <w:tc>
          <w:tcPr>
            <w:tcW w:w="1275" w:type="dxa"/>
            <w:noWrap/>
            <w:hideMark/>
          </w:tcPr>
          <w:p w14:paraId="4A9AE84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166 (69.2)</w:t>
            </w:r>
          </w:p>
        </w:tc>
        <w:tc>
          <w:tcPr>
            <w:tcW w:w="1276" w:type="dxa"/>
            <w:noWrap/>
            <w:hideMark/>
          </w:tcPr>
          <w:p w14:paraId="33CD7C8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89 (74.2)</w:t>
            </w:r>
          </w:p>
        </w:tc>
        <w:tc>
          <w:tcPr>
            <w:tcW w:w="1134" w:type="dxa"/>
            <w:noWrap/>
            <w:hideMark/>
          </w:tcPr>
          <w:p w14:paraId="6D2E27BE"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77 (64.2)</w:t>
            </w:r>
          </w:p>
        </w:tc>
        <w:tc>
          <w:tcPr>
            <w:tcW w:w="843" w:type="dxa"/>
            <w:noWrap/>
            <w:hideMark/>
          </w:tcPr>
          <w:p w14:paraId="1EB79DC9"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052CE1F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3E8571F1" w14:textId="77777777" w:rsidTr="00212183">
        <w:trPr>
          <w:trHeight w:val="20"/>
        </w:trPr>
        <w:tc>
          <w:tcPr>
            <w:tcW w:w="1843" w:type="dxa"/>
            <w:vMerge w:val="restart"/>
            <w:noWrap/>
            <w:hideMark/>
          </w:tcPr>
          <w:p w14:paraId="4E82392F"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Glycoprotein Inhibitors (GPI) use:</w:t>
            </w:r>
          </w:p>
        </w:tc>
        <w:tc>
          <w:tcPr>
            <w:tcW w:w="2410" w:type="dxa"/>
            <w:noWrap/>
            <w:hideMark/>
          </w:tcPr>
          <w:p w14:paraId="74D8AE84"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Yes</w:t>
            </w:r>
          </w:p>
        </w:tc>
        <w:tc>
          <w:tcPr>
            <w:tcW w:w="1275" w:type="dxa"/>
            <w:noWrap/>
            <w:hideMark/>
          </w:tcPr>
          <w:p w14:paraId="37ABF41E"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66 (27.5)</w:t>
            </w:r>
          </w:p>
        </w:tc>
        <w:tc>
          <w:tcPr>
            <w:tcW w:w="1276" w:type="dxa"/>
            <w:noWrap/>
            <w:hideMark/>
          </w:tcPr>
          <w:p w14:paraId="5AC0E79B"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33 (27.5)</w:t>
            </w:r>
          </w:p>
        </w:tc>
        <w:tc>
          <w:tcPr>
            <w:tcW w:w="1134" w:type="dxa"/>
            <w:noWrap/>
            <w:hideMark/>
          </w:tcPr>
          <w:p w14:paraId="358214CE"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33 (27.5)</w:t>
            </w:r>
          </w:p>
        </w:tc>
        <w:tc>
          <w:tcPr>
            <w:tcW w:w="843" w:type="dxa"/>
            <w:noWrap/>
            <w:hideMark/>
          </w:tcPr>
          <w:p w14:paraId="5A64E11A"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0.000</w:t>
            </w:r>
          </w:p>
        </w:tc>
        <w:tc>
          <w:tcPr>
            <w:tcW w:w="766" w:type="dxa"/>
            <w:noWrap/>
            <w:hideMark/>
          </w:tcPr>
          <w:p w14:paraId="6B1C7A1C"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1.00</w:t>
            </w:r>
          </w:p>
        </w:tc>
      </w:tr>
      <w:tr w:rsidR="004A617A" w:rsidRPr="006B3495" w14:paraId="6EDEDF74" w14:textId="77777777" w:rsidTr="00212183">
        <w:trPr>
          <w:trHeight w:val="20"/>
        </w:trPr>
        <w:tc>
          <w:tcPr>
            <w:tcW w:w="1843" w:type="dxa"/>
            <w:vMerge/>
            <w:noWrap/>
            <w:hideMark/>
          </w:tcPr>
          <w:p w14:paraId="20710870"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hideMark/>
          </w:tcPr>
          <w:p w14:paraId="2B5D7B05"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No</w:t>
            </w:r>
          </w:p>
        </w:tc>
        <w:tc>
          <w:tcPr>
            <w:tcW w:w="1275" w:type="dxa"/>
            <w:noWrap/>
            <w:hideMark/>
          </w:tcPr>
          <w:p w14:paraId="3C45297C"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174 (72.5)</w:t>
            </w:r>
          </w:p>
        </w:tc>
        <w:tc>
          <w:tcPr>
            <w:tcW w:w="1276" w:type="dxa"/>
            <w:noWrap/>
            <w:hideMark/>
          </w:tcPr>
          <w:p w14:paraId="44555C8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87 (72.5)</w:t>
            </w:r>
          </w:p>
        </w:tc>
        <w:tc>
          <w:tcPr>
            <w:tcW w:w="1134" w:type="dxa"/>
            <w:noWrap/>
            <w:hideMark/>
          </w:tcPr>
          <w:p w14:paraId="19CA8E4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87 (72.5)</w:t>
            </w:r>
          </w:p>
        </w:tc>
        <w:tc>
          <w:tcPr>
            <w:tcW w:w="843" w:type="dxa"/>
            <w:noWrap/>
            <w:hideMark/>
          </w:tcPr>
          <w:p w14:paraId="0AC09289"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18C23E5B"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752AEB20" w14:textId="77777777" w:rsidTr="00212183">
        <w:trPr>
          <w:trHeight w:val="20"/>
        </w:trPr>
        <w:tc>
          <w:tcPr>
            <w:tcW w:w="1843" w:type="dxa"/>
            <w:vMerge w:val="restart"/>
            <w:noWrap/>
            <w:hideMark/>
          </w:tcPr>
          <w:p w14:paraId="772F6065"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Intra-Aortic Balloon Pump (IABP) use:</w:t>
            </w:r>
          </w:p>
        </w:tc>
        <w:tc>
          <w:tcPr>
            <w:tcW w:w="2410" w:type="dxa"/>
            <w:noWrap/>
            <w:hideMark/>
          </w:tcPr>
          <w:p w14:paraId="6F91FB40"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Yes</w:t>
            </w:r>
          </w:p>
        </w:tc>
        <w:tc>
          <w:tcPr>
            <w:tcW w:w="1275" w:type="dxa"/>
            <w:noWrap/>
            <w:hideMark/>
          </w:tcPr>
          <w:p w14:paraId="4E60AA2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45 (18.8)</w:t>
            </w:r>
          </w:p>
        </w:tc>
        <w:tc>
          <w:tcPr>
            <w:tcW w:w="1276" w:type="dxa"/>
            <w:noWrap/>
            <w:hideMark/>
          </w:tcPr>
          <w:p w14:paraId="6D6B92C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25 (20.8)</w:t>
            </w:r>
          </w:p>
        </w:tc>
        <w:tc>
          <w:tcPr>
            <w:tcW w:w="1134" w:type="dxa"/>
            <w:noWrap/>
            <w:hideMark/>
          </w:tcPr>
          <w:p w14:paraId="52EA8727"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20 (16.7)</w:t>
            </w:r>
          </w:p>
        </w:tc>
        <w:tc>
          <w:tcPr>
            <w:tcW w:w="843" w:type="dxa"/>
            <w:noWrap/>
            <w:hideMark/>
          </w:tcPr>
          <w:p w14:paraId="0A4FB91D"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0.684</w:t>
            </w:r>
          </w:p>
        </w:tc>
        <w:tc>
          <w:tcPr>
            <w:tcW w:w="766" w:type="dxa"/>
            <w:noWrap/>
            <w:hideMark/>
          </w:tcPr>
          <w:p w14:paraId="2F7D4E20"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0.408</w:t>
            </w:r>
          </w:p>
        </w:tc>
      </w:tr>
      <w:tr w:rsidR="00EC74E8" w:rsidRPr="006B3495" w14:paraId="7882A256" w14:textId="77777777" w:rsidTr="00212183">
        <w:trPr>
          <w:trHeight w:val="20"/>
        </w:trPr>
        <w:tc>
          <w:tcPr>
            <w:tcW w:w="1843" w:type="dxa"/>
            <w:vMerge/>
            <w:noWrap/>
            <w:hideMark/>
          </w:tcPr>
          <w:p w14:paraId="0A8B3219"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hideMark/>
          </w:tcPr>
          <w:p w14:paraId="190DAC25"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No</w:t>
            </w:r>
          </w:p>
        </w:tc>
        <w:tc>
          <w:tcPr>
            <w:tcW w:w="1275" w:type="dxa"/>
            <w:noWrap/>
            <w:hideMark/>
          </w:tcPr>
          <w:p w14:paraId="3C91D0B9"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195 (81.3)</w:t>
            </w:r>
          </w:p>
        </w:tc>
        <w:tc>
          <w:tcPr>
            <w:tcW w:w="1276" w:type="dxa"/>
            <w:noWrap/>
            <w:hideMark/>
          </w:tcPr>
          <w:p w14:paraId="41011569"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95 (79.2)</w:t>
            </w:r>
          </w:p>
        </w:tc>
        <w:tc>
          <w:tcPr>
            <w:tcW w:w="1134" w:type="dxa"/>
            <w:noWrap/>
            <w:hideMark/>
          </w:tcPr>
          <w:p w14:paraId="619F2C9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100 (83.3)</w:t>
            </w:r>
          </w:p>
        </w:tc>
        <w:tc>
          <w:tcPr>
            <w:tcW w:w="843" w:type="dxa"/>
            <w:noWrap/>
            <w:hideMark/>
          </w:tcPr>
          <w:p w14:paraId="327DA532"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193745EF"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bookmarkEnd w:id="79"/>
    </w:tbl>
    <w:p w14:paraId="469AA624" w14:textId="77777777" w:rsidR="00EC74E8" w:rsidRPr="006B3495" w:rsidRDefault="00EC74E8" w:rsidP="00665AD7">
      <w:pPr>
        <w:spacing w:line="480" w:lineRule="auto"/>
      </w:pPr>
    </w:p>
    <w:p w14:paraId="35E4984F" w14:textId="2B2121F5" w:rsidR="00EC74E8" w:rsidRPr="006B3495" w:rsidRDefault="00EC74E8" w:rsidP="00A11B6B">
      <w:pPr>
        <w:pStyle w:val="a"/>
        <w:numPr>
          <w:ilvl w:val="1"/>
          <w:numId w:val="1"/>
        </w:numPr>
      </w:pPr>
      <w:bookmarkStart w:id="80" w:name="_Toc212871533"/>
      <w:r w:rsidRPr="006B3495">
        <w:lastRenderedPageBreak/>
        <w:t xml:space="preserve">Means and standard deviations for the </w:t>
      </w:r>
      <w:r w:rsidR="00066C86" w:rsidRPr="006B3495">
        <w:t>t</w:t>
      </w:r>
      <w:r w:rsidRPr="006B3495">
        <w:t xml:space="preserve">ime to ambulation, hemostasis, and discharge of study </w:t>
      </w:r>
      <w:r w:rsidR="00387C0F" w:rsidRPr="006B3495">
        <w:t>participants.</w:t>
      </w:r>
      <w:bookmarkEnd w:id="80"/>
      <w:r w:rsidRPr="006B3495">
        <w:t xml:space="preserve"> </w:t>
      </w:r>
    </w:p>
    <w:p w14:paraId="1DB3D163" w14:textId="51427858" w:rsidR="00EC74E8" w:rsidRPr="006B3495" w:rsidRDefault="00EC74E8" w:rsidP="001D44FC">
      <w:pPr>
        <w:spacing w:after="240" w:line="480" w:lineRule="auto"/>
        <w:jc w:val="both"/>
        <w:rPr>
          <w:rFonts w:asciiTheme="majorBidi" w:hAnsiTheme="majorBidi" w:cstheme="majorBidi"/>
          <w:sz w:val="24"/>
          <w:szCs w:val="24"/>
        </w:rPr>
      </w:pPr>
      <w:r w:rsidRPr="001D44FC">
        <w:rPr>
          <w:rFonts w:asciiTheme="majorBidi" w:hAnsiTheme="majorBidi" w:cstheme="majorBidi"/>
          <w:sz w:val="24"/>
          <w:szCs w:val="24"/>
          <w:highlight w:val="lightGray"/>
        </w:rPr>
        <w:t xml:space="preserve">Table 3 displays the means and standard deviations for the study participants' </w:t>
      </w:r>
      <w:r w:rsidR="009940DD" w:rsidRPr="001D44FC">
        <w:rPr>
          <w:rFonts w:asciiTheme="majorBidi" w:hAnsiTheme="majorBidi" w:cstheme="majorBidi"/>
          <w:sz w:val="24"/>
          <w:szCs w:val="24"/>
          <w:highlight w:val="lightGray"/>
        </w:rPr>
        <w:t>t</w:t>
      </w:r>
      <w:r w:rsidRPr="001D44FC">
        <w:rPr>
          <w:rFonts w:asciiTheme="majorBidi" w:hAnsiTheme="majorBidi" w:cstheme="majorBidi"/>
          <w:sz w:val="24"/>
          <w:szCs w:val="24"/>
          <w:highlight w:val="lightGray"/>
        </w:rPr>
        <w:t>ime to ambulation, hemostasis, and discharge.</w:t>
      </w:r>
      <w:r w:rsidRPr="006B3495">
        <w:rPr>
          <w:rFonts w:asciiTheme="majorBidi" w:hAnsiTheme="majorBidi" w:cstheme="majorBidi"/>
          <w:sz w:val="24"/>
          <w:szCs w:val="24"/>
        </w:rPr>
        <w:t xml:space="preserve"> </w:t>
      </w:r>
      <w:r w:rsidRPr="001D44FC">
        <w:rPr>
          <w:rFonts w:asciiTheme="majorBidi" w:hAnsiTheme="majorBidi" w:cstheme="majorBidi"/>
          <w:sz w:val="24"/>
          <w:szCs w:val="24"/>
          <w:highlight w:val="yellow"/>
        </w:rPr>
        <w:t xml:space="preserve">The </w:t>
      </w:r>
      <w:r w:rsidR="00A27220" w:rsidRPr="001D44FC">
        <w:rPr>
          <w:rFonts w:asciiTheme="majorBidi" w:hAnsiTheme="majorBidi" w:cstheme="majorBidi"/>
          <w:sz w:val="24"/>
          <w:szCs w:val="24"/>
          <w:highlight w:val="yellow"/>
        </w:rPr>
        <w:t>results showed</w:t>
      </w:r>
      <w:r w:rsidR="00D26884" w:rsidRPr="001D44FC">
        <w:rPr>
          <w:rFonts w:asciiTheme="majorBidi" w:hAnsiTheme="majorBidi" w:cstheme="majorBidi"/>
          <w:sz w:val="24"/>
          <w:szCs w:val="24"/>
          <w:highlight w:val="yellow"/>
        </w:rPr>
        <w:t xml:space="preserve"> </w:t>
      </w:r>
      <w:r w:rsidRPr="001D44FC">
        <w:rPr>
          <w:rFonts w:asciiTheme="majorBidi" w:hAnsiTheme="majorBidi" w:cstheme="majorBidi"/>
          <w:sz w:val="24"/>
          <w:szCs w:val="24"/>
          <w:highlight w:val="yellow"/>
        </w:rPr>
        <w:t xml:space="preserve">that time to ambulation was </w:t>
      </w:r>
      <w:r w:rsidR="001D44FC" w:rsidRPr="001D44FC">
        <w:rPr>
          <w:rFonts w:asciiTheme="majorBidi" w:hAnsiTheme="majorBidi" w:cstheme="majorBidi"/>
          <w:sz w:val="24"/>
          <w:szCs w:val="24"/>
          <w:highlight w:val="yellow"/>
        </w:rPr>
        <w:t xml:space="preserve">not </w:t>
      </w:r>
      <w:r w:rsidRPr="001D44FC">
        <w:rPr>
          <w:rFonts w:asciiTheme="majorBidi" w:hAnsiTheme="majorBidi" w:cstheme="majorBidi"/>
          <w:sz w:val="24"/>
          <w:szCs w:val="24"/>
          <w:highlight w:val="yellow"/>
        </w:rPr>
        <w:t xml:space="preserve">statistically significant among TFA with </w:t>
      </w:r>
      <w:r w:rsidR="004B4B08" w:rsidRPr="001D44FC">
        <w:rPr>
          <w:rFonts w:asciiTheme="majorBidi" w:hAnsiTheme="majorBidi" w:cstheme="majorBidi"/>
          <w:sz w:val="24"/>
          <w:szCs w:val="24"/>
          <w:highlight w:val="yellow"/>
        </w:rPr>
        <w:t xml:space="preserve">VCD </w:t>
      </w:r>
      <w:r w:rsidRPr="001D44FC">
        <w:rPr>
          <w:rFonts w:asciiTheme="majorBidi" w:hAnsiTheme="majorBidi" w:cstheme="majorBidi"/>
          <w:sz w:val="24"/>
          <w:szCs w:val="24"/>
          <w:highlight w:val="yellow"/>
        </w:rPr>
        <w:t>group compared to T</w:t>
      </w:r>
      <w:r w:rsidR="00063E0C" w:rsidRPr="001D44FC">
        <w:rPr>
          <w:rFonts w:asciiTheme="majorBidi" w:hAnsiTheme="majorBidi" w:cstheme="majorBidi"/>
          <w:sz w:val="24"/>
          <w:szCs w:val="24"/>
          <w:highlight w:val="yellow"/>
        </w:rPr>
        <w:t>R</w:t>
      </w:r>
      <w:r w:rsidRPr="001D44FC">
        <w:rPr>
          <w:rFonts w:asciiTheme="majorBidi" w:hAnsiTheme="majorBidi" w:cstheme="majorBidi"/>
          <w:sz w:val="24"/>
          <w:szCs w:val="24"/>
          <w:highlight w:val="yellow"/>
        </w:rPr>
        <w:t>A (</w:t>
      </w:r>
      <w:r w:rsidR="00490D76" w:rsidRPr="001D44FC">
        <w:rPr>
          <w:rFonts w:asciiTheme="majorBidi" w:hAnsiTheme="majorBidi" w:cstheme="majorBidi"/>
          <w:sz w:val="24"/>
          <w:szCs w:val="24"/>
          <w:highlight w:val="yellow"/>
        </w:rPr>
        <w:t>44.55±17.67</w:t>
      </w:r>
      <w:r w:rsidRPr="001D44FC">
        <w:rPr>
          <w:rFonts w:asciiTheme="majorBidi" w:hAnsiTheme="majorBidi" w:cstheme="majorBidi"/>
          <w:sz w:val="24"/>
          <w:szCs w:val="24"/>
          <w:highlight w:val="yellow"/>
        </w:rPr>
        <w:t xml:space="preserve"> vs. </w:t>
      </w:r>
      <w:r w:rsidR="00490D76" w:rsidRPr="001D44FC">
        <w:rPr>
          <w:rFonts w:asciiTheme="majorBidi" w:hAnsiTheme="majorBidi" w:cstheme="majorBidi"/>
          <w:sz w:val="24"/>
          <w:szCs w:val="24"/>
          <w:highlight w:val="yellow"/>
        </w:rPr>
        <w:t>3</w:t>
      </w:r>
      <w:r w:rsidR="004A5C67" w:rsidRPr="001D44FC">
        <w:rPr>
          <w:rFonts w:asciiTheme="majorBidi" w:hAnsiTheme="majorBidi" w:cstheme="majorBidi"/>
          <w:sz w:val="24"/>
          <w:szCs w:val="24"/>
          <w:highlight w:val="yellow"/>
        </w:rPr>
        <w:t>9</w:t>
      </w:r>
      <w:r w:rsidR="00490D76" w:rsidRPr="001D44FC">
        <w:rPr>
          <w:rFonts w:asciiTheme="majorBidi" w:hAnsiTheme="majorBidi" w:cstheme="majorBidi"/>
          <w:sz w:val="24"/>
          <w:szCs w:val="24"/>
          <w:highlight w:val="yellow"/>
        </w:rPr>
        <w:t xml:space="preserve">.77±9.0 </w:t>
      </w:r>
      <w:r w:rsidRPr="001D44FC">
        <w:rPr>
          <w:rFonts w:asciiTheme="majorBidi" w:hAnsiTheme="majorBidi" w:cstheme="majorBidi"/>
          <w:sz w:val="24"/>
          <w:szCs w:val="24"/>
          <w:highlight w:val="yellow"/>
        </w:rPr>
        <w:t>minutes, respectively</w:t>
      </w:r>
      <w:r w:rsidR="004A5C67" w:rsidRPr="001D44FC">
        <w:rPr>
          <w:rFonts w:asciiTheme="majorBidi" w:hAnsiTheme="majorBidi" w:cstheme="majorBidi"/>
          <w:sz w:val="24"/>
          <w:szCs w:val="24"/>
          <w:highlight w:val="yellow"/>
        </w:rPr>
        <w:t>, P&gt;0.05</w:t>
      </w:r>
      <w:r w:rsidRPr="001D44FC">
        <w:rPr>
          <w:rFonts w:asciiTheme="majorBidi" w:hAnsiTheme="majorBidi" w:cstheme="majorBidi"/>
          <w:sz w:val="24"/>
          <w:szCs w:val="24"/>
        </w:rPr>
        <w:t xml:space="preserve">). </w:t>
      </w:r>
      <w:r w:rsidRPr="006B3495">
        <w:rPr>
          <w:rFonts w:asciiTheme="majorBidi" w:hAnsiTheme="majorBidi" w:cstheme="majorBidi"/>
          <w:sz w:val="24"/>
          <w:szCs w:val="24"/>
        </w:rPr>
        <w:t xml:space="preserve">In the same way, the total mean of time </w:t>
      </w:r>
      <w:r w:rsidR="001D44FC">
        <w:rPr>
          <w:rFonts w:asciiTheme="majorBidi" w:hAnsiTheme="majorBidi" w:cstheme="majorBidi"/>
          <w:sz w:val="24"/>
          <w:szCs w:val="24"/>
        </w:rPr>
        <w:t>of</w:t>
      </w:r>
      <w:r w:rsidRPr="006B3495">
        <w:rPr>
          <w:rFonts w:asciiTheme="majorBidi" w:hAnsiTheme="majorBidi" w:cstheme="majorBidi"/>
          <w:sz w:val="24"/>
          <w:szCs w:val="24"/>
        </w:rPr>
        <w:t xml:space="preserve"> discharge was </w:t>
      </w:r>
      <w:r w:rsidR="00490D76" w:rsidRPr="00490D76">
        <w:rPr>
          <w:rFonts w:asciiTheme="majorBidi" w:hAnsiTheme="majorBidi" w:cstheme="majorBidi"/>
          <w:sz w:val="24"/>
          <w:szCs w:val="24"/>
        </w:rPr>
        <w:t>91.75±22.32</w:t>
      </w:r>
      <w:r w:rsidR="00490D76">
        <w:rPr>
          <w:rFonts w:asciiTheme="majorBidi" w:hAnsiTheme="majorBidi" w:cstheme="majorBidi"/>
          <w:sz w:val="24"/>
          <w:szCs w:val="24"/>
        </w:rPr>
        <w:t xml:space="preserve"> </w:t>
      </w:r>
      <w:r w:rsidRPr="006B3495">
        <w:rPr>
          <w:rFonts w:asciiTheme="majorBidi" w:hAnsiTheme="majorBidi" w:cstheme="majorBidi"/>
          <w:sz w:val="24"/>
          <w:szCs w:val="24"/>
        </w:rPr>
        <w:t xml:space="preserve">hours, and </w:t>
      </w:r>
      <w:r w:rsidR="00914364">
        <w:rPr>
          <w:rFonts w:asciiTheme="majorBidi" w:hAnsiTheme="majorBidi" w:cstheme="majorBidi"/>
          <w:sz w:val="24"/>
          <w:szCs w:val="24"/>
        </w:rPr>
        <w:t>t</w:t>
      </w:r>
      <w:r w:rsidRPr="006B3495">
        <w:rPr>
          <w:rFonts w:asciiTheme="majorBidi" w:hAnsiTheme="majorBidi" w:cstheme="majorBidi"/>
          <w:sz w:val="24"/>
          <w:szCs w:val="24"/>
        </w:rPr>
        <w:t xml:space="preserve">he TFA with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had a higher statistically significant time to discharge compared to TRA (123.63±35.83 vs. </w:t>
      </w:r>
      <w:r w:rsidR="00490D76" w:rsidRPr="00490D76">
        <w:rPr>
          <w:rFonts w:asciiTheme="majorBidi" w:hAnsiTheme="majorBidi" w:cstheme="majorBidi"/>
          <w:sz w:val="24"/>
          <w:szCs w:val="24"/>
        </w:rPr>
        <w:t>91.75±18.86</w:t>
      </w:r>
      <w:r w:rsidR="00490D76">
        <w:rPr>
          <w:rFonts w:asciiTheme="majorBidi" w:hAnsiTheme="majorBidi" w:cstheme="majorBidi"/>
          <w:sz w:val="24"/>
          <w:szCs w:val="24"/>
        </w:rPr>
        <w:t xml:space="preserve"> </w:t>
      </w:r>
      <w:r w:rsidRPr="006B3495">
        <w:rPr>
          <w:rFonts w:asciiTheme="majorBidi" w:hAnsiTheme="majorBidi" w:cstheme="majorBidi"/>
          <w:sz w:val="24"/>
          <w:szCs w:val="24"/>
        </w:rPr>
        <w:t xml:space="preserve">hours; P &lt; 0.0001, respectively). </w:t>
      </w:r>
      <w:r w:rsidRPr="006B3495">
        <w:rPr>
          <w:rFonts w:asciiTheme="majorBidi" w:hAnsiTheme="majorBidi" w:cstheme="majorBidi"/>
          <w:sz w:val="24"/>
          <w:szCs w:val="24"/>
          <w:highlight w:val="yellow"/>
        </w:rPr>
        <w:t xml:space="preserve">Regarding </w:t>
      </w:r>
      <w:r w:rsidR="001D44FC">
        <w:rPr>
          <w:rFonts w:asciiTheme="majorBidi" w:hAnsiTheme="majorBidi" w:cstheme="majorBidi"/>
          <w:sz w:val="24"/>
          <w:szCs w:val="24"/>
          <w:highlight w:val="yellow"/>
        </w:rPr>
        <w:t>t</w:t>
      </w:r>
      <w:r w:rsidRPr="006B3495">
        <w:rPr>
          <w:rFonts w:asciiTheme="majorBidi" w:hAnsiTheme="majorBidi" w:cstheme="majorBidi"/>
          <w:sz w:val="24"/>
          <w:szCs w:val="24"/>
          <w:highlight w:val="yellow"/>
        </w:rPr>
        <w:t xml:space="preserve">ime to hemostasis, the total mean was </w:t>
      </w:r>
      <w:r w:rsidR="00490D76" w:rsidRPr="00490D76">
        <w:rPr>
          <w:rFonts w:asciiTheme="majorBidi" w:hAnsiTheme="majorBidi" w:cstheme="majorBidi"/>
          <w:sz w:val="24"/>
          <w:szCs w:val="24"/>
        </w:rPr>
        <w:t>107.69±22.32</w:t>
      </w:r>
      <w:r w:rsidRPr="006B3495">
        <w:rPr>
          <w:rFonts w:asciiTheme="majorBidi" w:hAnsiTheme="majorBidi" w:cstheme="majorBidi"/>
          <w:sz w:val="24"/>
          <w:szCs w:val="24"/>
        </w:rPr>
        <w:t xml:space="preserve">, and the TFA with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group had statistically significant time to hemostasis compared to TRA (</w:t>
      </w:r>
      <w:r w:rsidR="00490D76" w:rsidRPr="00490D76">
        <w:rPr>
          <w:rFonts w:asciiTheme="majorBidi" w:hAnsiTheme="majorBidi" w:cstheme="majorBidi"/>
          <w:sz w:val="24"/>
          <w:szCs w:val="24"/>
        </w:rPr>
        <w:t>56.03±14.94</w:t>
      </w:r>
      <w:r w:rsidRPr="006B3495">
        <w:rPr>
          <w:rFonts w:asciiTheme="majorBidi" w:hAnsiTheme="majorBidi" w:cstheme="majorBidi"/>
          <w:sz w:val="24"/>
          <w:szCs w:val="24"/>
        </w:rPr>
        <w:t xml:space="preserve"> vs. 97.09±</w:t>
      </w:r>
      <w:r w:rsidR="00490D76">
        <w:rPr>
          <w:rFonts w:asciiTheme="majorBidi" w:hAnsiTheme="majorBidi" w:cstheme="majorBidi"/>
          <w:sz w:val="24"/>
          <w:szCs w:val="24"/>
        </w:rPr>
        <w:t>2</w:t>
      </w:r>
      <w:r w:rsidRPr="006B3495">
        <w:rPr>
          <w:rFonts w:asciiTheme="majorBidi" w:hAnsiTheme="majorBidi" w:cstheme="majorBidi"/>
          <w:sz w:val="24"/>
          <w:szCs w:val="24"/>
        </w:rPr>
        <w:t>5.78 minutes P &lt; 0.0001 respectively).</w:t>
      </w:r>
    </w:p>
    <w:p w14:paraId="16748FC5" w14:textId="77777777" w:rsidR="00EC74E8" w:rsidRPr="006B3495" w:rsidRDefault="00EC74E8" w:rsidP="00665AD7">
      <w:pPr>
        <w:pStyle w:val="table"/>
        <w:spacing w:after="0" w:line="480" w:lineRule="auto"/>
      </w:pPr>
      <w:bookmarkStart w:id="81" w:name="_Toc170299116"/>
      <w:r w:rsidRPr="006B3495">
        <w:t>Table 3</w:t>
      </w:r>
      <w:bookmarkEnd w:id="81"/>
      <w:r w:rsidRPr="006B3495">
        <w:t xml:space="preserve"> </w:t>
      </w:r>
    </w:p>
    <w:p w14:paraId="10BC3304" w14:textId="6FFDFF6F" w:rsidR="00EC74E8" w:rsidRPr="006B3495" w:rsidRDefault="00EC74E8" w:rsidP="00665AD7">
      <w:pPr>
        <w:pStyle w:val="table"/>
        <w:spacing w:after="0" w:line="480" w:lineRule="auto"/>
        <w:rPr>
          <w:b w:val="0"/>
          <w:bCs w:val="0"/>
          <w:i/>
          <w:iCs/>
        </w:rPr>
      </w:pPr>
      <w:bookmarkStart w:id="82" w:name="_Toc170299117"/>
      <w:r w:rsidRPr="006B3495">
        <w:rPr>
          <w:b w:val="0"/>
          <w:bCs w:val="0"/>
          <w:i/>
          <w:iCs/>
        </w:rPr>
        <w:t xml:space="preserve">Means and standard deviations for the </w:t>
      </w:r>
      <w:r w:rsidR="00066C86" w:rsidRPr="006B3495">
        <w:rPr>
          <w:b w:val="0"/>
          <w:bCs w:val="0"/>
          <w:i/>
          <w:iCs/>
        </w:rPr>
        <w:t>t</w:t>
      </w:r>
      <w:r w:rsidRPr="006B3495">
        <w:rPr>
          <w:b w:val="0"/>
          <w:bCs w:val="0"/>
          <w:i/>
          <w:iCs/>
        </w:rPr>
        <w:t>ime to ambulation, hemostasis, and discharge of study participants.</w:t>
      </w:r>
      <w:bookmarkEnd w:id="82"/>
    </w:p>
    <w:tbl>
      <w:tblPr>
        <w:tblStyle w:val="TableGrid"/>
        <w:tblW w:w="5776" w:type="pct"/>
        <w:tblLook w:val="04A0" w:firstRow="1" w:lastRow="0" w:firstColumn="1" w:lastColumn="0" w:noHBand="0" w:noVBand="1"/>
      </w:tblPr>
      <w:tblGrid>
        <w:gridCol w:w="3342"/>
        <w:gridCol w:w="1548"/>
        <w:gridCol w:w="1548"/>
        <w:gridCol w:w="1428"/>
        <w:gridCol w:w="1070"/>
        <w:gridCol w:w="876"/>
      </w:tblGrid>
      <w:tr w:rsidR="004A617A" w:rsidRPr="006B3495" w14:paraId="2664A46F" w14:textId="77777777" w:rsidTr="00851EA9">
        <w:trPr>
          <w:trHeight w:val="417"/>
        </w:trPr>
        <w:tc>
          <w:tcPr>
            <w:tcW w:w="1723" w:type="pct"/>
            <w:vMerge w:val="restart"/>
            <w:vAlign w:val="center"/>
            <w:hideMark/>
          </w:tcPr>
          <w:p w14:paraId="1EFDC7A5" w14:textId="77777777" w:rsidR="00EC74E8" w:rsidRPr="006B3495" w:rsidRDefault="00EC74E8" w:rsidP="00665AD7">
            <w:pPr>
              <w:spacing w:line="480" w:lineRule="auto"/>
              <w:ind w:left="90"/>
              <w:jc w:val="center"/>
              <w:rPr>
                <w:rFonts w:asciiTheme="majorBidi" w:eastAsia="Times New Roman" w:hAnsiTheme="majorBidi" w:cstheme="majorBidi"/>
                <w:sz w:val="24"/>
                <w:szCs w:val="24"/>
              </w:rPr>
            </w:pPr>
            <w:bookmarkStart w:id="83" w:name="_Hlk169091557"/>
            <w:r w:rsidRPr="006B3495">
              <w:rPr>
                <w:rFonts w:asciiTheme="majorBidi" w:eastAsia="Times New Roman" w:hAnsiTheme="majorBidi" w:cstheme="majorBidi"/>
                <w:sz w:val="24"/>
                <w:szCs w:val="24"/>
              </w:rPr>
              <w:t>Clinical outcomes</w:t>
            </w:r>
          </w:p>
        </w:tc>
        <w:tc>
          <w:tcPr>
            <w:tcW w:w="731" w:type="pct"/>
            <w:vMerge w:val="restart"/>
          </w:tcPr>
          <w:p w14:paraId="08E0B859" w14:textId="77777777" w:rsidR="00EC74E8" w:rsidRPr="006B3495" w:rsidRDefault="00EC74E8" w:rsidP="00665AD7">
            <w:pPr>
              <w:autoSpaceDE w:val="0"/>
              <w:autoSpaceDN w:val="0"/>
              <w:adjustRightInd w:val="0"/>
              <w:spacing w:line="480" w:lineRule="auto"/>
              <w:ind w:left="60" w:right="60"/>
              <w:jc w:val="center"/>
              <w:rPr>
                <w:rFonts w:ascii="Times New Roman" w:eastAsia="Times New Roman" w:hAnsi="Times New Roman" w:cs="Times New Roman"/>
              </w:rPr>
            </w:pPr>
          </w:p>
          <w:p w14:paraId="300CD2AC" w14:textId="77777777" w:rsidR="00EC74E8" w:rsidRPr="006B3495" w:rsidRDefault="00EC74E8" w:rsidP="00665AD7">
            <w:pPr>
              <w:autoSpaceDE w:val="0"/>
              <w:autoSpaceDN w:val="0"/>
              <w:adjustRightInd w:val="0"/>
              <w:spacing w:line="480" w:lineRule="auto"/>
              <w:ind w:left="60" w:right="60"/>
              <w:jc w:val="center"/>
              <w:rPr>
                <w:rFonts w:ascii="Times New Roman" w:eastAsia="Times New Roman" w:hAnsi="Times New Roman" w:cs="Times New Roman"/>
              </w:rPr>
            </w:pPr>
            <w:r w:rsidRPr="006B3495">
              <w:rPr>
                <w:rFonts w:ascii="Times New Roman" w:eastAsia="Times New Roman" w:hAnsi="Times New Roman" w:cs="Times New Roman"/>
              </w:rPr>
              <w:t>Total</w:t>
            </w:r>
          </w:p>
          <w:p w14:paraId="76FAEDFE" w14:textId="77777777" w:rsidR="00EC74E8" w:rsidRPr="006B3495" w:rsidRDefault="00EC74E8" w:rsidP="00665AD7">
            <w:pPr>
              <w:spacing w:line="480" w:lineRule="auto"/>
              <w:ind w:left="90"/>
              <w:jc w:val="center"/>
              <w:rPr>
                <w:rFonts w:asciiTheme="majorBidi" w:eastAsia="Times New Roman" w:hAnsiTheme="majorBidi" w:cstheme="majorBidi"/>
                <w:sz w:val="24"/>
                <w:szCs w:val="24"/>
              </w:rPr>
            </w:pPr>
            <w:r w:rsidRPr="006B3495">
              <w:rPr>
                <w:rFonts w:asciiTheme="majorBidi" w:hAnsiTheme="majorBidi" w:cstheme="majorBidi"/>
                <w:sz w:val="24"/>
                <w:szCs w:val="24"/>
              </w:rPr>
              <w:t>Mean±SD</w:t>
            </w:r>
          </w:p>
        </w:tc>
        <w:tc>
          <w:tcPr>
            <w:tcW w:w="1516" w:type="pct"/>
            <w:gridSpan w:val="2"/>
            <w:vAlign w:val="center"/>
            <w:hideMark/>
          </w:tcPr>
          <w:p w14:paraId="13891D7E" w14:textId="77777777" w:rsidR="00EC74E8" w:rsidRPr="006B3495" w:rsidRDefault="00EC74E8" w:rsidP="00665AD7">
            <w:pPr>
              <w:spacing w:line="480" w:lineRule="auto"/>
              <w:ind w:left="90"/>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 xml:space="preserve">Cases </w:t>
            </w:r>
          </w:p>
          <w:p w14:paraId="0E3D13C3" w14:textId="77777777" w:rsidR="00EC74E8" w:rsidRPr="006B3495" w:rsidRDefault="00EC74E8" w:rsidP="00665AD7">
            <w:pPr>
              <w:spacing w:line="480" w:lineRule="auto"/>
              <w:ind w:left="90"/>
              <w:jc w:val="center"/>
              <w:rPr>
                <w:rFonts w:asciiTheme="majorBidi" w:eastAsia="Times New Roman" w:hAnsiTheme="majorBidi" w:cstheme="majorBidi"/>
                <w:sz w:val="24"/>
                <w:szCs w:val="24"/>
              </w:rPr>
            </w:pPr>
            <w:r w:rsidRPr="006B3495">
              <w:rPr>
                <w:rFonts w:asciiTheme="majorBidi" w:hAnsiTheme="majorBidi" w:cstheme="majorBidi"/>
                <w:sz w:val="24"/>
                <w:szCs w:val="24"/>
              </w:rPr>
              <w:t>Mean±SD</w:t>
            </w:r>
          </w:p>
        </w:tc>
        <w:tc>
          <w:tcPr>
            <w:tcW w:w="1030" w:type="pct"/>
            <w:gridSpan w:val="2"/>
            <w:vAlign w:val="center"/>
            <w:hideMark/>
          </w:tcPr>
          <w:p w14:paraId="582BE107" w14:textId="77777777" w:rsidR="00EC74E8" w:rsidRPr="006B3495" w:rsidRDefault="00EC74E8" w:rsidP="00665AD7">
            <w:pPr>
              <w:spacing w:line="480" w:lineRule="auto"/>
              <w:ind w:left="90"/>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Statistical test</w:t>
            </w:r>
          </w:p>
        </w:tc>
      </w:tr>
      <w:tr w:rsidR="004A617A" w:rsidRPr="006B3495" w14:paraId="00143A58" w14:textId="77777777" w:rsidTr="00851EA9">
        <w:trPr>
          <w:trHeight w:val="632"/>
        </w:trPr>
        <w:tc>
          <w:tcPr>
            <w:tcW w:w="1723" w:type="pct"/>
            <w:vMerge/>
            <w:vAlign w:val="center"/>
            <w:hideMark/>
          </w:tcPr>
          <w:p w14:paraId="7E04F676" w14:textId="77777777" w:rsidR="00EC74E8" w:rsidRPr="006B3495" w:rsidRDefault="00EC74E8" w:rsidP="00665AD7">
            <w:pPr>
              <w:spacing w:line="480" w:lineRule="auto"/>
              <w:rPr>
                <w:rFonts w:asciiTheme="majorBidi" w:eastAsia="Times New Roman" w:hAnsiTheme="majorBidi" w:cstheme="majorBidi"/>
                <w:sz w:val="24"/>
                <w:szCs w:val="24"/>
              </w:rPr>
            </w:pPr>
          </w:p>
        </w:tc>
        <w:tc>
          <w:tcPr>
            <w:tcW w:w="0" w:type="auto"/>
            <w:vMerge/>
            <w:vAlign w:val="center"/>
            <w:hideMark/>
          </w:tcPr>
          <w:p w14:paraId="1F6FF94A" w14:textId="77777777" w:rsidR="00EC74E8" w:rsidRPr="006B3495" w:rsidRDefault="00EC74E8" w:rsidP="00665AD7">
            <w:pPr>
              <w:spacing w:line="480" w:lineRule="auto"/>
              <w:rPr>
                <w:rFonts w:asciiTheme="majorBidi" w:eastAsia="Times New Roman" w:hAnsiTheme="majorBidi" w:cstheme="majorBidi"/>
                <w:sz w:val="24"/>
                <w:szCs w:val="24"/>
              </w:rPr>
            </w:pPr>
          </w:p>
        </w:tc>
        <w:tc>
          <w:tcPr>
            <w:tcW w:w="789" w:type="pct"/>
            <w:vAlign w:val="center"/>
            <w:hideMark/>
          </w:tcPr>
          <w:p w14:paraId="25BB5F6E" w14:textId="5E3D54D1" w:rsidR="00EC74E8" w:rsidRPr="006B3495" w:rsidRDefault="00EC74E8" w:rsidP="00665AD7">
            <w:pPr>
              <w:spacing w:line="480" w:lineRule="auto"/>
              <w:jc w:val="center"/>
              <w:rPr>
                <w:rFonts w:asciiTheme="majorBidi" w:eastAsia="Times New Roman" w:hAnsiTheme="majorBidi" w:cstheme="majorBidi"/>
                <w:lang w:eastAsia="en-GB"/>
              </w:rPr>
            </w:pPr>
            <w:r w:rsidRPr="006B3495">
              <w:rPr>
                <w:rFonts w:asciiTheme="majorBidi" w:eastAsia="Times New Roman" w:hAnsiTheme="majorBidi" w:cstheme="majorBidi"/>
                <w:lang w:eastAsia="en-GB"/>
              </w:rPr>
              <w:t xml:space="preserve">TFA with the use of </w:t>
            </w:r>
            <w:r w:rsidR="004B4B08" w:rsidRPr="004B4B08">
              <w:rPr>
                <w:rFonts w:asciiTheme="majorBidi" w:eastAsia="Times New Roman" w:hAnsiTheme="majorBidi" w:cstheme="majorBidi"/>
                <w:lang w:eastAsia="en-GB"/>
              </w:rPr>
              <w:t>VCD</w:t>
            </w:r>
          </w:p>
          <w:p w14:paraId="2048C6BF"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(n=120)</w:t>
            </w:r>
          </w:p>
        </w:tc>
        <w:tc>
          <w:tcPr>
            <w:tcW w:w="728" w:type="pct"/>
            <w:vAlign w:val="center"/>
            <w:hideMark/>
          </w:tcPr>
          <w:p w14:paraId="22FD4150" w14:textId="77777777" w:rsidR="00EC74E8" w:rsidRPr="006B3495" w:rsidRDefault="00EC74E8" w:rsidP="00665AD7">
            <w:pPr>
              <w:spacing w:line="480" w:lineRule="auto"/>
              <w:jc w:val="center"/>
              <w:rPr>
                <w:rFonts w:asciiTheme="majorBidi" w:eastAsia="Times New Roman" w:hAnsiTheme="majorBidi" w:cstheme="majorBidi"/>
                <w:lang w:eastAsia="en-GB"/>
              </w:rPr>
            </w:pPr>
            <w:r w:rsidRPr="006B3495">
              <w:rPr>
                <w:rFonts w:asciiTheme="majorBidi" w:eastAsia="Times New Roman" w:hAnsiTheme="majorBidi" w:cstheme="majorBidi"/>
                <w:lang w:eastAsia="en-GB"/>
              </w:rPr>
              <w:t>TRA</w:t>
            </w:r>
          </w:p>
          <w:p w14:paraId="68BF6F2E"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(n=120)</w:t>
            </w:r>
          </w:p>
        </w:tc>
        <w:tc>
          <w:tcPr>
            <w:tcW w:w="578" w:type="pct"/>
            <w:vAlign w:val="center"/>
            <w:hideMark/>
          </w:tcPr>
          <w:p w14:paraId="13191EBE" w14:textId="77777777" w:rsidR="00EC74E8" w:rsidRPr="006B3495" w:rsidRDefault="00EC74E8" w:rsidP="00665AD7">
            <w:pPr>
              <w:spacing w:line="480" w:lineRule="auto"/>
              <w:jc w:val="center"/>
              <w:rPr>
                <w:rFonts w:asciiTheme="majorBidi" w:eastAsia="Times New Roman" w:hAnsiTheme="majorBidi" w:cstheme="majorBidi"/>
                <w:sz w:val="24"/>
                <w:szCs w:val="24"/>
              </w:rPr>
            </w:pPr>
            <w:bookmarkStart w:id="84" w:name="_Hlk127550080"/>
            <w:r w:rsidRPr="006B3495">
              <w:rPr>
                <w:rFonts w:asciiTheme="majorBidi" w:eastAsia="Times New Roman" w:hAnsiTheme="majorBidi" w:cstheme="majorBidi"/>
                <w:sz w:val="24"/>
                <w:szCs w:val="24"/>
              </w:rPr>
              <w:t>t</w:t>
            </w:r>
            <w:bookmarkEnd w:id="84"/>
          </w:p>
        </w:tc>
        <w:tc>
          <w:tcPr>
            <w:tcW w:w="446" w:type="pct"/>
            <w:vAlign w:val="center"/>
            <w:hideMark/>
          </w:tcPr>
          <w:p w14:paraId="45BD0922"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P-value</w:t>
            </w:r>
          </w:p>
        </w:tc>
      </w:tr>
      <w:tr w:rsidR="004A617A" w:rsidRPr="006B3495" w14:paraId="7F52D03C" w14:textId="77777777" w:rsidTr="00851EA9">
        <w:trPr>
          <w:trHeight w:val="70"/>
        </w:trPr>
        <w:tc>
          <w:tcPr>
            <w:tcW w:w="1723" w:type="pct"/>
            <w:hideMark/>
          </w:tcPr>
          <w:p w14:paraId="230EDF0B" w14:textId="77777777" w:rsidR="00EC74E8" w:rsidRPr="001D44FC" w:rsidRDefault="00EC74E8" w:rsidP="00665AD7">
            <w:pPr>
              <w:spacing w:line="480" w:lineRule="auto"/>
              <w:rPr>
                <w:rFonts w:asciiTheme="majorBidi" w:hAnsiTheme="majorBidi" w:cstheme="majorBidi"/>
                <w:sz w:val="24"/>
                <w:szCs w:val="24"/>
                <w:highlight w:val="yellow"/>
              </w:rPr>
            </w:pPr>
            <w:r w:rsidRPr="001D44FC">
              <w:rPr>
                <w:rFonts w:asciiTheme="majorBidi" w:hAnsiTheme="majorBidi" w:cstheme="majorBidi"/>
                <w:sz w:val="24"/>
                <w:szCs w:val="24"/>
                <w:highlight w:val="yellow"/>
              </w:rPr>
              <w:t>Time to ambulation (min)</w:t>
            </w:r>
          </w:p>
        </w:tc>
        <w:tc>
          <w:tcPr>
            <w:tcW w:w="731" w:type="pct"/>
            <w:hideMark/>
          </w:tcPr>
          <w:p w14:paraId="0C8F6EC2" w14:textId="42EF3B7E" w:rsidR="00EC74E8" w:rsidRPr="001D44FC" w:rsidRDefault="00851EA9" w:rsidP="00665AD7">
            <w:pPr>
              <w:spacing w:line="480" w:lineRule="auto"/>
              <w:jc w:val="center"/>
              <w:rPr>
                <w:rFonts w:asciiTheme="majorBidi" w:eastAsia="Times New Roman" w:hAnsiTheme="majorBidi" w:cstheme="majorBidi"/>
                <w:sz w:val="24"/>
                <w:szCs w:val="24"/>
                <w:highlight w:val="yellow"/>
              </w:rPr>
            </w:pPr>
            <w:r w:rsidRPr="001D44FC">
              <w:rPr>
                <w:rFonts w:asciiTheme="majorBidi" w:eastAsia="Times New Roman" w:hAnsiTheme="majorBidi" w:cstheme="majorBidi"/>
                <w:sz w:val="24"/>
                <w:szCs w:val="24"/>
                <w:highlight w:val="yellow"/>
              </w:rPr>
              <w:t>38.16</w:t>
            </w:r>
            <w:r w:rsidR="00EC74E8" w:rsidRPr="001D44FC">
              <w:rPr>
                <w:rFonts w:asciiTheme="majorBidi" w:eastAsia="Times New Roman" w:hAnsiTheme="majorBidi" w:cstheme="majorBidi"/>
                <w:sz w:val="24"/>
                <w:szCs w:val="24"/>
                <w:highlight w:val="yellow"/>
              </w:rPr>
              <w:t>±</w:t>
            </w:r>
            <w:r w:rsidRPr="001D44FC">
              <w:rPr>
                <w:rFonts w:asciiTheme="majorBidi" w:eastAsia="Times New Roman" w:hAnsiTheme="majorBidi" w:cstheme="majorBidi"/>
                <w:sz w:val="24"/>
                <w:szCs w:val="24"/>
                <w:highlight w:val="yellow"/>
              </w:rPr>
              <w:t>1</w:t>
            </w:r>
            <w:r w:rsidR="00EC74E8" w:rsidRPr="001D44FC">
              <w:rPr>
                <w:rFonts w:asciiTheme="majorBidi" w:eastAsia="Times New Roman" w:hAnsiTheme="majorBidi" w:cstheme="majorBidi"/>
                <w:sz w:val="24"/>
                <w:szCs w:val="24"/>
                <w:highlight w:val="yellow"/>
              </w:rPr>
              <w:t>4.</w:t>
            </w:r>
            <w:r w:rsidRPr="001D44FC">
              <w:rPr>
                <w:rFonts w:asciiTheme="majorBidi" w:eastAsia="Times New Roman" w:hAnsiTheme="majorBidi" w:cstheme="majorBidi"/>
                <w:sz w:val="24"/>
                <w:szCs w:val="24"/>
                <w:highlight w:val="yellow"/>
              </w:rPr>
              <w:t>0</w:t>
            </w:r>
            <w:r w:rsidR="00EC74E8" w:rsidRPr="001D44FC">
              <w:rPr>
                <w:rFonts w:asciiTheme="majorBidi" w:eastAsia="Times New Roman" w:hAnsiTheme="majorBidi" w:cstheme="majorBidi"/>
                <w:sz w:val="24"/>
                <w:szCs w:val="24"/>
                <w:highlight w:val="yellow"/>
              </w:rPr>
              <w:t>6</w:t>
            </w:r>
          </w:p>
        </w:tc>
        <w:tc>
          <w:tcPr>
            <w:tcW w:w="789" w:type="pct"/>
            <w:hideMark/>
          </w:tcPr>
          <w:p w14:paraId="7598CDB5" w14:textId="77777777" w:rsidR="00EC74E8" w:rsidRPr="001D44FC" w:rsidRDefault="00EC74E8" w:rsidP="00665AD7">
            <w:pPr>
              <w:spacing w:line="480" w:lineRule="auto"/>
              <w:jc w:val="center"/>
              <w:rPr>
                <w:rFonts w:asciiTheme="majorBidi" w:eastAsia="Times New Roman" w:hAnsiTheme="majorBidi" w:cstheme="majorBidi"/>
                <w:sz w:val="24"/>
                <w:szCs w:val="24"/>
                <w:highlight w:val="yellow"/>
              </w:rPr>
            </w:pPr>
            <w:r w:rsidRPr="001D44FC">
              <w:rPr>
                <w:rFonts w:asciiTheme="majorBidi" w:eastAsia="Times New Roman" w:hAnsiTheme="majorBidi" w:cstheme="majorBidi"/>
                <w:sz w:val="24"/>
                <w:szCs w:val="24"/>
                <w:highlight w:val="yellow"/>
              </w:rPr>
              <w:t>44.55±17.67</w:t>
            </w:r>
          </w:p>
        </w:tc>
        <w:tc>
          <w:tcPr>
            <w:tcW w:w="728" w:type="pct"/>
            <w:hideMark/>
          </w:tcPr>
          <w:p w14:paraId="021892AB" w14:textId="59369636" w:rsidR="00EC74E8" w:rsidRPr="001D44FC" w:rsidRDefault="00851EA9" w:rsidP="00665AD7">
            <w:pPr>
              <w:spacing w:line="480" w:lineRule="auto"/>
              <w:jc w:val="center"/>
              <w:rPr>
                <w:rFonts w:asciiTheme="majorBidi" w:eastAsia="Times New Roman" w:hAnsiTheme="majorBidi" w:cstheme="majorBidi"/>
                <w:sz w:val="24"/>
                <w:szCs w:val="24"/>
                <w:highlight w:val="yellow"/>
              </w:rPr>
            </w:pPr>
            <w:bookmarkStart w:id="85" w:name="_Hlk209526737"/>
            <w:r w:rsidRPr="001D44FC">
              <w:rPr>
                <w:rFonts w:asciiTheme="majorBidi" w:eastAsia="Times New Roman" w:hAnsiTheme="majorBidi" w:cstheme="majorBidi"/>
                <w:sz w:val="24"/>
                <w:szCs w:val="24"/>
                <w:highlight w:val="yellow"/>
              </w:rPr>
              <w:t>3</w:t>
            </w:r>
            <w:r w:rsidR="004A5C67" w:rsidRPr="001D44FC">
              <w:rPr>
                <w:rFonts w:asciiTheme="majorBidi" w:eastAsia="Times New Roman" w:hAnsiTheme="majorBidi" w:cstheme="majorBidi"/>
                <w:sz w:val="24"/>
                <w:szCs w:val="24"/>
                <w:highlight w:val="yellow"/>
              </w:rPr>
              <w:t>9</w:t>
            </w:r>
            <w:r w:rsidR="00EC74E8" w:rsidRPr="001D44FC">
              <w:rPr>
                <w:rFonts w:asciiTheme="majorBidi" w:eastAsia="Times New Roman" w:hAnsiTheme="majorBidi" w:cstheme="majorBidi"/>
                <w:sz w:val="24"/>
                <w:szCs w:val="24"/>
                <w:highlight w:val="yellow"/>
              </w:rPr>
              <w:t>.77±9</w:t>
            </w:r>
            <w:r w:rsidR="00490D76" w:rsidRPr="001D44FC">
              <w:rPr>
                <w:rFonts w:asciiTheme="majorBidi" w:eastAsia="Times New Roman" w:hAnsiTheme="majorBidi" w:cstheme="majorBidi"/>
                <w:sz w:val="24"/>
                <w:szCs w:val="24"/>
                <w:highlight w:val="yellow"/>
              </w:rPr>
              <w:t>.0</w:t>
            </w:r>
            <w:bookmarkEnd w:id="85"/>
          </w:p>
        </w:tc>
        <w:tc>
          <w:tcPr>
            <w:tcW w:w="578" w:type="pct"/>
            <w:hideMark/>
          </w:tcPr>
          <w:p w14:paraId="03BF4B9E" w14:textId="2F49C462" w:rsidR="00EC74E8" w:rsidRPr="001D44FC" w:rsidRDefault="00EC74E8" w:rsidP="00665AD7">
            <w:pPr>
              <w:spacing w:line="480" w:lineRule="auto"/>
              <w:jc w:val="center"/>
              <w:rPr>
                <w:rFonts w:asciiTheme="majorBidi" w:eastAsia="Times New Roman" w:hAnsiTheme="majorBidi" w:cstheme="majorBidi"/>
                <w:sz w:val="24"/>
                <w:szCs w:val="24"/>
                <w:highlight w:val="yellow"/>
              </w:rPr>
            </w:pPr>
            <w:r w:rsidRPr="001D44FC">
              <w:rPr>
                <w:rFonts w:asciiTheme="majorBidi" w:eastAsia="Times New Roman" w:hAnsiTheme="majorBidi" w:cstheme="majorBidi"/>
                <w:sz w:val="24"/>
                <w:szCs w:val="24"/>
                <w:highlight w:val="yellow"/>
              </w:rPr>
              <w:t>1.973</w:t>
            </w:r>
          </w:p>
        </w:tc>
        <w:tc>
          <w:tcPr>
            <w:tcW w:w="446" w:type="pct"/>
            <w:hideMark/>
          </w:tcPr>
          <w:p w14:paraId="5CC4A74B" w14:textId="62A16ACD" w:rsidR="00EC74E8" w:rsidRPr="001D44FC" w:rsidRDefault="00EC74E8" w:rsidP="00665AD7">
            <w:pPr>
              <w:spacing w:line="480" w:lineRule="auto"/>
              <w:jc w:val="center"/>
              <w:rPr>
                <w:rFonts w:asciiTheme="majorBidi" w:eastAsia="Times New Roman" w:hAnsiTheme="majorBidi" w:cstheme="majorBidi"/>
                <w:sz w:val="24"/>
                <w:szCs w:val="24"/>
                <w:highlight w:val="yellow"/>
              </w:rPr>
            </w:pPr>
            <w:r w:rsidRPr="001D44FC">
              <w:rPr>
                <w:rFonts w:asciiTheme="majorBidi" w:eastAsia="Times New Roman" w:hAnsiTheme="majorBidi" w:cstheme="majorBidi"/>
                <w:sz w:val="24"/>
                <w:szCs w:val="24"/>
                <w:highlight w:val="yellow"/>
              </w:rPr>
              <w:t>0.0</w:t>
            </w:r>
            <w:r w:rsidR="004A5C67" w:rsidRPr="001D44FC">
              <w:rPr>
                <w:rFonts w:asciiTheme="majorBidi" w:eastAsia="Times New Roman" w:hAnsiTheme="majorBidi" w:cstheme="majorBidi"/>
                <w:sz w:val="24"/>
                <w:szCs w:val="24"/>
                <w:highlight w:val="yellow"/>
              </w:rPr>
              <w:t>71</w:t>
            </w:r>
            <w:r w:rsidRPr="001D44FC">
              <w:rPr>
                <w:rFonts w:asciiTheme="majorBidi" w:eastAsia="Times New Roman" w:hAnsiTheme="majorBidi" w:cstheme="majorBidi"/>
                <w:sz w:val="24"/>
                <w:szCs w:val="24"/>
                <w:highlight w:val="yellow"/>
              </w:rPr>
              <w:t>*</w:t>
            </w:r>
          </w:p>
        </w:tc>
      </w:tr>
      <w:tr w:rsidR="004A617A" w:rsidRPr="006B3495" w14:paraId="26ED1D35" w14:textId="77777777" w:rsidTr="00851EA9">
        <w:trPr>
          <w:trHeight w:val="215"/>
        </w:trPr>
        <w:tc>
          <w:tcPr>
            <w:tcW w:w="1723" w:type="pct"/>
            <w:hideMark/>
          </w:tcPr>
          <w:p w14:paraId="270B8336" w14:textId="77777777" w:rsidR="00EC74E8" w:rsidRPr="006B3495" w:rsidRDefault="00EC74E8" w:rsidP="00665AD7">
            <w:pPr>
              <w:spacing w:line="480" w:lineRule="auto"/>
              <w:rPr>
                <w:rFonts w:asciiTheme="majorBidi" w:hAnsiTheme="majorBidi" w:cstheme="majorBidi"/>
                <w:sz w:val="24"/>
                <w:szCs w:val="24"/>
              </w:rPr>
            </w:pPr>
            <w:r w:rsidRPr="006B3495">
              <w:rPr>
                <w:rFonts w:asciiTheme="majorBidi" w:hAnsiTheme="majorBidi" w:cstheme="majorBidi"/>
                <w:sz w:val="24"/>
                <w:szCs w:val="24"/>
              </w:rPr>
              <w:t>Time to hemostasis (min)</w:t>
            </w:r>
          </w:p>
        </w:tc>
        <w:tc>
          <w:tcPr>
            <w:tcW w:w="731" w:type="pct"/>
            <w:hideMark/>
          </w:tcPr>
          <w:p w14:paraId="7FB57A5E" w14:textId="0158FB89" w:rsidR="00EC74E8" w:rsidRPr="006B3495" w:rsidRDefault="00851EA9" w:rsidP="00665AD7">
            <w:pPr>
              <w:spacing w:line="480" w:lineRule="auto"/>
              <w:jc w:val="center"/>
              <w:rPr>
                <w:rFonts w:asciiTheme="majorBidi" w:eastAsia="Times New Roman" w:hAnsiTheme="majorBidi" w:cstheme="majorBidi"/>
                <w:sz w:val="24"/>
                <w:szCs w:val="24"/>
              </w:rPr>
            </w:pPr>
            <w:r w:rsidRPr="00851EA9">
              <w:rPr>
                <w:rFonts w:asciiTheme="majorBidi" w:eastAsia="Times New Roman" w:hAnsiTheme="majorBidi" w:cstheme="majorBidi"/>
                <w:sz w:val="24"/>
                <w:szCs w:val="24"/>
              </w:rPr>
              <w:t>76.56</w:t>
            </w:r>
            <w:r w:rsidR="00EC74E8" w:rsidRPr="006B3495">
              <w:rPr>
                <w:rFonts w:asciiTheme="majorBidi" w:eastAsia="Times New Roman" w:hAnsiTheme="majorBidi" w:cstheme="majorBidi"/>
                <w:sz w:val="24"/>
                <w:szCs w:val="24"/>
              </w:rPr>
              <w:t>±</w:t>
            </w:r>
            <w:r>
              <w:rPr>
                <w:rFonts w:asciiTheme="majorBidi" w:eastAsia="Times New Roman" w:hAnsiTheme="majorBidi" w:cstheme="majorBidi"/>
                <w:sz w:val="24"/>
                <w:szCs w:val="24"/>
              </w:rPr>
              <w:t>2</w:t>
            </w:r>
            <w:r w:rsidR="00EC74E8" w:rsidRPr="006B3495">
              <w:rPr>
                <w:rFonts w:asciiTheme="majorBidi" w:eastAsia="Times New Roman" w:hAnsiTheme="majorBidi" w:cstheme="majorBidi"/>
                <w:sz w:val="24"/>
                <w:szCs w:val="24"/>
              </w:rPr>
              <w:t>1.17</w:t>
            </w:r>
          </w:p>
        </w:tc>
        <w:tc>
          <w:tcPr>
            <w:tcW w:w="789" w:type="pct"/>
            <w:hideMark/>
          </w:tcPr>
          <w:p w14:paraId="70245A7D" w14:textId="0741DDE5" w:rsidR="00EC74E8" w:rsidRPr="006B3495" w:rsidRDefault="00851EA9" w:rsidP="00665AD7">
            <w:pPr>
              <w:spacing w:line="48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5</w:t>
            </w:r>
            <w:r w:rsidR="00EC74E8" w:rsidRPr="006B3495">
              <w:rPr>
                <w:rFonts w:asciiTheme="majorBidi" w:eastAsia="Times New Roman" w:hAnsiTheme="majorBidi" w:cstheme="majorBidi"/>
                <w:sz w:val="24"/>
                <w:szCs w:val="24"/>
              </w:rPr>
              <w:t>6.03±14.94</w:t>
            </w:r>
          </w:p>
        </w:tc>
        <w:tc>
          <w:tcPr>
            <w:tcW w:w="728" w:type="pct"/>
            <w:hideMark/>
          </w:tcPr>
          <w:p w14:paraId="3DB04E71" w14:textId="49F72FA8"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97.09±</w:t>
            </w:r>
            <w:r w:rsidR="00490D76">
              <w:rPr>
                <w:rFonts w:asciiTheme="majorBidi" w:eastAsia="Times New Roman" w:hAnsiTheme="majorBidi" w:cstheme="majorBidi"/>
                <w:sz w:val="24"/>
                <w:szCs w:val="24"/>
              </w:rPr>
              <w:t>2</w:t>
            </w:r>
            <w:r w:rsidRPr="006B3495">
              <w:rPr>
                <w:rFonts w:asciiTheme="majorBidi" w:eastAsia="Times New Roman" w:hAnsiTheme="majorBidi" w:cstheme="majorBidi"/>
                <w:sz w:val="24"/>
                <w:szCs w:val="24"/>
              </w:rPr>
              <w:t>5.78</w:t>
            </w:r>
          </w:p>
        </w:tc>
        <w:tc>
          <w:tcPr>
            <w:tcW w:w="578" w:type="pct"/>
            <w:hideMark/>
          </w:tcPr>
          <w:p w14:paraId="2FBE2795"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-17.273</w:t>
            </w:r>
          </w:p>
        </w:tc>
        <w:tc>
          <w:tcPr>
            <w:tcW w:w="446" w:type="pct"/>
            <w:hideMark/>
          </w:tcPr>
          <w:p w14:paraId="2D015380"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0.000*</w:t>
            </w:r>
          </w:p>
        </w:tc>
      </w:tr>
      <w:tr w:rsidR="00935F00" w:rsidRPr="006B3495" w14:paraId="69504885" w14:textId="77777777" w:rsidTr="00851EA9">
        <w:trPr>
          <w:trHeight w:val="75"/>
        </w:trPr>
        <w:tc>
          <w:tcPr>
            <w:tcW w:w="1723" w:type="pct"/>
            <w:hideMark/>
          </w:tcPr>
          <w:p w14:paraId="71864D92" w14:textId="1487C5D2" w:rsidR="00EC74E8" w:rsidRPr="006B3495" w:rsidRDefault="00EC74E8" w:rsidP="00665AD7">
            <w:pPr>
              <w:spacing w:line="480" w:lineRule="auto"/>
              <w:rPr>
                <w:rFonts w:asciiTheme="majorBidi" w:hAnsiTheme="majorBidi" w:cstheme="majorBidi"/>
                <w:sz w:val="24"/>
                <w:szCs w:val="24"/>
              </w:rPr>
            </w:pPr>
            <w:r w:rsidRPr="006B3495">
              <w:rPr>
                <w:rFonts w:asciiTheme="majorBidi" w:hAnsiTheme="majorBidi" w:cstheme="majorBidi"/>
                <w:sz w:val="24"/>
                <w:szCs w:val="24"/>
              </w:rPr>
              <w:t>Time to discharge (</w:t>
            </w:r>
            <w:r w:rsidR="005B0009" w:rsidRPr="006B3495">
              <w:rPr>
                <w:rFonts w:asciiTheme="majorBidi" w:hAnsiTheme="majorBidi" w:cstheme="majorBidi"/>
                <w:sz w:val="24"/>
                <w:szCs w:val="24"/>
              </w:rPr>
              <w:t>hrs.</w:t>
            </w:r>
            <w:r w:rsidRPr="006B3495">
              <w:rPr>
                <w:rFonts w:asciiTheme="majorBidi" w:hAnsiTheme="majorBidi" w:cstheme="majorBidi"/>
                <w:sz w:val="24"/>
                <w:szCs w:val="24"/>
              </w:rPr>
              <w:t>)</w:t>
            </w:r>
          </w:p>
        </w:tc>
        <w:tc>
          <w:tcPr>
            <w:tcW w:w="731" w:type="pct"/>
            <w:hideMark/>
          </w:tcPr>
          <w:p w14:paraId="485AD9A4" w14:textId="17A115F4" w:rsidR="00EC74E8" w:rsidRPr="006B3495" w:rsidRDefault="00490D76" w:rsidP="00665AD7">
            <w:pPr>
              <w:spacing w:line="480" w:lineRule="auto"/>
              <w:jc w:val="center"/>
              <w:rPr>
                <w:rFonts w:asciiTheme="majorBidi" w:eastAsia="Times New Roman" w:hAnsiTheme="majorBidi" w:cstheme="majorBidi"/>
                <w:sz w:val="24"/>
                <w:szCs w:val="24"/>
              </w:rPr>
            </w:pPr>
            <w:r w:rsidRPr="00490D76">
              <w:rPr>
                <w:rFonts w:asciiTheme="majorBidi" w:eastAsia="Times New Roman" w:hAnsiTheme="majorBidi" w:cstheme="majorBidi"/>
                <w:sz w:val="24"/>
                <w:szCs w:val="24"/>
              </w:rPr>
              <w:t>107.69</w:t>
            </w:r>
            <w:r w:rsidR="00EC74E8" w:rsidRPr="006B3495">
              <w:rPr>
                <w:rFonts w:asciiTheme="majorBidi" w:eastAsia="Times New Roman" w:hAnsiTheme="majorBidi" w:cstheme="majorBidi"/>
                <w:sz w:val="24"/>
                <w:szCs w:val="24"/>
              </w:rPr>
              <w:t>±</w:t>
            </w:r>
            <w:r w:rsidR="00851EA9">
              <w:rPr>
                <w:rFonts w:asciiTheme="majorBidi" w:eastAsia="Times New Roman" w:hAnsiTheme="majorBidi" w:cstheme="majorBidi"/>
                <w:sz w:val="24"/>
                <w:szCs w:val="24"/>
              </w:rPr>
              <w:t>2</w:t>
            </w:r>
            <w:r w:rsidR="00EC74E8" w:rsidRPr="006B3495">
              <w:rPr>
                <w:rFonts w:asciiTheme="majorBidi" w:eastAsia="Times New Roman" w:hAnsiTheme="majorBidi" w:cstheme="majorBidi"/>
                <w:sz w:val="24"/>
                <w:szCs w:val="24"/>
              </w:rPr>
              <w:t>2.</w:t>
            </w:r>
            <w:r w:rsidR="00851EA9">
              <w:rPr>
                <w:rFonts w:asciiTheme="majorBidi" w:eastAsia="Times New Roman" w:hAnsiTheme="majorBidi" w:cstheme="majorBidi"/>
                <w:sz w:val="24"/>
                <w:szCs w:val="24"/>
              </w:rPr>
              <w:t>3</w:t>
            </w:r>
            <w:r w:rsidR="00EC74E8" w:rsidRPr="006B3495">
              <w:rPr>
                <w:rFonts w:asciiTheme="majorBidi" w:eastAsia="Times New Roman" w:hAnsiTheme="majorBidi" w:cstheme="majorBidi"/>
                <w:sz w:val="24"/>
                <w:szCs w:val="24"/>
              </w:rPr>
              <w:t>2</w:t>
            </w:r>
          </w:p>
        </w:tc>
        <w:tc>
          <w:tcPr>
            <w:tcW w:w="789" w:type="pct"/>
            <w:hideMark/>
          </w:tcPr>
          <w:p w14:paraId="605C4F4E"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123.63±35.83</w:t>
            </w:r>
          </w:p>
        </w:tc>
        <w:tc>
          <w:tcPr>
            <w:tcW w:w="728" w:type="pct"/>
            <w:hideMark/>
          </w:tcPr>
          <w:p w14:paraId="505B3E4C" w14:textId="2A6AB98A" w:rsidR="00EC74E8" w:rsidRPr="006B3495" w:rsidRDefault="00851EA9" w:rsidP="00665AD7">
            <w:pPr>
              <w:spacing w:line="48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9</w:t>
            </w:r>
            <w:r w:rsidR="00EC74E8" w:rsidRPr="006B3495">
              <w:rPr>
                <w:rFonts w:asciiTheme="majorBidi" w:eastAsia="Times New Roman" w:hAnsiTheme="majorBidi" w:cstheme="majorBidi"/>
                <w:sz w:val="24"/>
                <w:szCs w:val="24"/>
              </w:rPr>
              <w:t>1.75±18.86</w:t>
            </w:r>
          </w:p>
        </w:tc>
        <w:tc>
          <w:tcPr>
            <w:tcW w:w="578" w:type="pct"/>
            <w:hideMark/>
          </w:tcPr>
          <w:p w14:paraId="5771D714"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30.268</w:t>
            </w:r>
          </w:p>
        </w:tc>
        <w:tc>
          <w:tcPr>
            <w:tcW w:w="446" w:type="pct"/>
            <w:hideMark/>
          </w:tcPr>
          <w:p w14:paraId="45550291"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0.000*</w:t>
            </w:r>
          </w:p>
        </w:tc>
      </w:tr>
      <w:bookmarkEnd w:id="83"/>
    </w:tbl>
    <w:p w14:paraId="47FAF9F9" w14:textId="77777777" w:rsidR="00EC74E8" w:rsidRPr="006B3495" w:rsidRDefault="00EC74E8" w:rsidP="00665AD7">
      <w:pPr>
        <w:spacing w:line="480" w:lineRule="auto"/>
        <w:rPr>
          <w:rFonts w:asciiTheme="majorBidi" w:hAnsiTheme="majorBidi" w:cstheme="majorBidi"/>
          <w:sz w:val="20"/>
          <w:szCs w:val="20"/>
        </w:rPr>
      </w:pPr>
    </w:p>
    <w:p w14:paraId="02548F44" w14:textId="13A58D75" w:rsidR="00EC74E8" w:rsidRPr="006B3495" w:rsidRDefault="00EC74E8" w:rsidP="00A11B6B">
      <w:pPr>
        <w:pStyle w:val="a"/>
        <w:numPr>
          <w:ilvl w:val="1"/>
          <w:numId w:val="1"/>
        </w:numPr>
      </w:pPr>
      <w:bookmarkStart w:id="86" w:name="_Toc212871534"/>
      <w:r w:rsidRPr="006B3495">
        <w:lastRenderedPageBreak/>
        <w:t xml:space="preserve">Means and standard deviations for the clinical data on admission of study </w:t>
      </w:r>
      <w:r w:rsidR="00387C0F" w:rsidRPr="006B3495">
        <w:t>participants.</w:t>
      </w:r>
      <w:bookmarkEnd w:id="86"/>
      <w:r w:rsidRPr="006B3495">
        <w:t xml:space="preserve"> </w:t>
      </w:r>
    </w:p>
    <w:p w14:paraId="0108D3F6" w14:textId="58324F89" w:rsidR="00EC74E8" w:rsidRPr="006B3495" w:rsidRDefault="00EC74E8" w:rsidP="00665AD7">
      <w:pPr>
        <w:spacing w:after="240" w:line="480" w:lineRule="auto"/>
        <w:jc w:val="both"/>
        <w:rPr>
          <w:rFonts w:asciiTheme="majorBidi" w:hAnsiTheme="majorBidi" w:cstheme="majorBidi"/>
          <w:sz w:val="24"/>
          <w:szCs w:val="24"/>
        </w:rPr>
      </w:pPr>
      <w:bookmarkStart w:id="87" w:name="_Toc132612053"/>
      <w:r w:rsidRPr="006B3495">
        <w:rPr>
          <w:rFonts w:asciiTheme="majorBidi" w:hAnsiTheme="majorBidi" w:cstheme="majorBidi"/>
          <w:sz w:val="24"/>
          <w:szCs w:val="24"/>
        </w:rPr>
        <w:t xml:space="preserve">Table 4 pointed out means and standard deviations for the clinical data on admission of study participants.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that the average heart rate was 75.27±15.05 bpm while </w:t>
      </w:r>
      <w:r w:rsidR="00BE632C" w:rsidRPr="006B3495">
        <w:rPr>
          <w:rFonts w:asciiTheme="majorBidi" w:hAnsiTheme="majorBidi" w:cstheme="majorBidi"/>
          <w:sz w:val="24"/>
          <w:szCs w:val="24"/>
        </w:rPr>
        <w:t xml:space="preserve">Systolic </w:t>
      </w:r>
      <w:r w:rsidR="00993ACB" w:rsidRPr="006B3495">
        <w:rPr>
          <w:rFonts w:asciiTheme="majorBidi" w:hAnsiTheme="majorBidi" w:cstheme="majorBidi"/>
          <w:sz w:val="24"/>
          <w:szCs w:val="24"/>
        </w:rPr>
        <w:t>Blood Pressure</w:t>
      </w:r>
      <w:r w:rsidR="00BE632C" w:rsidRPr="006B3495">
        <w:rPr>
          <w:rFonts w:asciiTheme="majorBidi" w:hAnsiTheme="majorBidi" w:cstheme="majorBidi"/>
          <w:sz w:val="24"/>
          <w:szCs w:val="24"/>
        </w:rPr>
        <w:t xml:space="preserve"> </w:t>
      </w:r>
      <w:r w:rsidR="00BE632C">
        <w:rPr>
          <w:rFonts w:asciiTheme="majorBidi" w:hAnsiTheme="majorBidi" w:cstheme="majorBidi"/>
          <w:sz w:val="24"/>
          <w:szCs w:val="24"/>
        </w:rPr>
        <w:t>(S</w:t>
      </w:r>
      <w:r w:rsidRPr="006B3495">
        <w:rPr>
          <w:rFonts w:asciiTheme="majorBidi" w:hAnsiTheme="majorBidi" w:cstheme="majorBidi"/>
          <w:sz w:val="24"/>
          <w:szCs w:val="24"/>
        </w:rPr>
        <w:t>BP</w:t>
      </w:r>
      <w:r w:rsidR="00BE632C">
        <w:rPr>
          <w:rFonts w:asciiTheme="majorBidi" w:hAnsiTheme="majorBidi" w:cstheme="majorBidi"/>
          <w:sz w:val="24"/>
          <w:szCs w:val="24"/>
        </w:rPr>
        <w:t>)</w:t>
      </w:r>
      <w:r w:rsidRPr="006B3495">
        <w:rPr>
          <w:rFonts w:asciiTheme="majorBidi" w:hAnsiTheme="majorBidi" w:cstheme="majorBidi"/>
          <w:sz w:val="24"/>
          <w:szCs w:val="24"/>
        </w:rPr>
        <w:t xml:space="preserve"> (131.07±19.71 mmHg), </w:t>
      </w:r>
      <w:r w:rsidR="00993ACB" w:rsidRPr="006B3495">
        <w:rPr>
          <w:rFonts w:asciiTheme="majorBidi" w:hAnsiTheme="majorBidi" w:cstheme="majorBidi"/>
          <w:sz w:val="24"/>
          <w:szCs w:val="24"/>
        </w:rPr>
        <w:t xml:space="preserve">Diastolic Blood Pressure </w:t>
      </w:r>
      <w:r w:rsidR="00BE632C">
        <w:rPr>
          <w:rFonts w:asciiTheme="majorBidi" w:hAnsiTheme="majorBidi" w:cstheme="majorBidi"/>
          <w:sz w:val="24"/>
          <w:szCs w:val="24"/>
        </w:rPr>
        <w:t>(D</w:t>
      </w:r>
      <w:r w:rsidRPr="006B3495">
        <w:rPr>
          <w:rFonts w:asciiTheme="majorBidi" w:hAnsiTheme="majorBidi" w:cstheme="majorBidi"/>
          <w:sz w:val="24"/>
          <w:szCs w:val="24"/>
        </w:rPr>
        <w:t>BP</w:t>
      </w:r>
      <w:r w:rsidR="00BE632C">
        <w:rPr>
          <w:rFonts w:asciiTheme="majorBidi" w:hAnsiTheme="majorBidi" w:cstheme="majorBidi"/>
          <w:sz w:val="24"/>
          <w:szCs w:val="24"/>
        </w:rPr>
        <w:t>)</w:t>
      </w:r>
      <w:r w:rsidRPr="006B3495">
        <w:rPr>
          <w:rFonts w:asciiTheme="majorBidi" w:hAnsiTheme="majorBidi" w:cstheme="majorBidi"/>
          <w:sz w:val="24"/>
          <w:szCs w:val="24"/>
        </w:rPr>
        <w:t xml:space="preserve"> (74.62±15.15 mmHg), eGFR (100.79±10.26 ml/kg/min), and </w:t>
      </w:r>
      <w:r w:rsidR="00BE632C">
        <w:rPr>
          <w:rFonts w:asciiTheme="majorBidi" w:hAnsiTheme="majorBidi" w:cstheme="majorBidi"/>
          <w:sz w:val="24"/>
          <w:szCs w:val="24"/>
        </w:rPr>
        <w:t>h</w:t>
      </w:r>
      <w:r w:rsidRPr="006B3495">
        <w:rPr>
          <w:rFonts w:asciiTheme="majorBidi" w:hAnsiTheme="majorBidi" w:cstheme="majorBidi"/>
          <w:sz w:val="24"/>
          <w:szCs w:val="24"/>
        </w:rPr>
        <w:t xml:space="preserve">emoglobin (13.92±8.06 g/dl). Regarding comparing TFA with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and compared to TRA,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that there were no significant differences in heart rate on admission among TFA with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and compared to TRA (76.33±13.59 bpm vs. 74.22±16.36 bpm, P&gt;0.05, respectively) and estimated glomerular filtration rate (eGFR) (101.41±10.35 ml/kg/min vs. 94±6.93 ml/kg/min, p&gt;0.05, respectively). However, DBP on admission was higher statistically significantly in the TFA with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compared to the TRA group (77.89±15.74 vs. 71.34±13.84 mmHg; P&lt;0.05, respectively). Finally, </w:t>
      </w:r>
      <w:r w:rsidR="00BE632C">
        <w:rPr>
          <w:rFonts w:asciiTheme="majorBidi" w:hAnsiTheme="majorBidi" w:cstheme="majorBidi"/>
          <w:sz w:val="24"/>
          <w:szCs w:val="24"/>
        </w:rPr>
        <w:t>SBP</w:t>
      </w:r>
      <w:r w:rsidRPr="006B3495">
        <w:rPr>
          <w:rFonts w:asciiTheme="majorBidi" w:hAnsiTheme="majorBidi" w:cstheme="majorBidi"/>
          <w:sz w:val="24"/>
          <w:szCs w:val="24"/>
        </w:rPr>
        <w:t xml:space="preserve"> did not show a statistically significant difference between the TFA with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and compared to TRA (P&lt;0.05).</w:t>
      </w:r>
    </w:p>
    <w:p w14:paraId="4AB836F2" w14:textId="77777777" w:rsidR="00EC74E8" w:rsidRPr="006B3495" w:rsidRDefault="00EC74E8" w:rsidP="00665AD7">
      <w:pPr>
        <w:pStyle w:val="table"/>
        <w:spacing w:after="0" w:line="480" w:lineRule="auto"/>
      </w:pPr>
      <w:bookmarkStart w:id="88" w:name="_Toc170299118"/>
      <w:r w:rsidRPr="006B3495">
        <w:t>Table 4</w:t>
      </w:r>
      <w:bookmarkEnd w:id="88"/>
      <w:r w:rsidRPr="006B3495">
        <w:t xml:space="preserve"> </w:t>
      </w:r>
    </w:p>
    <w:p w14:paraId="1820C3B1" w14:textId="77777777" w:rsidR="00EC74E8" w:rsidRPr="006B3495" w:rsidRDefault="00EC74E8" w:rsidP="00665AD7">
      <w:pPr>
        <w:pStyle w:val="table"/>
        <w:spacing w:after="0" w:line="480" w:lineRule="auto"/>
        <w:rPr>
          <w:b w:val="0"/>
          <w:bCs w:val="0"/>
          <w:i/>
          <w:iCs/>
        </w:rPr>
      </w:pPr>
      <w:bookmarkStart w:id="89" w:name="_Toc170299119"/>
      <w:r w:rsidRPr="006B3495">
        <w:rPr>
          <w:b w:val="0"/>
          <w:bCs w:val="0"/>
          <w:i/>
          <w:iCs/>
        </w:rPr>
        <w:t>Means and standard deviations for the clinical data on admission of study participants.</w:t>
      </w:r>
      <w:bookmarkEnd w:id="89"/>
    </w:p>
    <w:tbl>
      <w:tblPr>
        <w:tblStyle w:val="TableGrid"/>
        <w:tblW w:w="5618" w:type="pct"/>
        <w:tblLook w:val="04A0" w:firstRow="1" w:lastRow="0" w:firstColumn="1" w:lastColumn="0" w:noHBand="0" w:noVBand="1"/>
      </w:tblPr>
      <w:tblGrid>
        <w:gridCol w:w="3268"/>
        <w:gridCol w:w="1548"/>
        <w:gridCol w:w="1548"/>
        <w:gridCol w:w="1548"/>
        <w:gridCol w:w="756"/>
        <w:gridCol w:w="876"/>
      </w:tblGrid>
      <w:tr w:rsidR="004A617A" w:rsidRPr="006B3495" w14:paraId="174876AC" w14:textId="77777777" w:rsidTr="00212183">
        <w:trPr>
          <w:trHeight w:val="417"/>
        </w:trPr>
        <w:tc>
          <w:tcPr>
            <w:tcW w:w="1819" w:type="pct"/>
            <w:vMerge w:val="restart"/>
            <w:vAlign w:val="center"/>
            <w:hideMark/>
          </w:tcPr>
          <w:p w14:paraId="3C00259B" w14:textId="77777777" w:rsidR="00EC74E8" w:rsidRPr="006B3495" w:rsidRDefault="00EC74E8" w:rsidP="00665AD7">
            <w:pPr>
              <w:spacing w:line="480" w:lineRule="auto"/>
              <w:ind w:left="90"/>
              <w:jc w:val="center"/>
              <w:rPr>
                <w:rFonts w:asciiTheme="majorBidi" w:eastAsia="Times New Roman" w:hAnsiTheme="majorBidi" w:cstheme="majorBidi"/>
                <w:sz w:val="24"/>
                <w:szCs w:val="24"/>
              </w:rPr>
            </w:pPr>
            <w:bookmarkStart w:id="90" w:name="_Hlk169091567"/>
            <w:r w:rsidRPr="006B3495">
              <w:rPr>
                <w:rFonts w:asciiTheme="majorBidi" w:eastAsia="Times New Roman" w:hAnsiTheme="majorBidi" w:cstheme="majorBidi"/>
                <w:sz w:val="24"/>
                <w:szCs w:val="24"/>
              </w:rPr>
              <w:t>Clinical outcomes</w:t>
            </w:r>
          </w:p>
        </w:tc>
        <w:tc>
          <w:tcPr>
            <w:tcW w:w="800" w:type="pct"/>
            <w:vMerge w:val="restart"/>
          </w:tcPr>
          <w:p w14:paraId="6CAF9003" w14:textId="77777777" w:rsidR="00EC74E8" w:rsidRPr="006B3495" w:rsidRDefault="00EC74E8" w:rsidP="00665AD7">
            <w:pPr>
              <w:autoSpaceDE w:val="0"/>
              <w:autoSpaceDN w:val="0"/>
              <w:adjustRightInd w:val="0"/>
              <w:spacing w:line="480" w:lineRule="auto"/>
              <w:ind w:left="60" w:right="60"/>
              <w:jc w:val="center"/>
              <w:rPr>
                <w:rFonts w:ascii="Times New Roman" w:eastAsia="Times New Roman" w:hAnsi="Times New Roman" w:cs="Times New Roman"/>
              </w:rPr>
            </w:pPr>
          </w:p>
          <w:p w14:paraId="2634A1BA" w14:textId="77777777" w:rsidR="00EC74E8" w:rsidRPr="006B3495" w:rsidRDefault="00EC74E8" w:rsidP="00665AD7">
            <w:pPr>
              <w:autoSpaceDE w:val="0"/>
              <w:autoSpaceDN w:val="0"/>
              <w:adjustRightInd w:val="0"/>
              <w:spacing w:line="480" w:lineRule="auto"/>
              <w:ind w:left="60" w:right="60"/>
              <w:jc w:val="center"/>
              <w:rPr>
                <w:rFonts w:ascii="Times New Roman" w:eastAsia="Times New Roman" w:hAnsi="Times New Roman" w:cs="Times New Roman"/>
              </w:rPr>
            </w:pPr>
            <w:r w:rsidRPr="006B3495">
              <w:rPr>
                <w:rFonts w:ascii="Times New Roman" w:eastAsia="Times New Roman" w:hAnsi="Times New Roman" w:cs="Times New Roman"/>
              </w:rPr>
              <w:t>Total</w:t>
            </w:r>
          </w:p>
          <w:p w14:paraId="4C2D1FEE" w14:textId="77777777" w:rsidR="00EC74E8" w:rsidRPr="006B3495" w:rsidRDefault="00EC74E8" w:rsidP="00665AD7">
            <w:pPr>
              <w:spacing w:line="480" w:lineRule="auto"/>
              <w:ind w:left="90"/>
              <w:jc w:val="center"/>
              <w:rPr>
                <w:rFonts w:asciiTheme="majorBidi" w:eastAsia="Times New Roman" w:hAnsiTheme="majorBidi" w:cstheme="majorBidi"/>
                <w:sz w:val="24"/>
                <w:szCs w:val="24"/>
              </w:rPr>
            </w:pPr>
            <w:r w:rsidRPr="006B3495">
              <w:rPr>
                <w:rFonts w:asciiTheme="majorBidi" w:hAnsiTheme="majorBidi" w:cstheme="majorBidi"/>
                <w:sz w:val="24"/>
                <w:szCs w:val="24"/>
              </w:rPr>
              <w:t>Mean±SD</w:t>
            </w:r>
          </w:p>
        </w:tc>
        <w:tc>
          <w:tcPr>
            <w:tcW w:w="1474" w:type="pct"/>
            <w:gridSpan w:val="2"/>
            <w:vAlign w:val="center"/>
            <w:hideMark/>
          </w:tcPr>
          <w:p w14:paraId="7A2ED29C" w14:textId="77777777" w:rsidR="00EC74E8" w:rsidRPr="006B3495" w:rsidRDefault="00EC74E8" w:rsidP="00665AD7">
            <w:pPr>
              <w:spacing w:line="480" w:lineRule="auto"/>
              <w:ind w:left="90"/>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 xml:space="preserve">Cases </w:t>
            </w:r>
          </w:p>
          <w:p w14:paraId="7152B31D" w14:textId="77777777" w:rsidR="00EC74E8" w:rsidRPr="006B3495" w:rsidRDefault="00EC74E8" w:rsidP="00665AD7">
            <w:pPr>
              <w:spacing w:line="480" w:lineRule="auto"/>
              <w:ind w:left="90"/>
              <w:jc w:val="center"/>
              <w:rPr>
                <w:rFonts w:asciiTheme="majorBidi" w:eastAsia="Times New Roman" w:hAnsiTheme="majorBidi" w:cstheme="majorBidi"/>
                <w:sz w:val="24"/>
                <w:szCs w:val="24"/>
              </w:rPr>
            </w:pPr>
            <w:r w:rsidRPr="006B3495">
              <w:rPr>
                <w:rFonts w:asciiTheme="majorBidi" w:hAnsiTheme="majorBidi" w:cstheme="majorBidi"/>
                <w:sz w:val="24"/>
                <w:szCs w:val="24"/>
              </w:rPr>
              <w:t>Mean±SD</w:t>
            </w:r>
          </w:p>
        </w:tc>
        <w:tc>
          <w:tcPr>
            <w:tcW w:w="907" w:type="pct"/>
            <w:gridSpan w:val="2"/>
            <w:vAlign w:val="center"/>
            <w:hideMark/>
          </w:tcPr>
          <w:p w14:paraId="0CAE56E6" w14:textId="77777777" w:rsidR="00EC74E8" w:rsidRPr="006B3495" w:rsidRDefault="00EC74E8" w:rsidP="00665AD7">
            <w:pPr>
              <w:spacing w:line="480" w:lineRule="auto"/>
              <w:ind w:left="90"/>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Statistical test</w:t>
            </w:r>
          </w:p>
        </w:tc>
      </w:tr>
      <w:tr w:rsidR="004A617A" w:rsidRPr="006B3495" w14:paraId="1984ABD0" w14:textId="77777777" w:rsidTr="00212183">
        <w:trPr>
          <w:trHeight w:val="632"/>
        </w:trPr>
        <w:tc>
          <w:tcPr>
            <w:tcW w:w="1819" w:type="pct"/>
            <w:vMerge/>
            <w:vAlign w:val="center"/>
            <w:hideMark/>
          </w:tcPr>
          <w:p w14:paraId="51FD520A" w14:textId="77777777" w:rsidR="00EC74E8" w:rsidRPr="006B3495" w:rsidRDefault="00EC74E8" w:rsidP="00665AD7">
            <w:pPr>
              <w:spacing w:line="480" w:lineRule="auto"/>
              <w:rPr>
                <w:rFonts w:asciiTheme="majorBidi" w:eastAsia="Times New Roman" w:hAnsiTheme="majorBidi" w:cstheme="majorBidi"/>
                <w:sz w:val="24"/>
                <w:szCs w:val="24"/>
              </w:rPr>
            </w:pPr>
          </w:p>
        </w:tc>
        <w:tc>
          <w:tcPr>
            <w:tcW w:w="0" w:type="auto"/>
            <w:vMerge/>
            <w:vAlign w:val="center"/>
            <w:hideMark/>
          </w:tcPr>
          <w:p w14:paraId="7E413441" w14:textId="77777777" w:rsidR="00EC74E8" w:rsidRPr="006B3495" w:rsidRDefault="00EC74E8" w:rsidP="00665AD7">
            <w:pPr>
              <w:spacing w:line="480" w:lineRule="auto"/>
              <w:rPr>
                <w:rFonts w:asciiTheme="majorBidi" w:eastAsia="Times New Roman" w:hAnsiTheme="majorBidi" w:cstheme="majorBidi"/>
                <w:sz w:val="24"/>
                <w:szCs w:val="24"/>
              </w:rPr>
            </w:pPr>
          </w:p>
        </w:tc>
        <w:tc>
          <w:tcPr>
            <w:tcW w:w="737" w:type="pct"/>
            <w:vAlign w:val="center"/>
            <w:hideMark/>
          </w:tcPr>
          <w:p w14:paraId="267E8DA9" w14:textId="357BCF02" w:rsidR="00EC74E8" w:rsidRPr="006B3495" w:rsidRDefault="00EC74E8" w:rsidP="00665AD7">
            <w:pPr>
              <w:spacing w:line="480" w:lineRule="auto"/>
              <w:jc w:val="center"/>
              <w:rPr>
                <w:rFonts w:asciiTheme="majorBidi" w:eastAsia="Times New Roman" w:hAnsiTheme="majorBidi" w:cstheme="majorBidi"/>
                <w:lang w:eastAsia="en-GB"/>
              </w:rPr>
            </w:pPr>
            <w:r w:rsidRPr="006B3495">
              <w:rPr>
                <w:rFonts w:asciiTheme="majorBidi" w:eastAsia="Times New Roman" w:hAnsiTheme="majorBidi" w:cstheme="majorBidi"/>
                <w:lang w:eastAsia="en-GB"/>
              </w:rPr>
              <w:t xml:space="preserve">TFA with the use of </w:t>
            </w:r>
            <w:r w:rsidR="004B4B08" w:rsidRPr="004B4B08">
              <w:rPr>
                <w:rFonts w:asciiTheme="majorBidi" w:eastAsia="Times New Roman" w:hAnsiTheme="majorBidi" w:cstheme="majorBidi"/>
                <w:lang w:eastAsia="en-GB"/>
              </w:rPr>
              <w:t>VCD</w:t>
            </w:r>
          </w:p>
          <w:p w14:paraId="600D6389"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(n=120)</w:t>
            </w:r>
          </w:p>
        </w:tc>
        <w:tc>
          <w:tcPr>
            <w:tcW w:w="737" w:type="pct"/>
            <w:vAlign w:val="center"/>
            <w:hideMark/>
          </w:tcPr>
          <w:p w14:paraId="7CB0621F" w14:textId="77777777" w:rsidR="00EC74E8" w:rsidRPr="006B3495" w:rsidRDefault="00EC74E8" w:rsidP="00665AD7">
            <w:pPr>
              <w:spacing w:line="480" w:lineRule="auto"/>
              <w:jc w:val="center"/>
              <w:rPr>
                <w:rFonts w:asciiTheme="majorBidi" w:eastAsia="Times New Roman" w:hAnsiTheme="majorBidi" w:cstheme="majorBidi"/>
                <w:lang w:eastAsia="en-GB"/>
              </w:rPr>
            </w:pPr>
            <w:r w:rsidRPr="006B3495">
              <w:rPr>
                <w:rFonts w:asciiTheme="majorBidi" w:eastAsia="Times New Roman" w:hAnsiTheme="majorBidi" w:cstheme="majorBidi"/>
                <w:lang w:eastAsia="en-GB"/>
              </w:rPr>
              <w:t>TRA</w:t>
            </w:r>
          </w:p>
          <w:p w14:paraId="15B139EC"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(n=120)</w:t>
            </w:r>
          </w:p>
        </w:tc>
        <w:tc>
          <w:tcPr>
            <w:tcW w:w="459" w:type="pct"/>
            <w:vAlign w:val="center"/>
            <w:hideMark/>
          </w:tcPr>
          <w:p w14:paraId="4B07D38C"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t</w:t>
            </w:r>
          </w:p>
        </w:tc>
        <w:tc>
          <w:tcPr>
            <w:tcW w:w="448" w:type="pct"/>
            <w:vAlign w:val="center"/>
            <w:hideMark/>
          </w:tcPr>
          <w:p w14:paraId="064B8046"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P-value</w:t>
            </w:r>
          </w:p>
        </w:tc>
      </w:tr>
      <w:tr w:rsidR="004A617A" w:rsidRPr="006B3495" w14:paraId="104059AB" w14:textId="77777777" w:rsidTr="00212183">
        <w:trPr>
          <w:trHeight w:val="202"/>
        </w:trPr>
        <w:tc>
          <w:tcPr>
            <w:tcW w:w="1819" w:type="pct"/>
            <w:hideMark/>
          </w:tcPr>
          <w:p w14:paraId="11C00EC0" w14:textId="77777777" w:rsidR="00EC74E8" w:rsidRPr="006B3495" w:rsidRDefault="00EC74E8" w:rsidP="00665AD7">
            <w:pPr>
              <w:spacing w:line="480" w:lineRule="auto"/>
              <w:rPr>
                <w:rFonts w:asciiTheme="majorBidi" w:hAnsiTheme="majorBidi" w:cstheme="majorBidi"/>
                <w:sz w:val="24"/>
                <w:szCs w:val="24"/>
              </w:rPr>
            </w:pPr>
            <w:r w:rsidRPr="006B3495">
              <w:rPr>
                <w:rFonts w:asciiTheme="majorBidi" w:hAnsiTheme="majorBidi" w:cstheme="majorBidi"/>
                <w:sz w:val="24"/>
                <w:szCs w:val="24"/>
              </w:rPr>
              <w:t>Heart rate on admission (bpm)</w:t>
            </w:r>
          </w:p>
        </w:tc>
        <w:tc>
          <w:tcPr>
            <w:tcW w:w="800" w:type="pct"/>
            <w:hideMark/>
          </w:tcPr>
          <w:p w14:paraId="10029A78"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75.27±15.05</w:t>
            </w:r>
          </w:p>
        </w:tc>
        <w:tc>
          <w:tcPr>
            <w:tcW w:w="737" w:type="pct"/>
            <w:hideMark/>
          </w:tcPr>
          <w:p w14:paraId="4EECA258"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76.33±13.59</w:t>
            </w:r>
          </w:p>
        </w:tc>
        <w:tc>
          <w:tcPr>
            <w:tcW w:w="737" w:type="pct"/>
            <w:hideMark/>
          </w:tcPr>
          <w:p w14:paraId="671CDF03" w14:textId="77777777" w:rsidR="00EC74E8" w:rsidRPr="001D44FC" w:rsidRDefault="00EC74E8" w:rsidP="00665AD7">
            <w:pPr>
              <w:spacing w:line="480" w:lineRule="auto"/>
              <w:jc w:val="center"/>
              <w:rPr>
                <w:rFonts w:asciiTheme="majorBidi" w:eastAsia="Times New Roman" w:hAnsiTheme="majorBidi" w:cstheme="majorBidi"/>
                <w:sz w:val="24"/>
                <w:szCs w:val="24"/>
              </w:rPr>
            </w:pPr>
            <w:r w:rsidRPr="001D44FC">
              <w:rPr>
                <w:rFonts w:asciiTheme="majorBidi" w:eastAsia="Times New Roman" w:hAnsiTheme="majorBidi" w:cstheme="majorBidi"/>
                <w:sz w:val="24"/>
                <w:szCs w:val="24"/>
              </w:rPr>
              <w:t>74.22±16.36</w:t>
            </w:r>
          </w:p>
        </w:tc>
        <w:tc>
          <w:tcPr>
            <w:tcW w:w="459" w:type="pct"/>
            <w:hideMark/>
          </w:tcPr>
          <w:p w14:paraId="59A45626" w14:textId="77777777" w:rsidR="00EC74E8" w:rsidRPr="001D44FC" w:rsidRDefault="00EC74E8" w:rsidP="00665AD7">
            <w:pPr>
              <w:spacing w:line="480" w:lineRule="auto"/>
              <w:jc w:val="center"/>
              <w:rPr>
                <w:rFonts w:asciiTheme="majorBidi" w:eastAsia="Times New Roman" w:hAnsiTheme="majorBidi" w:cstheme="majorBidi"/>
                <w:sz w:val="24"/>
                <w:szCs w:val="24"/>
              </w:rPr>
            </w:pPr>
            <w:r w:rsidRPr="001D44FC">
              <w:rPr>
                <w:rFonts w:asciiTheme="majorBidi" w:eastAsia="Times New Roman" w:hAnsiTheme="majorBidi" w:cstheme="majorBidi"/>
                <w:sz w:val="24"/>
                <w:szCs w:val="24"/>
              </w:rPr>
              <w:t>1.089</w:t>
            </w:r>
          </w:p>
        </w:tc>
        <w:tc>
          <w:tcPr>
            <w:tcW w:w="448" w:type="pct"/>
            <w:hideMark/>
          </w:tcPr>
          <w:p w14:paraId="1089C467" w14:textId="77777777" w:rsidR="00EC74E8" w:rsidRPr="001D44FC" w:rsidRDefault="00EC74E8" w:rsidP="00665AD7">
            <w:pPr>
              <w:spacing w:line="480" w:lineRule="auto"/>
              <w:jc w:val="center"/>
              <w:rPr>
                <w:rFonts w:asciiTheme="majorBidi" w:eastAsia="Times New Roman" w:hAnsiTheme="majorBidi" w:cstheme="majorBidi"/>
                <w:sz w:val="24"/>
                <w:szCs w:val="24"/>
              </w:rPr>
            </w:pPr>
            <w:r w:rsidRPr="001D44FC">
              <w:rPr>
                <w:rFonts w:asciiTheme="majorBidi" w:eastAsia="Times New Roman" w:hAnsiTheme="majorBidi" w:cstheme="majorBidi"/>
                <w:sz w:val="24"/>
                <w:szCs w:val="24"/>
              </w:rPr>
              <w:t>0.277</w:t>
            </w:r>
          </w:p>
        </w:tc>
      </w:tr>
      <w:tr w:rsidR="004A617A" w:rsidRPr="006B3495" w14:paraId="02CBF75A" w14:textId="77777777" w:rsidTr="00212183">
        <w:trPr>
          <w:trHeight w:val="202"/>
        </w:trPr>
        <w:tc>
          <w:tcPr>
            <w:tcW w:w="1819" w:type="pct"/>
            <w:hideMark/>
          </w:tcPr>
          <w:p w14:paraId="0FBCBC15" w14:textId="21A12721" w:rsidR="00EC74E8" w:rsidRPr="006B3495" w:rsidRDefault="000D3326" w:rsidP="00665AD7">
            <w:pPr>
              <w:spacing w:line="480" w:lineRule="auto"/>
              <w:rPr>
                <w:rFonts w:asciiTheme="majorBidi" w:hAnsiTheme="majorBidi" w:cstheme="majorBidi"/>
                <w:sz w:val="24"/>
                <w:szCs w:val="24"/>
              </w:rPr>
            </w:pPr>
            <w:r w:rsidRPr="006B3495">
              <w:rPr>
                <w:rFonts w:asciiTheme="majorBidi" w:hAnsiTheme="majorBidi" w:cstheme="majorBidi"/>
                <w:sz w:val="24"/>
                <w:szCs w:val="24"/>
              </w:rPr>
              <w:lastRenderedPageBreak/>
              <w:t xml:space="preserve">Systolic </w:t>
            </w:r>
            <w:r w:rsidR="00993ACB" w:rsidRPr="006B3495">
              <w:rPr>
                <w:rFonts w:asciiTheme="majorBidi" w:hAnsiTheme="majorBidi" w:cstheme="majorBidi"/>
                <w:sz w:val="24"/>
                <w:szCs w:val="24"/>
              </w:rPr>
              <w:t>Blood Pressure</w:t>
            </w:r>
            <w:r w:rsidRPr="006B3495">
              <w:rPr>
                <w:rFonts w:asciiTheme="majorBidi" w:hAnsiTheme="majorBidi" w:cstheme="majorBidi"/>
                <w:sz w:val="24"/>
                <w:szCs w:val="24"/>
              </w:rPr>
              <w:t xml:space="preserve"> </w:t>
            </w:r>
            <w:r>
              <w:rPr>
                <w:rFonts w:asciiTheme="majorBidi" w:hAnsiTheme="majorBidi" w:cstheme="majorBidi"/>
                <w:sz w:val="24"/>
                <w:szCs w:val="24"/>
              </w:rPr>
              <w:t>(S</w:t>
            </w:r>
            <w:r w:rsidRPr="006B3495">
              <w:rPr>
                <w:rFonts w:asciiTheme="majorBidi" w:hAnsiTheme="majorBidi" w:cstheme="majorBidi"/>
                <w:sz w:val="24"/>
                <w:szCs w:val="24"/>
              </w:rPr>
              <w:t>B</w:t>
            </w:r>
            <w:r w:rsidRPr="00ED1CA7">
              <w:rPr>
                <w:rFonts w:asciiTheme="majorBidi" w:hAnsiTheme="majorBidi" w:cstheme="majorBidi"/>
                <w:sz w:val="24"/>
                <w:szCs w:val="24"/>
              </w:rPr>
              <w:t>P)</w:t>
            </w:r>
            <w:r w:rsidR="00EC74E8" w:rsidRPr="00ED1CA7">
              <w:rPr>
                <w:rFonts w:asciiTheme="majorBidi" w:hAnsiTheme="majorBidi" w:cstheme="majorBidi"/>
                <w:sz w:val="24"/>
                <w:szCs w:val="24"/>
              </w:rPr>
              <w:t xml:space="preserve"> on admission</w:t>
            </w:r>
            <w:r w:rsidR="00EC74E8" w:rsidRPr="006B3495">
              <w:rPr>
                <w:rFonts w:asciiTheme="majorBidi" w:hAnsiTheme="majorBidi" w:cstheme="majorBidi"/>
                <w:sz w:val="24"/>
                <w:szCs w:val="24"/>
              </w:rPr>
              <w:t xml:space="preserve"> (mmHg)</w:t>
            </w:r>
          </w:p>
        </w:tc>
        <w:tc>
          <w:tcPr>
            <w:tcW w:w="800" w:type="pct"/>
            <w:hideMark/>
          </w:tcPr>
          <w:p w14:paraId="568825A1"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131.07±19.71</w:t>
            </w:r>
          </w:p>
        </w:tc>
        <w:tc>
          <w:tcPr>
            <w:tcW w:w="737" w:type="pct"/>
            <w:hideMark/>
          </w:tcPr>
          <w:p w14:paraId="40186D93"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128.92±20.18</w:t>
            </w:r>
          </w:p>
        </w:tc>
        <w:tc>
          <w:tcPr>
            <w:tcW w:w="737" w:type="pct"/>
            <w:hideMark/>
          </w:tcPr>
          <w:p w14:paraId="04308350"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133.23±19.07</w:t>
            </w:r>
          </w:p>
        </w:tc>
        <w:tc>
          <w:tcPr>
            <w:tcW w:w="459" w:type="pct"/>
            <w:hideMark/>
          </w:tcPr>
          <w:p w14:paraId="542A3E8C"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-1.700</w:t>
            </w:r>
          </w:p>
        </w:tc>
        <w:tc>
          <w:tcPr>
            <w:tcW w:w="448" w:type="pct"/>
            <w:hideMark/>
          </w:tcPr>
          <w:p w14:paraId="73AE5A52"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0.091</w:t>
            </w:r>
          </w:p>
        </w:tc>
      </w:tr>
      <w:tr w:rsidR="004A617A" w:rsidRPr="006B3495" w14:paraId="62E0CA56" w14:textId="77777777" w:rsidTr="00212183">
        <w:trPr>
          <w:trHeight w:val="202"/>
        </w:trPr>
        <w:tc>
          <w:tcPr>
            <w:tcW w:w="1819" w:type="pct"/>
            <w:hideMark/>
          </w:tcPr>
          <w:p w14:paraId="65DCD909" w14:textId="29473B70" w:rsidR="00EC74E8" w:rsidRPr="006B3495" w:rsidRDefault="00EC74E8" w:rsidP="00665AD7">
            <w:pPr>
              <w:spacing w:line="480" w:lineRule="auto"/>
              <w:rPr>
                <w:rFonts w:asciiTheme="majorBidi" w:hAnsiTheme="majorBidi" w:cstheme="majorBidi"/>
                <w:sz w:val="24"/>
                <w:szCs w:val="24"/>
              </w:rPr>
            </w:pPr>
            <w:r w:rsidRPr="006B3495">
              <w:rPr>
                <w:rFonts w:asciiTheme="majorBidi" w:hAnsiTheme="majorBidi" w:cstheme="majorBidi"/>
                <w:sz w:val="24"/>
                <w:szCs w:val="24"/>
              </w:rPr>
              <w:t xml:space="preserve">Diastolic </w:t>
            </w:r>
            <w:r w:rsidR="00993ACB" w:rsidRPr="006B3495">
              <w:rPr>
                <w:rFonts w:asciiTheme="majorBidi" w:hAnsiTheme="majorBidi" w:cstheme="majorBidi"/>
                <w:sz w:val="24"/>
                <w:szCs w:val="24"/>
              </w:rPr>
              <w:t xml:space="preserve">Blood Pressure </w:t>
            </w:r>
            <w:r w:rsidR="000D3326">
              <w:rPr>
                <w:rFonts w:asciiTheme="majorBidi" w:hAnsiTheme="majorBidi" w:cstheme="majorBidi"/>
                <w:sz w:val="24"/>
                <w:szCs w:val="24"/>
              </w:rPr>
              <w:t>(D</w:t>
            </w:r>
            <w:r w:rsidR="000D3326" w:rsidRPr="006B3495">
              <w:rPr>
                <w:rFonts w:asciiTheme="majorBidi" w:hAnsiTheme="majorBidi" w:cstheme="majorBidi"/>
                <w:sz w:val="24"/>
                <w:szCs w:val="24"/>
              </w:rPr>
              <w:t>BP</w:t>
            </w:r>
            <w:r w:rsidR="000D3326">
              <w:rPr>
                <w:rFonts w:asciiTheme="majorBidi" w:hAnsiTheme="majorBidi" w:cstheme="majorBidi"/>
                <w:sz w:val="24"/>
                <w:szCs w:val="24"/>
              </w:rPr>
              <w:t xml:space="preserve">) </w:t>
            </w:r>
            <w:r w:rsidRPr="006B3495">
              <w:rPr>
                <w:rFonts w:asciiTheme="majorBidi" w:hAnsiTheme="majorBidi" w:cstheme="majorBidi"/>
                <w:sz w:val="24"/>
                <w:szCs w:val="24"/>
              </w:rPr>
              <w:t>on admission (mmHg)</w:t>
            </w:r>
          </w:p>
        </w:tc>
        <w:tc>
          <w:tcPr>
            <w:tcW w:w="800" w:type="pct"/>
            <w:hideMark/>
          </w:tcPr>
          <w:p w14:paraId="647F27F4"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74.62±15.15</w:t>
            </w:r>
          </w:p>
        </w:tc>
        <w:tc>
          <w:tcPr>
            <w:tcW w:w="737" w:type="pct"/>
            <w:hideMark/>
          </w:tcPr>
          <w:p w14:paraId="7D2CABE1"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77.89±15.74</w:t>
            </w:r>
          </w:p>
        </w:tc>
        <w:tc>
          <w:tcPr>
            <w:tcW w:w="737" w:type="pct"/>
            <w:hideMark/>
          </w:tcPr>
          <w:p w14:paraId="35CADAB0"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71.34±13.84</w:t>
            </w:r>
          </w:p>
        </w:tc>
        <w:tc>
          <w:tcPr>
            <w:tcW w:w="459" w:type="pct"/>
            <w:hideMark/>
          </w:tcPr>
          <w:p w14:paraId="423466D5"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3.423</w:t>
            </w:r>
          </w:p>
        </w:tc>
        <w:tc>
          <w:tcPr>
            <w:tcW w:w="448" w:type="pct"/>
            <w:hideMark/>
          </w:tcPr>
          <w:p w14:paraId="6F59CB7F"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0.001*</w:t>
            </w:r>
          </w:p>
        </w:tc>
      </w:tr>
      <w:tr w:rsidR="004A617A" w:rsidRPr="006B3495" w14:paraId="23EC25A0" w14:textId="77777777" w:rsidTr="00212183">
        <w:trPr>
          <w:trHeight w:val="202"/>
        </w:trPr>
        <w:tc>
          <w:tcPr>
            <w:tcW w:w="1819" w:type="pct"/>
            <w:hideMark/>
          </w:tcPr>
          <w:p w14:paraId="64BF212D" w14:textId="77777777" w:rsidR="00EC74E8" w:rsidRPr="006B3495" w:rsidRDefault="00EC74E8" w:rsidP="00665AD7">
            <w:pPr>
              <w:spacing w:line="480" w:lineRule="auto"/>
              <w:rPr>
                <w:rFonts w:asciiTheme="majorBidi" w:hAnsiTheme="majorBidi" w:cstheme="majorBidi"/>
                <w:sz w:val="24"/>
                <w:szCs w:val="24"/>
              </w:rPr>
            </w:pPr>
            <w:r w:rsidRPr="006B3495">
              <w:rPr>
                <w:rFonts w:asciiTheme="majorBidi" w:hAnsiTheme="majorBidi" w:cstheme="majorBidi"/>
                <w:sz w:val="24"/>
                <w:szCs w:val="24"/>
              </w:rPr>
              <w:t>Estimated glomerular filtration rate on admission (eGFR) (ml/kg/min)</w:t>
            </w:r>
          </w:p>
        </w:tc>
        <w:tc>
          <w:tcPr>
            <w:tcW w:w="800" w:type="pct"/>
            <w:hideMark/>
          </w:tcPr>
          <w:p w14:paraId="1368B6AF"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100.79±10.26</w:t>
            </w:r>
          </w:p>
        </w:tc>
        <w:tc>
          <w:tcPr>
            <w:tcW w:w="737" w:type="pct"/>
            <w:hideMark/>
          </w:tcPr>
          <w:p w14:paraId="33350A4D"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101.41±10.35</w:t>
            </w:r>
          </w:p>
        </w:tc>
        <w:tc>
          <w:tcPr>
            <w:tcW w:w="737" w:type="pct"/>
            <w:hideMark/>
          </w:tcPr>
          <w:p w14:paraId="14D904B1" w14:textId="77777777" w:rsidR="00EC74E8" w:rsidRPr="006B3495" w:rsidRDefault="00EC74E8" w:rsidP="00665AD7">
            <w:pPr>
              <w:spacing w:line="480" w:lineRule="auto"/>
              <w:jc w:val="center"/>
              <w:rPr>
                <w:rFonts w:asciiTheme="majorBidi" w:eastAsia="Times New Roman" w:hAnsiTheme="majorBidi" w:cstheme="majorBidi"/>
                <w:sz w:val="24"/>
                <w:szCs w:val="24"/>
                <w:rtl/>
              </w:rPr>
            </w:pPr>
            <w:r w:rsidRPr="006B3495">
              <w:rPr>
                <w:rFonts w:asciiTheme="majorBidi" w:eastAsia="Times New Roman" w:hAnsiTheme="majorBidi" w:cstheme="majorBidi"/>
                <w:sz w:val="24"/>
                <w:szCs w:val="24"/>
              </w:rPr>
              <w:t>94±6.93</w:t>
            </w:r>
          </w:p>
        </w:tc>
        <w:tc>
          <w:tcPr>
            <w:tcW w:w="459" w:type="pct"/>
            <w:hideMark/>
          </w:tcPr>
          <w:p w14:paraId="6495B02C"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1.397</w:t>
            </w:r>
          </w:p>
        </w:tc>
        <w:tc>
          <w:tcPr>
            <w:tcW w:w="448" w:type="pct"/>
            <w:hideMark/>
          </w:tcPr>
          <w:p w14:paraId="5D9478D3"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0.169</w:t>
            </w:r>
          </w:p>
        </w:tc>
      </w:tr>
      <w:tr w:rsidR="00EC74E8" w:rsidRPr="006B3495" w14:paraId="41A8E622" w14:textId="77777777" w:rsidTr="00212183">
        <w:trPr>
          <w:trHeight w:val="202"/>
        </w:trPr>
        <w:tc>
          <w:tcPr>
            <w:tcW w:w="1819" w:type="pct"/>
            <w:hideMark/>
          </w:tcPr>
          <w:p w14:paraId="356C1EFA" w14:textId="77777777" w:rsidR="00EC74E8" w:rsidRPr="006B3495" w:rsidRDefault="00EC74E8" w:rsidP="00665AD7">
            <w:pPr>
              <w:spacing w:line="480" w:lineRule="auto"/>
              <w:rPr>
                <w:rFonts w:asciiTheme="majorBidi" w:hAnsiTheme="majorBidi" w:cstheme="majorBidi"/>
                <w:sz w:val="24"/>
                <w:szCs w:val="24"/>
              </w:rPr>
            </w:pPr>
            <w:r w:rsidRPr="006B3495">
              <w:rPr>
                <w:rFonts w:asciiTheme="majorBidi" w:hAnsiTheme="majorBidi" w:cstheme="majorBidi"/>
                <w:sz w:val="24"/>
                <w:szCs w:val="24"/>
              </w:rPr>
              <w:t>Hemoglobin on admission (g/dl)</w:t>
            </w:r>
          </w:p>
        </w:tc>
        <w:tc>
          <w:tcPr>
            <w:tcW w:w="800" w:type="pct"/>
            <w:hideMark/>
          </w:tcPr>
          <w:p w14:paraId="0FED2AF9"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13.92±8.06</w:t>
            </w:r>
          </w:p>
        </w:tc>
        <w:tc>
          <w:tcPr>
            <w:tcW w:w="737" w:type="pct"/>
            <w:hideMark/>
          </w:tcPr>
          <w:p w14:paraId="1896573E"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14.87±11.16</w:t>
            </w:r>
          </w:p>
        </w:tc>
        <w:tc>
          <w:tcPr>
            <w:tcW w:w="737" w:type="pct"/>
            <w:hideMark/>
          </w:tcPr>
          <w:p w14:paraId="5A9DB59F"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12.98±2.02</w:t>
            </w:r>
          </w:p>
        </w:tc>
        <w:tc>
          <w:tcPr>
            <w:tcW w:w="459" w:type="pct"/>
            <w:hideMark/>
          </w:tcPr>
          <w:p w14:paraId="6F4D7544"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1.823</w:t>
            </w:r>
          </w:p>
        </w:tc>
        <w:tc>
          <w:tcPr>
            <w:tcW w:w="448" w:type="pct"/>
            <w:hideMark/>
          </w:tcPr>
          <w:p w14:paraId="0998B01C" w14:textId="77777777" w:rsidR="00EC74E8" w:rsidRPr="006B3495" w:rsidRDefault="00EC74E8" w:rsidP="00665AD7">
            <w:pPr>
              <w:spacing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0.070</w:t>
            </w:r>
          </w:p>
        </w:tc>
      </w:tr>
      <w:bookmarkEnd w:id="90"/>
    </w:tbl>
    <w:p w14:paraId="07917687" w14:textId="77777777" w:rsidR="00EC74E8" w:rsidRPr="006B3495" w:rsidRDefault="00EC74E8" w:rsidP="00665AD7">
      <w:pPr>
        <w:spacing w:line="480" w:lineRule="auto"/>
      </w:pPr>
    </w:p>
    <w:p w14:paraId="727CDA27" w14:textId="77777777" w:rsidR="00EC74E8" w:rsidRPr="006B3495" w:rsidRDefault="00EC74E8" w:rsidP="00A11B6B">
      <w:pPr>
        <w:pStyle w:val="a"/>
        <w:numPr>
          <w:ilvl w:val="1"/>
          <w:numId w:val="1"/>
        </w:numPr>
      </w:pPr>
      <w:bookmarkStart w:id="91" w:name="_Toc212871535"/>
      <w:r w:rsidRPr="006B3495">
        <w:t>Distribution of participants according to complications</w:t>
      </w:r>
      <w:r w:rsidRPr="006B3495">
        <w:rPr>
          <w:rFonts w:hint="cs"/>
          <w:rtl/>
        </w:rPr>
        <w:t xml:space="preserve"> </w:t>
      </w:r>
      <w:r w:rsidRPr="006B3495">
        <w:t>after the procedure.</w:t>
      </w:r>
      <w:bookmarkEnd w:id="91"/>
    </w:p>
    <w:bookmarkEnd w:id="87"/>
    <w:p w14:paraId="3ACA0474" w14:textId="0FAFE352" w:rsidR="00EC74E8" w:rsidRPr="006B3495" w:rsidRDefault="00EC74E8" w:rsidP="00C51208">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Table 5 illustrates the distribution of participants according to complications</w:t>
      </w:r>
      <w:r w:rsidRPr="006B3495">
        <w:t xml:space="preserve"> </w:t>
      </w:r>
      <w:r w:rsidRPr="006B3495">
        <w:rPr>
          <w:rFonts w:asciiTheme="majorBidi" w:hAnsiTheme="majorBidi" w:cstheme="majorBidi"/>
          <w:sz w:val="24"/>
          <w:szCs w:val="24"/>
        </w:rPr>
        <w:t xml:space="preserve">after the procedure. The results indicate the highest complications were access site pain (56.7%) followed by patient discomfort (34.2%), </w:t>
      </w:r>
      <w:r w:rsidR="00ED1CA7">
        <w:rPr>
          <w:rFonts w:asciiTheme="majorBidi" w:hAnsiTheme="majorBidi" w:cstheme="majorBidi"/>
          <w:sz w:val="24"/>
          <w:szCs w:val="24"/>
        </w:rPr>
        <w:t>n</w:t>
      </w:r>
      <w:r w:rsidRPr="006B3495">
        <w:rPr>
          <w:rFonts w:asciiTheme="majorBidi" w:hAnsiTheme="majorBidi" w:cstheme="majorBidi"/>
          <w:sz w:val="24"/>
          <w:szCs w:val="24"/>
        </w:rPr>
        <w:t xml:space="preserve">umbness (30.8%), oozing (17.9%), hematoma (12.5%), spasms (12.1%), arterial occlusion (11.3%), soreness (10.4%), adjacent nerve injury or the need for vascular surgical repair (9.2%), infection (9.2%), bleeding (8.8%), compartment syndrome (7.5%), leg ischemia (7.1%), </w:t>
      </w:r>
      <w:r w:rsidR="00806212" w:rsidRPr="00806212">
        <w:rPr>
          <w:rFonts w:asciiTheme="majorBidi" w:hAnsiTheme="majorBidi" w:cstheme="majorBidi"/>
          <w:sz w:val="24"/>
          <w:szCs w:val="24"/>
        </w:rPr>
        <w:t>arteriovenous fistula</w:t>
      </w:r>
      <w:r w:rsidRPr="006B3495">
        <w:rPr>
          <w:rFonts w:asciiTheme="majorBidi" w:hAnsiTheme="majorBidi" w:cstheme="majorBidi"/>
          <w:sz w:val="24"/>
          <w:szCs w:val="24"/>
        </w:rPr>
        <w:t xml:space="preserve"> (5.8%), pseudoaneurysm (5%)</w:t>
      </w:r>
      <w:r w:rsidR="00C51208" w:rsidRPr="006B3495">
        <w:rPr>
          <w:rFonts w:asciiTheme="majorBidi" w:hAnsiTheme="majorBidi" w:cstheme="majorBidi"/>
          <w:sz w:val="24"/>
          <w:szCs w:val="24"/>
        </w:rPr>
        <w:t>,</w:t>
      </w:r>
      <w:r w:rsidRPr="006B3495">
        <w:rPr>
          <w:rFonts w:asciiTheme="majorBidi" w:hAnsiTheme="majorBidi" w:cstheme="majorBidi"/>
          <w:sz w:val="24"/>
          <w:szCs w:val="24"/>
        </w:rPr>
        <w:t xml:space="preserve"> finally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00C51208" w:rsidRPr="006B3495">
        <w:rPr>
          <w:rFonts w:asciiTheme="majorBidi" w:hAnsiTheme="majorBidi" w:cstheme="majorBidi"/>
          <w:sz w:val="24"/>
          <w:szCs w:val="24"/>
        </w:rPr>
        <w:t xml:space="preserve">that the </w:t>
      </w:r>
      <w:r w:rsidR="007F19D0">
        <w:rPr>
          <w:rFonts w:asciiTheme="majorBidi" w:hAnsiTheme="majorBidi" w:cstheme="majorBidi"/>
          <w:sz w:val="24"/>
          <w:szCs w:val="24"/>
        </w:rPr>
        <w:t xml:space="preserve">upper </w:t>
      </w:r>
      <w:r w:rsidRPr="006B3495">
        <w:rPr>
          <w:rFonts w:asciiTheme="majorBidi" w:hAnsiTheme="majorBidi" w:cstheme="majorBidi"/>
          <w:sz w:val="24"/>
          <w:szCs w:val="24"/>
        </w:rPr>
        <w:t xml:space="preserve">limb ischemia </w:t>
      </w:r>
      <w:r w:rsidR="00C51208" w:rsidRPr="006B3495">
        <w:rPr>
          <w:rFonts w:asciiTheme="majorBidi" w:hAnsiTheme="majorBidi" w:cstheme="majorBidi"/>
          <w:sz w:val="24"/>
          <w:szCs w:val="24"/>
        </w:rPr>
        <w:t xml:space="preserve">is </w:t>
      </w:r>
      <w:r w:rsidRPr="006B3495">
        <w:rPr>
          <w:rFonts w:asciiTheme="majorBidi" w:hAnsiTheme="majorBidi" w:cstheme="majorBidi"/>
          <w:sz w:val="24"/>
          <w:szCs w:val="24"/>
        </w:rPr>
        <w:t>(1.3%)</w:t>
      </w:r>
      <w:r w:rsidR="00C51208" w:rsidRPr="006B3495">
        <w:rPr>
          <w:rFonts w:asciiTheme="majorBidi" w:hAnsiTheme="majorBidi" w:cstheme="majorBidi"/>
          <w:sz w:val="24"/>
          <w:szCs w:val="24"/>
        </w:rPr>
        <w:t xml:space="preserve"> (0% among </w:t>
      </w:r>
      <w:r w:rsidRPr="006B3495">
        <w:rPr>
          <w:rFonts w:asciiTheme="majorBidi" w:hAnsiTheme="majorBidi" w:cstheme="majorBidi"/>
          <w:sz w:val="24"/>
          <w:szCs w:val="24"/>
        </w:rPr>
        <w:t xml:space="preserve">TFA with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compared to the </w:t>
      </w:r>
      <w:r w:rsidR="00C51208" w:rsidRPr="006B3495">
        <w:rPr>
          <w:rFonts w:asciiTheme="majorBidi" w:hAnsiTheme="majorBidi" w:cstheme="majorBidi"/>
          <w:sz w:val="24"/>
          <w:szCs w:val="24"/>
        </w:rPr>
        <w:t xml:space="preserve">2.5% among </w:t>
      </w:r>
      <w:r w:rsidRPr="006B3495">
        <w:rPr>
          <w:rFonts w:asciiTheme="majorBidi" w:hAnsiTheme="majorBidi" w:cstheme="majorBidi"/>
          <w:sz w:val="24"/>
          <w:szCs w:val="24"/>
        </w:rPr>
        <w:t>TRA group</w:t>
      </w:r>
      <w:r w:rsidR="00C51208" w:rsidRPr="006B3495">
        <w:rPr>
          <w:rFonts w:asciiTheme="majorBidi" w:hAnsiTheme="majorBidi" w:cstheme="majorBidi"/>
          <w:sz w:val="24"/>
          <w:szCs w:val="24"/>
        </w:rPr>
        <w:t>)</w:t>
      </w:r>
      <w:r w:rsidRPr="006B3495">
        <w:rPr>
          <w:rFonts w:asciiTheme="majorBidi" w:hAnsiTheme="majorBidi" w:cstheme="majorBidi"/>
          <w:sz w:val="24"/>
          <w:szCs w:val="24"/>
        </w:rPr>
        <w:t>. The results indicate that the two gro</w:t>
      </w:r>
      <w:r w:rsidRPr="006B3495">
        <w:rPr>
          <w:rFonts w:asciiTheme="majorBidi" w:hAnsiTheme="majorBidi" w:cstheme="majorBidi"/>
          <w:sz w:val="24"/>
          <w:szCs w:val="24"/>
          <w:highlight w:val="yellow"/>
        </w:rPr>
        <w:t>ups' access site pain 55% vs. 58.3%, respecti</w:t>
      </w:r>
      <w:r w:rsidRPr="006B3495">
        <w:rPr>
          <w:rFonts w:asciiTheme="majorBidi" w:hAnsiTheme="majorBidi" w:cstheme="majorBidi"/>
          <w:sz w:val="24"/>
          <w:szCs w:val="24"/>
        </w:rPr>
        <w:t>vely (P</w:t>
      </w:r>
      <w:r w:rsidR="005A5EC6" w:rsidRPr="006B3495">
        <w:rPr>
          <w:rFonts w:asciiTheme="majorBidi" w:hAnsiTheme="majorBidi" w:cstheme="majorBidi"/>
          <w:sz w:val="24"/>
          <w:szCs w:val="24"/>
        </w:rPr>
        <w:t>=</w:t>
      </w:r>
      <w:r w:rsidR="005A5EC6" w:rsidRPr="006B3495">
        <w:rPr>
          <w:rFonts w:asciiTheme="majorBidi" w:eastAsia="Times New Roman" w:hAnsiTheme="majorBidi" w:cstheme="majorBidi"/>
          <w:sz w:val="24"/>
          <w:szCs w:val="24"/>
          <w:lang w:eastAsia="en-GB"/>
        </w:rPr>
        <w:t>0.602</w:t>
      </w:r>
      <w:r w:rsidR="005A5EC6" w:rsidRPr="006B3495">
        <w:rPr>
          <w:rFonts w:asciiTheme="majorBidi" w:hAnsiTheme="majorBidi" w:cstheme="majorBidi"/>
          <w:sz w:val="24"/>
          <w:szCs w:val="24"/>
        </w:rPr>
        <w:t>)</w:t>
      </w:r>
      <w:r w:rsidRPr="006B3495">
        <w:rPr>
          <w:rFonts w:asciiTheme="majorBidi" w:hAnsiTheme="majorBidi" w:cstheme="majorBidi"/>
          <w:sz w:val="24"/>
          <w:szCs w:val="24"/>
        </w:rPr>
        <w:t xml:space="preserve">.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that statistically significant in complications among TFA with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compared to the TRA group for </w:t>
      </w:r>
      <w:r w:rsidR="00ED1CA7" w:rsidRPr="006B3495">
        <w:rPr>
          <w:rFonts w:asciiTheme="majorBidi" w:hAnsiTheme="majorBidi" w:cstheme="majorBidi"/>
          <w:sz w:val="24"/>
          <w:szCs w:val="24"/>
        </w:rPr>
        <w:t xml:space="preserve">numbness (37.5% vs. 24.2%, p= 0.025*), soreness (15.8% vs. 5%, p= 0.006*), arterial occlusion (16.7% vs. 5.8%, p= 0.008*), bleeding (10.8% vs. 6.7%, p= 0.253), </w:t>
      </w:r>
      <w:r w:rsidR="00ED1CA7" w:rsidRPr="00806212">
        <w:rPr>
          <w:rFonts w:asciiTheme="majorBidi" w:hAnsiTheme="majorBidi" w:cstheme="majorBidi"/>
          <w:sz w:val="24"/>
          <w:szCs w:val="24"/>
        </w:rPr>
        <w:t>arteriovenous fistula</w:t>
      </w:r>
      <w:r w:rsidR="00ED1CA7" w:rsidRPr="006B3495">
        <w:rPr>
          <w:rFonts w:asciiTheme="majorBidi" w:hAnsiTheme="majorBidi" w:cstheme="majorBidi"/>
          <w:sz w:val="24"/>
          <w:szCs w:val="24"/>
        </w:rPr>
        <w:t xml:space="preserve"> (10.8% vs. 0.8%, p= 0.001*), </w:t>
      </w:r>
      <w:r w:rsidR="00ED1CA7" w:rsidRPr="006B3495">
        <w:rPr>
          <w:rFonts w:asciiTheme="majorBidi" w:hAnsiTheme="majorBidi" w:cstheme="majorBidi"/>
          <w:sz w:val="24"/>
          <w:szCs w:val="24"/>
        </w:rPr>
        <w:lastRenderedPageBreak/>
        <w:t xml:space="preserve">compartment syndrome (15% vs. 0%, p= 0.000*), access site infection (15.8% vs. 2.5%, p= 0.000*), leg ischemia (14.2% vs. 0%, p= 0.000*), pseudoaneurysm </w:t>
      </w:r>
      <w:r w:rsidRPr="006B3495">
        <w:rPr>
          <w:rFonts w:asciiTheme="majorBidi" w:hAnsiTheme="majorBidi" w:cstheme="majorBidi"/>
          <w:sz w:val="24"/>
          <w:szCs w:val="24"/>
        </w:rPr>
        <w:t xml:space="preserve">(10% vs. 0%, P= 0.000*), respectively. In contrast, the results </w:t>
      </w:r>
      <w:r w:rsidR="00A27220" w:rsidRPr="006B3495">
        <w:rPr>
          <w:rFonts w:asciiTheme="majorBidi" w:hAnsiTheme="majorBidi" w:cstheme="majorBidi"/>
          <w:sz w:val="24"/>
          <w:szCs w:val="24"/>
        </w:rPr>
        <w:t>show</w:t>
      </w:r>
      <w:r w:rsidR="00A27220">
        <w:rPr>
          <w:rFonts w:asciiTheme="majorBidi" w:hAnsiTheme="majorBidi" w:cstheme="majorBidi"/>
          <w:sz w:val="24"/>
          <w:szCs w:val="24"/>
        </w:rPr>
        <w:t>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the lowest statistically significant complications among TFA with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compared to the TRA group for </w:t>
      </w:r>
      <w:r w:rsidR="005B0009" w:rsidRPr="006B3495">
        <w:rPr>
          <w:rFonts w:asciiTheme="majorBidi" w:hAnsiTheme="majorBidi" w:cstheme="majorBidi"/>
          <w:sz w:val="24"/>
          <w:szCs w:val="24"/>
        </w:rPr>
        <w:t>patient</w:t>
      </w:r>
      <w:r w:rsidRPr="006B3495">
        <w:rPr>
          <w:rFonts w:asciiTheme="majorBidi" w:hAnsiTheme="majorBidi" w:cstheme="majorBidi"/>
          <w:sz w:val="24"/>
          <w:szCs w:val="24"/>
        </w:rPr>
        <w:t xml:space="preserve"> discomfort (26.7% vs. 41.7%, P= 0.014*).</w:t>
      </w:r>
    </w:p>
    <w:p w14:paraId="73199A66" w14:textId="04386FAA"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Finally,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no statistically significant different among TFA with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compared to the TRA group for </w:t>
      </w:r>
      <w:r w:rsidR="00ED1CA7">
        <w:rPr>
          <w:rFonts w:asciiTheme="majorBidi" w:hAnsiTheme="majorBidi" w:cstheme="majorBidi"/>
          <w:sz w:val="24"/>
          <w:szCs w:val="24"/>
        </w:rPr>
        <w:t>a</w:t>
      </w:r>
      <w:r w:rsidRPr="006B3495">
        <w:rPr>
          <w:rFonts w:asciiTheme="majorBidi" w:hAnsiTheme="majorBidi" w:cstheme="majorBidi"/>
          <w:sz w:val="24"/>
          <w:szCs w:val="24"/>
        </w:rPr>
        <w:t xml:space="preserve">ccess site pain (55% vs. 58.3%, P= 0.602), </w:t>
      </w:r>
      <w:r w:rsidR="004A617A" w:rsidRPr="006B3495">
        <w:rPr>
          <w:rFonts w:asciiTheme="majorBidi" w:hAnsiTheme="majorBidi" w:cstheme="majorBidi"/>
          <w:sz w:val="24"/>
          <w:szCs w:val="24"/>
        </w:rPr>
        <w:t>o</w:t>
      </w:r>
      <w:r w:rsidRPr="006B3495">
        <w:rPr>
          <w:rFonts w:asciiTheme="majorBidi" w:hAnsiTheme="majorBidi" w:cstheme="majorBidi"/>
          <w:sz w:val="24"/>
          <w:szCs w:val="24"/>
        </w:rPr>
        <w:t xml:space="preserve">ozing (18.3% vs. 17.5%, P= 0.866), </w:t>
      </w:r>
      <w:r w:rsidR="004A617A" w:rsidRPr="006B3495">
        <w:rPr>
          <w:rFonts w:asciiTheme="majorBidi" w:hAnsiTheme="majorBidi" w:cstheme="majorBidi"/>
          <w:sz w:val="24"/>
          <w:szCs w:val="24"/>
        </w:rPr>
        <w:t>s</w:t>
      </w:r>
      <w:r w:rsidRPr="006B3495">
        <w:rPr>
          <w:rFonts w:asciiTheme="majorBidi" w:hAnsiTheme="majorBidi" w:cstheme="majorBidi"/>
          <w:sz w:val="24"/>
          <w:szCs w:val="24"/>
        </w:rPr>
        <w:t xml:space="preserve">pasms (15% vs. 9.2%, P= 0.165), </w:t>
      </w:r>
      <w:r w:rsidR="004A617A" w:rsidRPr="006B3495">
        <w:rPr>
          <w:rFonts w:asciiTheme="majorBidi" w:hAnsiTheme="majorBidi" w:cstheme="majorBidi"/>
          <w:sz w:val="24"/>
          <w:szCs w:val="24"/>
        </w:rPr>
        <w:t>h</w:t>
      </w:r>
      <w:r w:rsidRPr="006B3495">
        <w:rPr>
          <w:rFonts w:asciiTheme="majorBidi" w:hAnsiTheme="majorBidi" w:cstheme="majorBidi"/>
          <w:sz w:val="24"/>
          <w:szCs w:val="24"/>
        </w:rPr>
        <w:t xml:space="preserve">ematoma (14.2% vs. 10.8%, P= 0.434), </w:t>
      </w:r>
      <w:r w:rsidR="004A617A" w:rsidRPr="006B3495">
        <w:rPr>
          <w:rFonts w:asciiTheme="majorBidi" w:hAnsiTheme="majorBidi" w:cstheme="majorBidi"/>
          <w:sz w:val="24"/>
          <w:szCs w:val="24"/>
        </w:rPr>
        <w:t>a</w:t>
      </w:r>
      <w:r w:rsidRPr="006B3495">
        <w:rPr>
          <w:rFonts w:asciiTheme="majorBidi" w:hAnsiTheme="majorBidi" w:cstheme="majorBidi"/>
          <w:sz w:val="24"/>
          <w:szCs w:val="24"/>
        </w:rPr>
        <w:t xml:space="preserve">djacent nerve injury or the need for vascular surgical repair (12.5% vs. 5.8%, P= 0.073), </w:t>
      </w:r>
      <w:r w:rsidR="00B80E02">
        <w:rPr>
          <w:rFonts w:asciiTheme="majorBidi" w:hAnsiTheme="majorBidi" w:cstheme="majorBidi"/>
          <w:sz w:val="24"/>
          <w:szCs w:val="24"/>
        </w:rPr>
        <w:t xml:space="preserve">upper </w:t>
      </w:r>
      <w:r w:rsidR="004A617A" w:rsidRPr="006B3495">
        <w:rPr>
          <w:rFonts w:asciiTheme="majorBidi" w:hAnsiTheme="majorBidi" w:cstheme="majorBidi"/>
          <w:sz w:val="24"/>
          <w:szCs w:val="24"/>
        </w:rPr>
        <w:t>l</w:t>
      </w:r>
      <w:r w:rsidRPr="006B3495">
        <w:rPr>
          <w:rFonts w:asciiTheme="majorBidi" w:hAnsiTheme="majorBidi" w:cstheme="majorBidi"/>
          <w:sz w:val="24"/>
          <w:szCs w:val="24"/>
        </w:rPr>
        <w:t xml:space="preserve">imb ischemia (0.0% vs. 2.5%, P= 0.081) and </w:t>
      </w:r>
      <w:r w:rsidR="004A617A" w:rsidRPr="006B3495">
        <w:rPr>
          <w:rFonts w:asciiTheme="majorBidi" w:hAnsiTheme="majorBidi" w:cstheme="majorBidi"/>
          <w:sz w:val="24"/>
          <w:szCs w:val="24"/>
        </w:rPr>
        <w:t>a</w:t>
      </w:r>
      <w:r w:rsidRPr="006B3495">
        <w:rPr>
          <w:rFonts w:asciiTheme="majorBidi" w:hAnsiTheme="majorBidi" w:cstheme="majorBidi"/>
          <w:sz w:val="24"/>
          <w:szCs w:val="24"/>
        </w:rPr>
        <w:t xml:space="preserve">nother complication (0% vs. 1.7%, P= 0.156). </w:t>
      </w:r>
    </w:p>
    <w:p w14:paraId="3845271A" w14:textId="77777777" w:rsidR="00EC74E8" w:rsidRPr="006B3495" w:rsidRDefault="00EC74E8" w:rsidP="00665AD7">
      <w:pPr>
        <w:pStyle w:val="table"/>
        <w:spacing w:after="0" w:line="480" w:lineRule="auto"/>
      </w:pPr>
      <w:bookmarkStart w:id="92" w:name="_Toc170299120"/>
      <w:r w:rsidRPr="006B3495">
        <w:t>Table 5</w:t>
      </w:r>
      <w:bookmarkEnd w:id="92"/>
      <w:r w:rsidRPr="006B3495">
        <w:t xml:space="preserve"> </w:t>
      </w:r>
    </w:p>
    <w:p w14:paraId="4FF9E796" w14:textId="77777777" w:rsidR="00EC74E8" w:rsidRPr="006B3495" w:rsidRDefault="00EC74E8" w:rsidP="00665AD7">
      <w:pPr>
        <w:pStyle w:val="table"/>
        <w:spacing w:after="0" w:line="480" w:lineRule="auto"/>
        <w:rPr>
          <w:b w:val="0"/>
          <w:bCs w:val="0"/>
          <w:i/>
          <w:iCs/>
          <w:rtl/>
        </w:rPr>
      </w:pPr>
      <w:bookmarkStart w:id="93" w:name="_Toc170299121"/>
      <w:r w:rsidRPr="006B3495">
        <w:rPr>
          <w:b w:val="0"/>
          <w:bCs w:val="0"/>
          <w:i/>
          <w:iCs/>
        </w:rPr>
        <w:t>Distribution of participants according to complications</w:t>
      </w:r>
      <w:r w:rsidRPr="006B3495">
        <w:t xml:space="preserve"> </w:t>
      </w:r>
      <w:r w:rsidRPr="006B3495">
        <w:rPr>
          <w:b w:val="0"/>
          <w:bCs w:val="0"/>
          <w:i/>
          <w:iCs/>
        </w:rPr>
        <w:t>after the procedure.</w:t>
      </w:r>
      <w:bookmarkEnd w:id="93"/>
    </w:p>
    <w:tbl>
      <w:tblPr>
        <w:tblW w:w="9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410"/>
        <w:gridCol w:w="1275"/>
        <w:gridCol w:w="1276"/>
        <w:gridCol w:w="1134"/>
        <w:gridCol w:w="843"/>
        <w:gridCol w:w="766"/>
      </w:tblGrid>
      <w:tr w:rsidR="004A617A" w:rsidRPr="006B3495" w14:paraId="7535639C" w14:textId="77777777" w:rsidTr="00212183">
        <w:trPr>
          <w:trHeight w:val="20"/>
        </w:trPr>
        <w:tc>
          <w:tcPr>
            <w:tcW w:w="4253" w:type="dxa"/>
            <w:gridSpan w:val="2"/>
            <w:vMerge w:val="restart"/>
            <w:noWrap/>
            <w:vAlign w:val="center"/>
            <w:hideMark/>
          </w:tcPr>
          <w:p w14:paraId="413648D9"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bookmarkStart w:id="94" w:name="_Hlk169091580"/>
            <w:r w:rsidRPr="006B3495">
              <w:rPr>
                <w:rFonts w:asciiTheme="majorBidi" w:hAnsiTheme="majorBidi" w:cstheme="majorBidi"/>
              </w:rPr>
              <w:t>Complications after procedure</w:t>
            </w:r>
          </w:p>
        </w:tc>
        <w:tc>
          <w:tcPr>
            <w:tcW w:w="1275" w:type="dxa"/>
            <w:vMerge w:val="restart"/>
            <w:vAlign w:val="center"/>
            <w:hideMark/>
          </w:tcPr>
          <w:p w14:paraId="5A958120" w14:textId="77777777" w:rsidR="00EC74E8" w:rsidRPr="006B3495" w:rsidRDefault="00EC74E8" w:rsidP="00665AD7">
            <w:pPr>
              <w:spacing w:after="0" w:line="480" w:lineRule="auto"/>
              <w:jc w:val="center"/>
              <w:rPr>
                <w:rFonts w:asciiTheme="majorBidi" w:hAnsiTheme="majorBidi" w:cstheme="majorBidi"/>
                <w:sz w:val="24"/>
                <w:szCs w:val="24"/>
              </w:rPr>
            </w:pPr>
            <w:r w:rsidRPr="006B3495">
              <w:rPr>
                <w:rFonts w:asciiTheme="majorBidi" w:hAnsiTheme="majorBidi" w:cstheme="majorBidi"/>
                <w:sz w:val="24"/>
                <w:szCs w:val="24"/>
              </w:rPr>
              <w:t>Total (n=240)</w:t>
            </w:r>
          </w:p>
          <w:p w14:paraId="34878FBA"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4"/>
                <w:szCs w:val="24"/>
              </w:rPr>
              <w:t>n (%)</w:t>
            </w:r>
          </w:p>
        </w:tc>
        <w:tc>
          <w:tcPr>
            <w:tcW w:w="2410" w:type="dxa"/>
            <w:gridSpan w:val="2"/>
            <w:vAlign w:val="center"/>
          </w:tcPr>
          <w:p w14:paraId="4FA1AA03" w14:textId="77777777" w:rsidR="00EC74E8" w:rsidRPr="006B3495" w:rsidRDefault="00EC74E8" w:rsidP="00665AD7">
            <w:pPr>
              <w:spacing w:after="0"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Cases</w:t>
            </w:r>
          </w:p>
          <w:p w14:paraId="08040DF5" w14:textId="77777777" w:rsidR="00EC74E8" w:rsidRPr="006B3495" w:rsidRDefault="00EC74E8" w:rsidP="00665AD7">
            <w:pPr>
              <w:spacing w:after="0"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(n=240)</w:t>
            </w:r>
          </w:p>
          <w:p w14:paraId="1E9833D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4"/>
                <w:szCs w:val="24"/>
              </w:rPr>
              <w:t>n (%)</w:t>
            </w:r>
          </w:p>
        </w:tc>
        <w:tc>
          <w:tcPr>
            <w:tcW w:w="1609" w:type="dxa"/>
            <w:gridSpan w:val="2"/>
            <w:vAlign w:val="center"/>
            <w:hideMark/>
          </w:tcPr>
          <w:p w14:paraId="50089B29"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4"/>
                <w:szCs w:val="24"/>
              </w:rPr>
              <w:t>Statistical test</w:t>
            </w:r>
          </w:p>
        </w:tc>
      </w:tr>
      <w:tr w:rsidR="004A617A" w:rsidRPr="006B3495" w14:paraId="7B34F255" w14:textId="77777777" w:rsidTr="00212183">
        <w:trPr>
          <w:trHeight w:val="20"/>
        </w:trPr>
        <w:tc>
          <w:tcPr>
            <w:tcW w:w="4253" w:type="dxa"/>
            <w:gridSpan w:val="2"/>
            <w:vMerge/>
            <w:noWrap/>
            <w:vAlign w:val="center"/>
          </w:tcPr>
          <w:p w14:paraId="1C3B5135" w14:textId="77777777" w:rsidR="00EC74E8" w:rsidRPr="006B3495" w:rsidRDefault="00EC74E8" w:rsidP="00665AD7">
            <w:pPr>
              <w:spacing w:after="0" w:line="480" w:lineRule="auto"/>
              <w:jc w:val="center"/>
              <w:rPr>
                <w:rFonts w:asciiTheme="majorBidi" w:hAnsiTheme="majorBidi" w:cstheme="majorBidi"/>
              </w:rPr>
            </w:pPr>
          </w:p>
        </w:tc>
        <w:tc>
          <w:tcPr>
            <w:tcW w:w="1275" w:type="dxa"/>
            <w:vMerge/>
            <w:vAlign w:val="center"/>
          </w:tcPr>
          <w:p w14:paraId="2AA729B5" w14:textId="77777777" w:rsidR="00EC74E8" w:rsidRPr="006B3495" w:rsidRDefault="00EC74E8" w:rsidP="00665AD7">
            <w:pPr>
              <w:spacing w:after="0" w:line="480" w:lineRule="auto"/>
              <w:jc w:val="center"/>
              <w:rPr>
                <w:rFonts w:asciiTheme="majorBidi" w:hAnsiTheme="majorBidi" w:cstheme="majorBidi"/>
                <w:sz w:val="24"/>
                <w:szCs w:val="24"/>
              </w:rPr>
            </w:pPr>
          </w:p>
        </w:tc>
        <w:tc>
          <w:tcPr>
            <w:tcW w:w="1276" w:type="dxa"/>
            <w:vAlign w:val="center"/>
          </w:tcPr>
          <w:p w14:paraId="69F7DB38" w14:textId="11CB7E6C"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 xml:space="preserve">TFA with the use of </w:t>
            </w:r>
            <w:r w:rsidR="004B4B08" w:rsidRPr="004B4B08">
              <w:rPr>
                <w:rFonts w:asciiTheme="majorBidi" w:eastAsia="Times New Roman" w:hAnsiTheme="majorBidi" w:cstheme="majorBidi"/>
                <w:sz w:val="20"/>
                <w:szCs w:val="20"/>
                <w:lang w:eastAsia="en-GB"/>
              </w:rPr>
              <w:t>VCD</w:t>
            </w:r>
          </w:p>
          <w:p w14:paraId="64A1E4B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4"/>
                <w:szCs w:val="24"/>
              </w:rPr>
              <w:t>(n=120)</w:t>
            </w:r>
          </w:p>
        </w:tc>
        <w:tc>
          <w:tcPr>
            <w:tcW w:w="1134" w:type="dxa"/>
            <w:vAlign w:val="center"/>
          </w:tcPr>
          <w:p w14:paraId="31CFED2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TRA</w:t>
            </w:r>
          </w:p>
          <w:p w14:paraId="10C93B73"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4"/>
                <w:szCs w:val="24"/>
              </w:rPr>
              <w:t>(n=120)</w:t>
            </w:r>
          </w:p>
        </w:tc>
        <w:tc>
          <w:tcPr>
            <w:tcW w:w="843" w:type="dxa"/>
            <w:vAlign w:val="center"/>
          </w:tcPr>
          <w:p w14:paraId="12FA5531" w14:textId="77777777" w:rsidR="00EC74E8" w:rsidRPr="006B3495" w:rsidRDefault="00EC74E8" w:rsidP="00665AD7">
            <w:pPr>
              <w:spacing w:after="0" w:line="480" w:lineRule="auto"/>
              <w:jc w:val="center"/>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Chi-square</w:t>
            </w:r>
          </w:p>
          <w:p w14:paraId="28A2E4EF"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4"/>
                <w:szCs w:val="24"/>
              </w:rPr>
              <w:t>(</w:t>
            </w:r>
            <w:r w:rsidRPr="006B3495">
              <w:rPr>
                <w:rFonts w:asciiTheme="majorBidi" w:hAnsiTheme="majorBidi" w:cstheme="majorBidi"/>
                <w:sz w:val="20"/>
                <w:szCs w:val="20"/>
              </w:rPr>
              <w:sym w:font="Symbol" w:char="F063"/>
            </w:r>
            <w:r w:rsidRPr="006B3495">
              <w:rPr>
                <w:rFonts w:asciiTheme="majorBidi" w:hAnsiTheme="majorBidi" w:cstheme="majorBidi"/>
                <w:sz w:val="20"/>
                <w:szCs w:val="20"/>
                <w:vertAlign w:val="superscript"/>
              </w:rPr>
              <w:t>2</w:t>
            </w:r>
            <w:r w:rsidRPr="006B3495">
              <w:rPr>
                <w:rFonts w:asciiTheme="majorBidi" w:hAnsiTheme="majorBidi" w:cstheme="majorBidi"/>
                <w:sz w:val="20"/>
                <w:szCs w:val="20"/>
              </w:rPr>
              <w:t>)</w:t>
            </w:r>
          </w:p>
        </w:tc>
        <w:tc>
          <w:tcPr>
            <w:tcW w:w="766" w:type="dxa"/>
            <w:vAlign w:val="center"/>
          </w:tcPr>
          <w:p w14:paraId="0C357E2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4"/>
                <w:szCs w:val="24"/>
              </w:rPr>
              <w:t>P-value</w:t>
            </w:r>
          </w:p>
        </w:tc>
      </w:tr>
      <w:tr w:rsidR="004A617A" w:rsidRPr="006B3495" w14:paraId="2D6706D1" w14:textId="77777777" w:rsidTr="00212183">
        <w:trPr>
          <w:trHeight w:val="20"/>
        </w:trPr>
        <w:tc>
          <w:tcPr>
            <w:tcW w:w="1843" w:type="dxa"/>
            <w:vMerge w:val="restart"/>
            <w:noWrap/>
            <w:hideMark/>
          </w:tcPr>
          <w:p w14:paraId="39419D1E"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Access site pain.</w:t>
            </w:r>
          </w:p>
        </w:tc>
        <w:tc>
          <w:tcPr>
            <w:tcW w:w="2410" w:type="dxa"/>
            <w:noWrap/>
            <w:hideMark/>
          </w:tcPr>
          <w:p w14:paraId="253553A7"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Present</w:t>
            </w:r>
          </w:p>
        </w:tc>
        <w:tc>
          <w:tcPr>
            <w:tcW w:w="1275" w:type="dxa"/>
            <w:noWrap/>
            <w:hideMark/>
          </w:tcPr>
          <w:p w14:paraId="09D6F9A6"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136 (56.7)</w:t>
            </w:r>
          </w:p>
        </w:tc>
        <w:tc>
          <w:tcPr>
            <w:tcW w:w="1276" w:type="dxa"/>
            <w:noWrap/>
            <w:hideMark/>
          </w:tcPr>
          <w:p w14:paraId="17340FD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66 (55)</w:t>
            </w:r>
          </w:p>
        </w:tc>
        <w:tc>
          <w:tcPr>
            <w:tcW w:w="1134" w:type="dxa"/>
            <w:noWrap/>
            <w:hideMark/>
          </w:tcPr>
          <w:p w14:paraId="434FE62C"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70 (58.3)</w:t>
            </w:r>
          </w:p>
        </w:tc>
        <w:tc>
          <w:tcPr>
            <w:tcW w:w="843" w:type="dxa"/>
            <w:noWrap/>
            <w:hideMark/>
          </w:tcPr>
          <w:p w14:paraId="6B3DFBA0"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0.271</w:t>
            </w:r>
          </w:p>
        </w:tc>
        <w:tc>
          <w:tcPr>
            <w:tcW w:w="766" w:type="dxa"/>
            <w:noWrap/>
            <w:hideMark/>
          </w:tcPr>
          <w:p w14:paraId="43EB1A9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0.602</w:t>
            </w:r>
          </w:p>
        </w:tc>
      </w:tr>
      <w:tr w:rsidR="004A617A" w:rsidRPr="006B3495" w14:paraId="0AACD4A3" w14:textId="77777777" w:rsidTr="00212183">
        <w:trPr>
          <w:trHeight w:val="20"/>
        </w:trPr>
        <w:tc>
          <w:tcPr>
            <w:tcW w:w="1843" w:type="dxa"/>
            <w:vMerge/>
            <w:noWrap/>
            <w:hideMark/>
          </w:tcPr>
          <w:p w14:paraId="647D471B"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hideMark/>
          </w:tcPr>
          <w:p w14:paraId="351DC614"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Absent</w:t>
            </w:r>
          </w:p>
        </w:tc>
        <w:tc>
          <w:tcPr>
            <w:tcW w:w="1275" w:type="dxa"/>
            <w:noWrap/>
            <w:hideMark/>
          </w:tcPr>
          <w:p w14:paraId="5244BCFD"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104 (43.3)</w:t>
            </w:r>
          </w:p>
        </w:tc>
        <w:tc>
          <w:tcPr>
            <w:tcW w:w="1276" w:type="dxa"/>
            <w:noWrap/>
            <w:hideMark/>
          </w:tcPr>
          <w:p w14:paraId="321319F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54 (45)</w:t>
            </w:r>
          </w:p>
        </w:tc>
        <w:tc>
          <w:tcPr>
            <w:tcW w:w="1134" w:type="dxa"/>
            <w:noWrap/>
            <w:hideMark/>
          </w:tcPr>
          <w:p w14:paraId="21D6F8D6"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50 (41.7)</w:t>
            </w:r>
          </w:p>
        </w:tc>
        <w:tc>
          <w:tcPr>
            <w:tcW w:w="843" w:type="dxa"/>
            <w:noWrap/>
            <w:hideMark/>
          </w:tcPr>
          <w:p w14:paraId="4F14EBC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70A525EC"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7B674EEB" w14:textId="77777777" w:rsidTr="00212183">
        <w:trPr>
          <w:trHeight w:val="20"/>
        </w:trPr>
        <w:tc>
          <w:tcPr>
            <w:tcW w:w="1843" w:type="dxa"/>
            <w:vMerge w:val="restart"/>
            <w:noWrap/>
            <w:hideMark/>
          </w:tcPr>
          <w:p w14:paraId="2366151C"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Numbness.</w:t>
            </w:r>
          </w:p>
        </w:tc>
        <w:tc>
          <w:tcPr>
            <w:tcW w:w="2410" w:type="dxa"/>
            <w:noWrap/>
            <w:hideMark/>
          </w:tcPr>
          <w:p w14:paraId="1E4486E0"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Present</w:t>
            </w:r>
          </w:p>
        </w:tc>
        <w:tc>
          <w:tcPr>
            <w:tcW w:w="1275" w:type="dxa"/>
            <w:noWrap/>
            <w:hideMark/>
          </w:tcPr>
          <w:p w14:paraId="45F6FF97"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74 (30.8)</w:t>
            </w:r>
          </w:p>
        </w:tc>
        <w:tc>
          <w:tcPr>
            <w:tcW w:w="1276" w:type="dxa"/>
            <w:noWrap/>
            <w:hideMark/>
          </w:tcPr>
          <w:p w14:paraId="2FB810E2"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45 (37.5)</w:t>
            </w:r>
          </w:p>
        </w:tc>
        <w:tc>
          <w:tcPr>
            <w:tcW w:w="1134" w:type="dxa"/>
            <w:noWrap/>
            <w:hideMark/>
          </w:tcPr>
          <w:p w14:paraId="436C7D73"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29 (24.2)</w:t>
            </w:r>
          </w:p>
        </w:tc>
        <w:tc>
          <w:tcPr>
            <w:tcW w:w="843" w:type="dxa"/>
            <w:noWrap/>
            <w:hideMark/>
          </w:tcPr>
          <w:p w14:paraId="34158C5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5.002</w:t>
            </w:r>
          </w:p>
        </w:tc>
        <w:tc>
          <w:tcPr>
            <w:tcW w:w="766" w:type="dxa"/>
            <w:noWrap/>
            <w:hideMark/>
          </w:tcPr>
          <w:p w14:paraId="39B54D68"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0.025*</w:t>
            </w:r>
          </w:p>
        </w:tc>
      </w:tr>
      <w:tr w:rsidR="004A617A" w:rsidRPr="006B3495" w14:paraId="4E7F42A8" w14:textId="77777777" w:rsidTr="00212183">
        <w:trPr>
          <w:trHeight w:val="20"/>
        </w:trPr>
        <w:tc>
          <w:tcPr>
            <w:tcW w:w="1843" w:type="dxa"/>
            <w:vMerge/>
            <w:noWrap/>
            <w:hideMark/>
          </w:tcPr>
          <w:p w14:paraId="454B79CB"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hideMark/>
          </w:tcPr>
          <w:p w14:paraId="7B8C344A"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Absent</w:t>
            </w:r>
          </w:p>
        </w:tc>
        <w:tc>
          <w:tcPr>
            <w:tcW w:w="1275" w:type="dxa"/>
            <w:noWrap/>
            <w:hideMark/>
          </w:tcPr>
          <w:p w14:paraId="4CBEE907"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166 (69.2)</w:t>
            </w:r>
          </w:p>
        </w:tc>
        <w:tc>
          <w:tcPr>
            <w:tcW w:w="1276" w:type="dxa"/>
            <w:noWrap/>
            <w:hideMark/>
          </w:tcPr>
          <w:p w14:paraId="52FE8BFB"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75 (62.5)</w:t>
            </w:r>
          </w:p>
        </w:tc>
        <w:tc>
          <w:tcPr>
            <w:tcW w:w="1134" w:type="dxa"/>
            <w:noWrap/>
            <w:hideMark/>
          </w:tcPr>
          <w:p w14:paraId="0A4CFF3E"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91 (75.8)</w:t>
            </w:r>
          </w:p>
        </w:tc>
        <w:tc>
          <w:tcPr>
            <w:tcW w:w="843" w:type="dxa"/>
            <w:noWrap/>
            <w:hideMark/>
          </w:tcPr>
          <w:p w14:paraId="46E8A5F2"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66330622"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61331DFC" w14:textId="77777777" w:rsidTr="00212183">
        <w:trPr>
          <w:trHeight w:val="20"/>
        </w:trPr>
        <w:tc>
          <w:tcPr>
            <w:tcW w:w="1843" w:type="dxa"/>
            <w:vMerge w:val="restart"/>
            <w:noWrap/>
            <w:hideMark/>
          </w:tcPr>
          <w:p w14:paraId="032D0DFD"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Oozing.</w:t>
            </w:r>
          </w:p>
        </w:tc>
        <w:tc>
          <w:tcPr>
            <w:tcW w:w="2410" w:type="dxa"/>
            <w:noWrap/>
            <w:hideMark/>
          </w:tcPr>
          <w:p w14:paraId="727E460C"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Present</w:t>
            </w:r>
          </w:p>
        </w:tc>
        <w:tc>
          <w:tcPr>
            <w:tcW w:w="1275" w:type="dxa"/>
            <w:noWrap/>
            <w:hideMark/>
          </w:tcPr>
          <w:p w14:paraId="715241D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43 (17.9)</w:t>
            </w:r>
          </w:p>
        </w:tc>
        <w:tc>
          <w:tcPr>
            <w:tcW w:w="1276" w:type="dxa"/>
            <w:noWrap/>
            <w:hideMark/>
          </w:tcPr>
          <w:p w14:paraId="7BB4628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22 (18.3)</w:t>
            </w:r>
          </w:p>
        </w:tc>
        <w:tc>
          <w:tcPr>
            <w:tcW w:w="1134" w:type="dxa"/>
            <w:noWrap/>
            <w:hideMark/>
          </w:tcPr>
          <w:p w14:paraId="52344F93"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21 (17.5)</w:t>
            </w:r>
          </w:p>
        </w:tc>
        <w:tc>
          <w:tcPr>
            <w:tcW w:w="843" w:type="dxa"/>
            <w:noWrap/>
            <w:hideMark/>
          </w:tcPr>
          <w:p w14:paraId="3BDD8A5A"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0.028</w:t>
            </w:r>
          </w:p>
        </w:tc>
        <w:tc>
          <w:tcPr>
            <w:tcW w:w="766" w:type="dxa"/>
            <w:noWrap/>
            <w:hideMark/>
          </w:tcPr>
          <w:p w14:paraId="3D11714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0.866</w:t>
            </w:r>
          </w:p>
        </w:tc>
      </w:tr>
      <w:tr w:rsidR="004A617A" w:rsidRPr="006B3495" w14:paraId="5B7718D4" w14:textId="77777777" w:rsidTr="00212183">
        <w:trPr>
          <w:trHeight w:val="20"/>
        </w:trPr>
        <w:tc>
          <w:tcPr>
            <w:tcW w:w="1843" w:type="dxa"/>
            <w:vMerge/>
            <w:noWrap/>
            <w:hideMark/>
          </w:tcPr>
          <w:p w14:paraId="0112360D"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hideMark/>
          </w:tcPr>
          <w:p w14:paraId="32B03A9C"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Absent</w:t>
            </w:r>
          </w:p>
        </w:tc>
        <w:tc>
          <w:tcPr>
            <w:tcW w:w="1275" w:type="dxa"/>
            <w:noWrap/>
            <w:hideMark/>
          </w:tcPr>
          <w:p w14:paraId="2DC53AC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197 (82.1)</w:t>
            </w:r>
          </w:p>
        </w:tc>
        <w:tc>
          <w:tcPr>
            <w:tcW w:w="1276" w:type="dxa"/>
            <w:noWrap/>
            <w:hideMark/>
          </w:tcPr>
          <w:p w14:paraId="026BD96B"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98 (81.7)</w:t>
            </w:r>
          </w:p>
        </w:tc>
        <w:tc>
          <w:tcPr>
            <w:tcW w:w="1134" w:type="dxa"/>
            <w:noWrap/>
            <w:hideMark/>
          </w:tcPr>
          <w:p w14:paraId="7E808ACA"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99 (82.5)</w:t>
            </w:r>
          </w:p>
        </w:tc>
        <w:tc>
          <w:tcPr>
            <w:tcW w:w="843" w:type="dxa"/>
            <w:noWrap/>
            <w:hideMark/>
          </w:tcPr>
          <w:p w14:paraId="24595053"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116B465D"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1751176E" w14:textId="77777777" w:rsidTr="00212183">
        <w:trPr>
          <w:trHeight w:val="20"/>
        </w:trPr>
        <w:tc>
          <w:tcPr>
            <w:tcW w:w="1843" w:type="dxa"/>
            <w:vMerge w:val="restart"/>
            <w:noWrap/>
            <w:hideMark/>
          </w:tcPr>
          <w:p w14:paraId="03005BF4"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lastRenderedPageBreak/>
              <w:t>Patient discomfort.</w:t>
            </w:r>
          </w:p>
        </w:tc>
        <w:tc>
          <w:tcPr>
            <w:tcW w:w="2410" w:type="dxa"/>
            <w:noWrap/>
            <w:hideMark/>
          </w:tcPr>
          <w:p w14:paraId="3FD45870"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Present</w:t>
            </w:r>
          </w:p>
        </w:tc>
        <w:tc>
          <w:tcPr>
            <w:tcW w:w="1275" w:type="dxa"/>
            <w:noWrap/>
            <w:hideMark/>
          </w:tcPr>
          <w:p w14:paraId="50518E6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82 (34.2)</w:t>
            </w:r>
          </w:p>
        </w:tc>
        <w:tc>
          <w:tcPr>
            <w:tcW w:w="1276" w:type="dxa"/>
            <w:noWrap/>
            <w:hideMark/>
          </w:tcPr>
          <w:p w14:paraId="63D06AAB"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32 (26.7)</w:t>
            </w:r>
          </w:p>
        </w:tc>
        <w:tc>
          <w:tcPr>
            <w:tcW w:w="1134" w:type="dxa"/>
            <w:noWrap/>
            <w:hideMark/>
          </w:tcPr>
          <w:p w14:paraId="4D9901E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50 (41.7)</w:t>
            </w:r>
          </w:p>
        </w:tc>
        <w:tc>
          <w:tcPr>
            <w:tcW w:w="843" w:type="dxa"/>
            <w:noWrap/>
            <w:hideMark/>
          </w:tcPr>
          <w:p w14:paraId="01E9F3D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6.002</w:t>
            </w:r>
          </w:p>
        </w:tc>
        <w:tc>
          <w:tcPr>
            <w:tcW w:w="766" w:type="dxa"/>
            <w:noWrap/>
            <w:hideMark/>
          </w:tcPr>
          <w:p w14:paraId="073BAC63"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0.014*</w:t>
            </w:r>
          </w:p>
        </w:tc>
      </w:tr>
      <w:tr w:rsidR="004A617A" w:rsidRPr="006B3495" w14:paraId="38C3F9C4" w14:textId="77777777" w:rsidTr="00212183">
        <w:trPr>
          <w:trHeight w:val="20"/>
        </w:trPr>
        <w:tc>
          <w:tcPr>
            <w:tcW w:w="1843" w:type="dxa"/>
            <w:vMerge/>
            <w:noWrap/>
            <w:hideMark/>
          </w:tcPr>
          <w:p w14:paraId="1CFC89AE"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hideMark/>
          </w:tcPr>
          <w:p w14:paraId="1F3AA1AE"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Absent</w:t>
            </w:r>
          </w:p>
        </w:tc>
        <w:tc>
          <w:tcPr>
            <w:tcW w:w="1275" w:type="dxa"/>
            <w:noWrap/>
            <w:hideMark/>
          </w:tcPr>
          <w:p w14:paraId="27595AA7"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158 (65.8)</w:t>
            </w:r>
          </w:p>
        </w:tc>
        <w:tc>
          <w:tcPr>
            <w:tcW w:w="1276" w:type="dxa"/>
            <w:noWrap/>
            <w:hideMark/>
          </w:tcPr>
          <w:p w14:paraId="29F790F9"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88 (73.3)</w:t>
            </w:r>
          </w:p>
        </w:tc>
        <w:tc>
          <w:tcPr>
            <w:tcW w:w="1134" w:type="dxa"/>
            <w:noWrap/>
            <w:hideMark/>
          </w:tcPr>
          <w:p w14:paraId="1981698D"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70 (58.3)</w:t>
            </w:r>
          </w:p>
        </w:tc>
        <w:tc>
          <w:tcPr>
            <w:tcW w:w="843" w:type="dxa"/>
            <w:noWrap/>
            <w:hideMark/>
          </w:tcPr>
          <w:p w14:paraId="14BB1430"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68023BFB"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168FDC8A" w14:textId="77777777" w:rsidTr="00212183">
        <w:trPr>
          <w:trHeight w:val="20"/>
        </w:trPr>
        <w:tc>
          <w:tcPr>
            <w:tcW w:w="1843" w:type="dxa"/>
            <w:vMerge w:val="restart"/>
            <w:noWrap/>
            <w:hideMark/>
          </w:tcPr>
          <w:p w14:paraId="5151B3D0"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Soreness.</w:t>
            </w:r>
          </w:p>
        </w:tc>
        <w:tc>
          <w:tcPr>
            <w:tcW w:w="2410" w:type="dxa"/>
            <w:noWrap/>
            <w:hideMark/>
          </w:tcPr>
          <w:p w14:paraId="466C03B6"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Present</w:t>
            </w:r>
          </w:p>
        </w:tc>
        <w:tc>
          <w:tcPr>
            <w:tcW w:w="1275" w:type="dxa"/>
            <w:noWrap/>
            <w:hideMark/>
          </w:tcPr>
          <w:p w14:paraId="38D72C18"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25 (10.4)</w:t>
            </w:r>
          </w:p>
        </w:tc>
        <w:tc>
          <w:tcPr>
            <w:tcW w:w="1276" w:type="dxa"/>
            <w:noWrap/>
            <w:hideMark/>
          </w:tcPr>
          <w:p w14:paraId="31C3596E"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19 (15.8)</w:t>
            </w:r>
          </w:p>
        </w:tc>
        <w:tc>
          <w:tcPr>
            <w:tcW w:w="1134" w:type="dxa"/>
            <w:noWrap/>
            <w:hideMark/>
          </w:tcPr>
          <w:p w14:paraId="2E4A9A18"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6 (5)</w:t>
            </w:r>
          </w:p>
        </w:tc>
        <w:tc>
          <w:tcPr>
            <w:tcW w:w="843" w:type="dxa"/>
            <w:noWrap/>
            <w:hideMark/>
          </w:tcPr>
          <w:p w14:paraId="7F0648FB"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7.546</w:t>
            </w:r>
          </w:p>
        </w:tc>
        <w:tc>
          <w:tcPr>
            <w:tcW w:w="766" w:type="dxa"/>
            <w:noWrap/>
            <w:hideMark/>
          </w:tcPr>
          <w:p w14:paraId="2F2AC337"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0.006*</w:t>
            </w:r>
          </w:p>
        </w:tc>
      </w:tr>
      <w:tr w:rsidR="004A617A" w:rsidRPr="006B3495" w14:paraId="4C881FD3" w14:textId="77777777" w:rsidTr="00212183">
        <w:trPr>
          <w:trHeight w:val="20"/>
        </w:trPr>
        <w:tc>
          <w:tcPr>
            <w:tcW w:w="1843" w:type="dxa"/>
            <w:vMerge/>
            <w:noWrap/>
            <w:hideMark/>
          </w:tcPr>
          <w:p w14:paraId="280C5F85"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hideMark/>
          </w:tcPr>
          <w:p w14:paraId="7DB92C6E"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Absent</w:t>
            </w:r>
          </w:p>
        </w:tc>
        <w:tc>
          <w:tcPr>
            <w:tcW w:w="1275" w:type="dxa"/>
            <w:noWrap/>
            <w:hideMark/>
          </w:tcPr>
          <w:p w14:paraId="43EA843A"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215 (89.6)</w:t>
            </w:r>
          </w:p>
        </w:tc>
        <w:tc>
          <w:tcPr>
            <w:tcW w:w="1276" w:type="dxa"/>
            <w:noWrap/>
            <w:hideMark/>
          </w:tcPr>
          <w:p w14:paraId="16DF801C"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101 (84.2)</w:t>
            </w:r>
          </w:p>
        </w:tc>
        <w:tc>
          <w:tcPr>
            <w:tcW w:w="1134" w:type="dxa"/>
            <w:noWrap/>
            <w:hideMark/>
          </w:tcPr>
          <w:p w14:paraId="17428040"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114 (95)</w:t>
            </w:r>
          </w:p>
        </w:tc>
        <w:tc>
          <w:tcPr>
            <w:tcW w:w="843" w:type="dxa"/>
            <w:noWrap/>
            <w:hideMark/>
          </w:tcPr>
          <w:p w14:paraId="6D3ED510"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1E80C166"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3BF0F9F9" w14:textId="77777777" w:rsidTr="00212183">
        <w:trPr>
          <w:trHeight w:val="20"/>
        </w:trPr>
        <w:tc>
          <w:tcPr>
            <w:tcW w:w="1843" w:type="dxa"/>
            <w:vMerge w:val="restart"/>
            <w:noWrap/>
            <w:hideMark/>
          </w:tcPr>
          <w:p w14:paraId="1D39BD38"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Spasms.</w:t>
            </w:r>
          </w:p>
        </w:tc>
        <w:tc>
          <w:tcPr>
            <w:tcW w:w="2410" w:type="dxa"/>
            <w:noWrap/>
            <w:hideMark/>
          </w:tcPr>
          <w:p w14:paraId="4B1CBF78"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Present</w:t>
            </w:r>
          </w:p>
        </w:tc>
        <w:tc>
          <w:tcPr>
            <w:tcW w:w="1275" w:type="dxa"/>
            <w:noWrap/>
            <w:hideMark/>
          </w:tcPr>
          <w:p w14:paraId="28EA4C4A"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29 (12.1)</w:t>
            </w:r>
          </w:p>
        </w:tc>
        <w:tc>
          <w:tcPr>
            <w:tcW w:w="1276" w:type="dxa"/>
            <w:noWrap/>
            <w:hideMark/>
          </w:tcPr>
          <w:p w14:paraId="3F7D89BA"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18 (15)</w:t>
            </w:r>
          </w:p>
        </w:tc>
        <w:tc>
          <w:tcPr>
            <w:tcW w:w="1134" w:type="dxa"/>
            <w:noWrap/>
            <w:hideMark/>
          </w:tcPr>
          <w:p w14:paraId="4E196C0D"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11 (9.2)</w:t>
            </w:r>
          </w:p>
        </w:tc>
        <w:tc>
          <w:tcPr>
            <w:tcW w:w="843" w:type="dxa"/>
            <w:noWrap/>
            <w:hideMark/>
          </w:tcPr>
          <w:p w14:paraId="40531380"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1.922</w:t>
            </w:r>
          </w:p>
        </w:tc>
        <w:tc>
          <w:tcPr>
            <w:tcW w:w="766" w:type="dxa"/>
            <w:noWrap/>
            <w:hideMark/>
          </w:tcPr>
          <w:p w14:paraId="4E1FFB1A"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0.165</w:t>
            </w:r>
          </w:p>
        </w:tc>
      </w:tr>
      <w:tr w:rsidR="004A617A" w:rsidRPr="006B3495" w14:paraId="709B40CB" w14:textId="77777777" w:rsidTr="00212183">
        <w:trPr>
          <w:trHeight w:val="20"/>
        </w:trPr>
        <w:tc>
          <w:tcPr>
            <w:tcW w:w="1843" w:type="dxa"/>
            <w:vMerge/>
            <w:noWrap/>
            <w:hideMark/>
          </w:tcPr>
          <w:p w14:paraId="26B2A405"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hideMark/>
          </w:tcPr>
          <w:p w14:paraId="2E4B1023"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Absent</w:t>
            </w:r>
          </w:p>
        </w:tc>
        <w:tc>
          <w:tcPr>
            <w:tcW w:w="1275" w:type="dxa"/>
            <w:noWrap/>
            <w:hideMark/>
          </w:tcPr>
          <w:p w14:paraId="10B6CAA9"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211 (87.9)</w:t>
            </w:r>
          </w:p>
        </w:tc>
        <w:tc>
          <w:tcPr>
            <w:tcW w:w="1276" w:type="dxa"/>
            <w:noWrap/>
            <w:hideMark/>
          </w:tcPr>
          <w:p w14:paraId="4F8974DC"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102 (85)</w:t>
            </w:r>
          </w:p>
        </w:tc>
        <w:tc>
          <w:tcPr>
            <w:tcW w:w="1134" w:type="dxa"/>
            <w:noWrap/>
            <w:hideMark/>
          </w:tcPr>
          <w:p w14:paraId="6754EFFD"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109 (90.8)</w:t>
            </w:r>
          </w:p>
        </w:tc>
        <w:tc>
          <w:tcPr>
            <w:tcW w:w="843" w:type="dxa"/>
            <w:noWrap/>
            <w:hideMark/>
          </w:tcPr>
          <w:p w14:paraId="4087B578"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3149A066"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08BE6C6B" w14:textId="77777777" w:rsidTr="00212183">
        <w:trPr>
          <w:trHeight w:val="20"/>
        </w:trPr>
        <w:tc>
          <w:tcPr>
            <w:tcW w:w="1843" w:type="dxa"/>
            <w:vMerge w:val="restart"/>
            <w:noWrap/>
            <w:hideMark/>
          </w:tcPr>
          <w:p w14:paraId="0F11A07D"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Arterial occlusion.</w:t>
            </w:r>
          </w:p>
        </w:tc>
        <w:tc>
          <w:tcPr>
            <w:tcW w:w="2410" w:type="dxa"/>
            <w:noWrap/>
            <w:hideMark/>
          </w:tcPr>
          <w:p w14:paraId="32468EE3"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Present</w:t>
            </w:r>
          </w:p>
        </w:tc>
        <w:tc>
          <w:tcPr>
            <w:tcW w:w="1275" w:type="dxa"/>
            <w:noWrap/>
            <w:hideMark/>
          </w:tcPr>
          <w:p w14:paraId="57E46C23"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27 (11.3)</w:t>
            </w:r>
          </w:p>
        </w:tc>
        <w:tc>
          <w:tcPr>
            <w:tcW w:w="1276" w:type="dxa"/>
            <w:noWrap/>
            <w:hideMark/>
          </w:tcPr>
          <w:p w14:paraId="7115541A"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20 (16.7)</w:t>
            </w:r>
          </w:p>
        </w:tc>
        <w:tc>
          <w:tcPr>
            <w:tcW w:w="1134" w:type="dxa"/>
            <w:noWrap/>
            <w:hideMark/>
          </w:tcPr>
          <w:p w14:paraId="5A485E08"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7 (5.8)</w:t>
            </w:r>
          </w:p>
        </w:tc>
        <w:tc>
          <w:tcPr>
            <w:tcW w:w="843" w:type="dxa"/>
            <w:noWrap/>
            <w:hideMark/>
          </w:tcPr>
          <w:p w14:paraId="254C4B06"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7.053</w:t>
            </w:r>
          </w:p>
        </w:tc>
        <w:tc>
          <w:tcPr>
            <w:tcW w:w="766" w:type="dxa"/>
            <w:noWrap/>
            <w:hideMark/>
          </w:tcPr>
          <w:p w14:paraId="7AE6F127"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0.008*</w:t>
            </w:r>
          </w:p>
        </w:tc>
      </w:tr>
      <w:tr w:rsidR="004A617A" w:rsidRPr="006B3495" w14:paraId="0F83BB18" w14:textId="77777777" w:rsidTr="00212183">
        <w:trPr>
          <w:trHeight w:val="20"/>
        </w:trPr>
        <w:tc>
          <w:tcPr>
            <w:tcW w:w="1843" w:type="dxa"/>
            <w:vMerge/>
            <w:noWrap/>
            <w:hideMark/>
          </w:tcPr>
          <w:p w14:paraId="0C51F31B"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hideMark/>
          </w:tcPr>
          <w:p w14:paraId="3EE8090F"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Absent</w:t>
            </w:r>
          </w:p>
        </w:tc>
        <w:tc>
          <w:tcPr>
            <w:tcW w:w="1275" w:type="dxa"/>
            <w:noWrap/>
            <w:hideMark/>
          </w:tcPr>
          <w:p w14:paraId="66B04B67"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213 (88.8)</w:t>
            </w:r>
          </w:p>
        </w:tc>
        <w:tc>
          <w:tcPr>
            <w:tcW w:w="1276" w:type="dxa"/>
            <w:noWrap/>
            <w:hideMark/>
          </w:tcPr>
          <w:p w14:paraId="1449AF26"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100 (83.3)</w:t>
            </w:r>
          </w:p>
        </w:tc>
        <w:tc>
          <w:tcPr>
            <w:tcW w:w="1134" w:type="dxa"/>
            <w:noWrap/>
            <w:hideMark/>
          </w:tcPr>
          <w:p w14:paraId="69D0FA87"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113 (94.2)</w:t>
            </w:r>
          </w:p>
        </w:tc>
        <w:tc>
          <w:tcPr>
            <w:tcW w:w="843" w:type="dxa"/>
            <w:noWrap/>
            <w:hideMark/>
          </w:tcPr>
          <w:p w14:paraId="1127EFF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442D0E20"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5FE4FF2A" w14:textId="77777777" w:rsidTr="00212183">
        <w:trPr>
          <w:trHeight w:val="20"/>
        </w:trPr>
        <w:tc>
          <w:tcPr>
            <w:tcW w:w="1843" w:type="dxa"/>
            <w:vMerge w:val="restart"/>
            <w:noWrap/>
            <w:hideMark/>
          </w:tcPr>
          <w:p w14:paraId="4BAD368C"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 xml:space="preserve">Hematoma </w:t>
            </w:r>
          </w:p>
        </w:tc>
        <w:tc>
          <w:tcPr>
            <w:tcW w:w="2410" w:type="dxa"/>
            <w:noWrap/>
            <w:hideMark/>
          </w:tcPr>
          <w:p w14:paraId="4F1286DA"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Present</w:t>
            </w:r>
          </w:p>
        </w:tc>
        <w:tc>
          <w:tcPr>
            <w:tcW w:w="1275" w:type="dxa"/>
            <w:noWrap/>
            <w:hideMark/>
          </w:tcPr>
          <w:p w14:paraId="14CC4BEA"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30 (12.5)</w:t>
            </w:r>
          </w:p>
        </w:tc>
        <w:tc>
          <w:tcPr>
            <w:tcW w:w="1276" w:type="dxa"/>
            <w:noWrap/>
            <w:hideMark/>
          </w:tcPr>
          <w:p w14:paraId="7C890700"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17 (14.2)</w:t>
            </w:r>
          </w:p>
        </w:tc>
        <w:tc>
          <w:tcPr>
            <w:tcW w:w="1134" w:type="dxa"/>
            <w:noWrap/>
            <w:hideMark/>
          </w:tcPr>
          <w:p w14:paraId="2FDE97A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13 (10.8)</w:t>
            </w:r>
          </w:p>
        </w:tc>
        <w:tc>
          <w:tcPr>
            <w:tcW w:w="843" w:type="dxa"/>
            <w:noWrap/>
            <w:hideMark/>
          </w:tcPr>
          <w:p w14:paraId="096C462C"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0.610</w:t>
            </w:r>
          </w:p>
        </w:tc>
        <w:tc>
          <w:tcPr>
            <w:tcW w:w="766" w:type="dxa"/>
            <w:noWrap/>
            <w:hideMark/>
          </w:tcPr>
          <w:p w14:paraId="19CCC66D"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0.434</w:t>
            </w:r>
          </w:p>
        </w:tc>
      </w:tr>
      <w:tr w:rsidR="004A617A" w:rsidRPr="006B3495" w14:paraId="2FB46473" w14:textId="77777777" w:rsidTr="00212183">
        <w:trPr>
          <w:trHeight w:val="20"/>
        </w:trPr>
        <w:tc>
          <w:tcPr>
            <w:tcW w:w="1843" w:type="dxa"/>
            <w:vMerge/>
            <w:noWrap/>
            <w:hideMark/>
          </w:tcPr>
          <w:p w14:paraId="6F1DD79B"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hideMark/>
          </w:tcPr>
          <w:p w14:paraId="66E53DFB"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Absent</w:t>
            </w:r>
          </w:p>
        </w:tc>
        <w:tc>
          <w:tcPr>
            <w:tcW w:w="1275" w:type="dxa"/>
            <w:noWrap/>
            <w:hideMark/>
          </w:tcPr>
          <w:p w14:paraId="0387BCF3"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210 (87.5)</w:t>
            </w:r>
          </w:p>
        </w:tc>
        <w:tc>
          <w:tcPr>
            <w:tcW w:w="1276" w:type="dxa"/>
            <w:noWrap/>
            <w:hideMark/>
          </w:tcPr>
          <w:p w14:paraId="096865EF"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103 (85.8)</w:t>
            </w:r>
          </w:p>
        </w:tc>
        <w:tc>
          <w:tcPr>
            <w:tcW w:w="1134" w:type="dxa"/>
            <w:noWrap/>
            <w:hideMark/>
          </w:tcPr>
          <w:p w14:paraId="051B4962"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107 (89.2)</w:t>
            </w:r>
          </w:p>
        </w:tc>
        <w:tc>
          <w:tcPr>
            <w:tcW w:w="843" w:type="dxa"/>
            <w:noWrap/>
            <w:hideMark/>
          </w:tcPr>
          <w:p w14:paraId="02DAF9FD"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25B51A08"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0AA03F1B" w14:textId="77777777" w:rsidTr="00212183">
        <w:trPr>
          <w:trHeight w:val="20"/>
        </w:trPr>
        <w:tc>
          <w:tcPr>
            <w:tcW w:w="1843" w:type="dxa"/>
            <w:vMerge w:val="restart"/>
            <w:noWrap/>
            <w:hideMark/>
          </w:tcPr>
          <w:p w14:paraId="367E5B75"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Bleeding.</w:t>
            </w:r>
          </w:p>
        </w:tc>
        <w:tc>
          <w:tcPr>
            <w:tcW w:w="2410" w:type="dxa"/>
            <w:noWrap/>
            <w:hideMark/>
          </w:tcPr>
          <w:p w14:paraId="28875C84"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Present</w:t>
            </w:r>
          </w:p>
        </w:tc>
        <w:tc>
          <w:tcPr>
            <w:tcW w:w="1275" w:type="dxa"/>
            <w:noWrap/>
            <w:hideMark/>
          </w:tcPr>
          <w:p w14:paraId="6BF4F297"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21 (8.8)</w:t>
            </w:r>
          </w:p>
        </w:tc>
        <w:tc>
          <w:tcPr>
            <w:tcW w:w="1276" w:type="dxa"/>
            <w:noWrap/>
            <w:hideMark/>
          </w:tcPr>
          <w:p w14:paraId="2F0B855D"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13 (10.8)</w:t>
            </w:r>
          </w:p>
        </w:tc>
        <w:tc>
          <w:tcPr>
            <w:tcW w:w="1134" w:type="dxa"/>
            <w:noWrap/>
            <w:hideMark/>
          </w:tcPr>
          <w:p w14:paraId="68081A06"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8 (6.7)</w:t>
            </w:r>
          </w:p>
        </w:tc>
        <w:tc>
          <w:tcPr>
            <w:tcW w:w="843" w:type="dxa"/>
            <w:noWrap/>
            <w:hideMark/>
          </w:tcPr>
          <w:p w14:paraId="19DB3ED6"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1.305</w:t>
            </w:r>
          </w:p>
        </w:tc>
        <w:tc>
          <w:tcPr>
            <w:tcW w:w="766" w:type="dxa"/>
            <w:noWrap/>
            <w:hideMark/>
          </w:tcPr>
          <w:p w14:paraId="0B06456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0.253</w:t>
            </w:r>
          </w:p>
        </w:tc>
      </w:tr>
      <w:tr w:rsidR="004A617A" w:rsidRPr="006B3495" w14:paraId="6B906BD3" w14:textId="77777777" w:rsidTr="00212183">
        <w:trPr>
          <w:trHeight w:val="20"/>
        </w:trPr>
        <w:tc>
          <w:tcPr>
            <w:tcW w:w="1843" w:type="dxa"/>
            <w:vMerge/>
            <w:noWrap/>
            <w:hideMark/>
          </w:tcPr>
          <w:p w14:paraId="40A1B05F"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hideMark/>
          </w:tcPr>
          <w:p w14:paraId="15F803E2"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Absent</w:t>
            </w:r>
          </w:p>
        </w:tc>
        <w:tc>
          <w:tcPr>
            <w:tcW w:w="1275" w:type="dxa"/>
            <w:noWrap/>
            <w:hideMark/>
          </w:tcPr>
          <w:p w14:paraId="66B9A0A2"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219 (91.3)</w:t>
            </w:r>
          </w:p>
        </w:tc>
        <w:tc>
          <w:tcPr>
            <w:tcW w:w="1276" w:type="dxa"/>
            <w:noWrap/>
            <w:hideMark/>
          </w:tcPr>
          <w:p w14:paraId="7A54552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107 (89.2)</w:t>
            </w:r>
          </w:p>
        </w:tc>
        <w:tc>
          <w:tcPr>
            <w:tcW w:w="1134" w:type="dxa"/>
            <w:noWrap/>
            <w:hideMark/>
          </w:tcPr>
          <w:p w14:paraId="105354AB"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112 (93.3)</w:t>
            </w:r>
          </w:p>
        </w:tc>
        <w:tc>
          <w:tcPr>
            <w:tcW w:w="843" w:type="dxa"/>
            <w:noWrap/>
            <w:hideMark/>
          </w:tcPr>
          <w:p w14:paraId="67E3F112"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2EA42E49"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254B57EE" w14:textId="77777777" w:rsidTr="00212183">
        <w:trPr>
          <w:trHeight w:val="20"/>
        </w:trPr>
        <w:tc>
          <w:tcPr>
            <w:tcW w:w="1843" w:type="dxa"/>
            <w:vMerge w:val="restart"/>
            <w:noWrap/>
            <w:hideMark/>
          </w:tcPr>
          <w:p w14:paraId="1E857E88"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Adjacent nerve injury or the need for vascular surgical repair.</w:t>
            </w:r>
          </w:p>
        </w:tc>
        <w:tc>
          <w:tcPr>
            <w:tcW w:w="2410" w:type="dxa"/>
            <w:noWrap/>
            <w:hideMark/>
          </w:tcPr>
          <w:p w14:paraId="0253EB12"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Present</w:t>
            </w:r>
          </w:p>
        </w:tc>
        <w:tc>
          <w:tcPr>
            <w:tcW w:w="1275" w:type="dxa"/>
            <w:noWrap/>
            <w:hideMark/>
          </w:tcPr>
          <w:p w14:paraId="686DC5D6"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22 (9.2)</w:t>
            </w:r>
          </w:p>
        </w:tc>
        <w:tc>
          <w:tcPr>
            <w:tcW w:w="1276" w:type="dxa"/>
            <w:noWrap/>
            <w:hideMark/>
          </w:tcPr>
          <w:p w14:paraId="564B9AB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15 (12.5)</w:t>
            </w:r>
          </w:p>
        </w:tc>
        <w:tc>
          <w:tcPr>
            <w:tcW w:w="1134" w:type="dxa"/>
            <w:noWrap/>
            <w:hideMark/>
          </w:tcPr>
          <w:p w14:paraId="2D7AD4D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7 (5.8)</w:t>
            </w:r>
          </w:p>
        </w:tc>
        <w:tc>
          <w:tcPr>
            <w:tcW w:w="843" w:type="dxa"/>
            <w:noWrap/>
            <w:hideMark/>
          </w:tcPr>
          <w:p w14:paraId="5C431F3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3.203</w:t>
            </w:r>
          </w:p>
        </w:tc>
        <w:tc>
          <w:tcPr>
            <w:tcW w:w="766" w:type="dxa"/>
            <w:noWrap/>
            <w:hideMark/>
          </w:tcPr>
          <w:p w14:paraId="1611007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0.073</w:t>
            </w:r>
          </w:p>
        </w:tc>
      </w:tr>
      <w:tr w:rsidR="004A617A" w:rsidRPr="006B3495" w14:paraId="2235EF3E" w14:textId="77777777" w:rsidTr="00212183">
        <w:trPr>
          <w:trHeight w:val="20"/>
        </w:trPr>
        <w:tc>
          <w:tcPr>
            <w:tcW w:w="1843" w:type="dxa"/>
            <w:vMerge/>
            <w:noWrap/>
            <w:hideMark/>
          </w:tcPr>
          <w:p w14:paraId="56790D9E"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hideMark/>
          </w:tcPr>
          <w:p w14:paraId="7D0C3D29"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Absent</w:t>
            </w:r>
          </w:p>
        </w:tc>
        <w:tc>
          <w:tcPr>
            <w:tcW w:w="1275" w:type="dxa"/>
            <w:noWrap/>
            <w:hideMark/>
          </w:tcPr>
          <w:p w14:paraId="59935B22"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218 (90.8)</w:t>
            </w:r>
          </w:p>
        </w:tc>
        <w:tc>
          <w:tcPr>
            <w:tcW w:w="1276" w:type="dxa"/>
            <w:noWrap/>
            <w:hideMark/>
          </w:tcPr>
          <w:p w14:paraId="051C105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105 (87.5)</w:t>
            </w:r>
          </w:p>
        </w:tc>
        <w:tc>
          <w:tcPr>
            <w:tcW w:w="1134" w:type="dxa"/>
            <w:noWrap/>
            <w:hideMark/>
          </w:tcPr>
          <w:p w14:paraId="20AB2C5A"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113 (94.2)</w:t>
            </w:r>
          </w:p>
        </w:tc>
        <w:tc>
          <w:tcPr>
            <w:tcW w:w="843" w:type="dxa"/>
            <w:noWrap/>
            <w:hideMark/>
          </w:tcPr>
          <w:p w14:paraId="61D13742"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3241D28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602E81A9" w14:textId="77777777" w:rsidTr="00212183">
        <w:trPr>
          <w:trHeight w:val="20"/>
        </w:trPr>
        <w:tc>
          <w:tcPr>
            <w:tcW w:w="1843" w:type="dxa"/>
            <w:vMerge w:val="restart"/>
            <w:noWrap/>
            <w:hideMark/>
          </w:tcPr>
          <w:p w14:paraId="0A27D679" w14:textId="28E5CB32" w:rsidR="00EC74E8" w:rsidRPr="006B3495" w:rsidRDefault="00806212" w:rsidP="00665AD7">
            <w:pPr>
              <w:spacing w:after="0" w:line="480" w:lineRule="auto"/>
              <w:rPr>
                <w:rFonts w:asciiTheme="majorBidi" w:eastAsia="Times New Roman" w:hAnsiTheme="majorBidi" w:cstheme="majorBidi"/>
                <w:sz w:val="20"/>
                <w:szCs w:val="20"/>
                <w:lang w:eastAsia="en-GB"/>
              </w:rPr>
            </w:pPr>
            <w:r>
              <w:rPr>
                <w:rFonts w:asciiTheme="majorBidi" w:eastAsia="Times New Roman" w:hAnsiTheme="majorBidi" w:cstheme="majorBidi"/>
                <w:sz w:val="20"/>
                <w:szCs w:val="20"/>
                <w:lang w:eastAsia="en-GB"/>
              </w:rPr>
              <w:t>A</w:t>
            </w:r>
            <w:r w:rsidRPr="00806212">
              <w:rPr>
                <w:rFonts w:asciiTheme="majorBidi" w:eastAsia="Times New Roman" w:hAnsiTheme="majorBidi" w:cstheme="majorBidi"/>
                <w:sz w:val="20"/>
                <w:szCs w:val="20"/>
                <w:lang w:eastAsia="en-GB"/>
              </w:rPr>
              <w:t>rteriovenous fistula</w:t>
            </w:r>
            <w:r w:rsidR="00EC74E8" w:rsidRPr="006B3495">
              <w:rPr>
                <w:rFonts w:asciiTheme="majorBidi" w:eastAsia="Times New Roman" w:hAnsiTheme="majorBidi" w:cstheme="majorBidi"/>
                <w:sz w:val="20"/>
                <w:szCs w:val="20"/>
                <w:lang w:eastAsia="en-GB"/>
              </w:rPr>
              <w:t>.</w:t>
            </w:r>
          </w:p>
        </w:tc>
        <w:tc>
          <w:tcPr>
            <w:tcW w:w="2410" w:type="dxa"/>
            <w:noWrap/>
            <w:hideMark/>
          </w:tcPr>
          <w:p w14:paraId="355B953B"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Present</w:t>
            </w:r>
          </w:p>
        </w:tc>
        <w:tc>
          <w:tcPr>
            <w:tcW w:w="1275" w:type="dxa"/>
            <w:noWrap/>
            <w:hideMark/>
          </w:tcPr>
          <w:p w14:paraId="1578D7E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14 (5.8)</w:t>
            </w:r>
          </w:p>
        </w:tc>
        <w:tc>
          <w:tcPr>
            <w:tcW w:w="1276" w:type="dxa"/>
            <w:noWrap/>
            <w:hideMark/>
          </w:tcPr>
          <w:p w14:paraId="57FF2F67"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13 (10.8)</w:t>
            </w:r>
          </w:p>
        </w:tc>
        <w:tc>
          <w:tcPr>
            <w:tcW w:w="1134" w:type="dxa"/>
            <w:noWrap/>
            <w:hideMark/>
          </w:tcPr>
          <w:p w14:paraId="73CA59A2"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 (0.8)</w:t>
            </w:r>
          </w:p>
        </w:tc>
        <w:tc>
          <w:tcPr>
            <w:tcW w:w="843" w:type="dxa"/>
            <w:noWrap/>
            <w:hideMark/>
          </w:tcPr>
          <w:p w14:paraId="34DD862D"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10.923</w:t>
            </w:r>
          </w:p>
        </w:tc>
        <w:tc>
          <w:tcPr>
            <w:tcW w:w="766" w:type="dxa"/>
            <w:noWrap/>
            <w:hideMark/>
          </w:tcPr>
          <w:p w14:paraId="31713C99"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0.001*</w:t>
            </w:r>
          </w:p>
        </w:tc>
      </w:tr>
      <w:tr w:rsidR="004A617A" w:rsidRPr="006B3495" w14:paraId="7E43DD42" w14:textId="77777777" w:rsidTr="00212183">
        <w:trPr>
          <w:trHeight w:val="20"/>
        </w:trPr>
        <w:tc>
          <w:tcPr>
            <w:tcW w:w="1843" w:type="dxa"/>
            <w:vMerge/>
            <w:noWrap/>
            <w:hideMark/>
          </w:tcPr>
          <w:p w14:paraId="7331268E"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hideMark/>
          </w:tcPr>
          <w:p w14:paraId="3FA10095"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Absent</w:t>
            </w:r>
          </w:p>
        </w:tc>
        <w:tc>
          <w:tcPr>
            <w:tcW w:w="1275" w:type="dxa"/>
            <w:noWrap/>
            <w:hideMark/>
          </w:tcPr>
          <w:p w14:paraId="1EA03CA8"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226 (94.2)</w:t>
            </w:r>
          </w:p>
        </w:tc>
        <w:tc>
          <w:tcPr>
            <w:tcW w:w="1276" w:type="dxa"/>
            <w:noWrap/>
            <w:hideMark/>
          </w:tcPr>
          <w:p w14:paraId="0443BB6C"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107 (89.2)</w:t>
            </w:r>
          </w:p>
        </w:tc>
        <w:tc>
          <w:tcPr>
            <w:tcW w:w="1134" w:type="dxa"/>
            <w:noWrap/>
            <w:hideMark/>
          </w:tcPr>
          <w:p w14:paraId="3579CF2A"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119 (99.2)</w:t>
            </w:r>
          </w:p>
        </w:tc>
        <w:tc>
          <w:tcPr>
            <w:tcW w:w="843" w:type="dxa"/>
            <w:noWrap/>
            <w:hideMark/>
          </w:tcPr>
          <w:p w14:paraId="1D0D4930"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21BD827E"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602FB474" w14:textId="77777777" w:rsidTr="00212183">
        <w:trPr>
          <w:trHeight w:val="20"/>
        </w:trPr>
        <w:tc>
          <w:tcPr>
            <w:tcW w:w="1843" w:type="dxa"/>
            <w:vMerge w:val="restart"/>
            <w:noWrap/>
            <w:hideMark/>
          </w:tcPr>
          <w:p w14:paraId="0C8C23BE"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Compartment syndrome.</w:t>
            </w:r>
          </w:p>
        </w:tc>
        <w:tc>
          <w:tcPr>
            <w:tcW w:w="2410" w:type="dxa"/>
            <w:noWrap/>
            <w:hideMark/>
          </w:tcPr>
          <w:p w14:paraId="7743DFC0"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Present</w:t>
            </w:r>
          </w:p>
        </w:tc>
        <w:tc>
          <w:tcPr>
            <w:tcW w:w="1275" w:type="dxa"/>
            <w:noWrap/>
            <w:hideMark/>
          </w:tcPr>
          <w:p w14:paraId="01EBBDA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18 (7.5)</w:t>
            </w:r>
          </w:p>
        </w:tc>
        <w:tc>
          <w:tcPr>
            <w:tcW w:w="1276" w:type="dxa"/>
            <w:noWrap/>
            <w:hideMark/>
          </w:tcPr>
          <w:p w14:paraId="4BD6FDD7"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18 (15)</w:t>
            </w:r>
          </w:p>
        </w:tc>
        <w:tc>
          <w:tcPr>
            <w:tcW w:w="1134" w:type="dxa"/>
            <w:noWrap/>
            <w:hideMark/>
          </w:tcPr>
          <w:p w14:paraId="11D502F8"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 (0)</w:t>
            </w:r>
          </w:p>
        </w:tc>
        <w:tc>
          <w:tcPr>
            <w:tcW w:w="843" w:type="dxa"/>
            <w:noWrap/>
            <w:hideMark/>
          </w:tcPr>
          <w:p w14:paraId="33DF90C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19.459</w:t>
            </w:r>
          </w:p>
        </w:tc>
        <w:tc>
          <w:tcPr>
            <w:tcW w:w="766" w:type="dxa"/>
            <w:noWrap/>
            <w:hideMark/>
          </w:tcPr>
          <w:p w14:paraId="22C0F97B"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0.000*</w:t>
            </w:r>
          </w:p>
        </w:tc>
      </w:tr>
      <w:tr w:rsidR="004A617A" w:rsidRPr="006B3495" w14:paraId="57948FBB" w14:textId="77777777" w:rsidTr="00212183">
        <w:trPr>
          <w:trHeight w:val="20"/>
        </w:trPr>
        <w:tc>
          <w:tcPr>
            <w:tcW w:w="1843" w:type="dxa"/>
            <w:vMerge/>
            <w:noWrap/>
            <w:hideMark/>
          </w:tcPr>
          <w:p w14:paraId="212ABF01"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hideMark/>
          </w:tcPr>
          <w:p w14:paraId="7FEE3C50"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Absent</w:t>
            </w:r>
          </w:p>
        </w:tc>
        <w:tc>
          <w:tcPr>
            <w:tcW w:w="1275" w:type="dxa"/>
            <w:noWrap/>
            <w:hideMark/>
          </w:tcPr>
          <w:p w14:paraId="718CB6AE"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222 (92.5)</w:t>
            </w:r>
          </w:p>
        </w:tc>
        <w:tc>
          <w:tcPr>
            <w:tcW w:w="1276" w:type="dxa"/>
            <w:noWrap/>
            <w:hideMark/>
          </w:tcPr>
          <w:p w14:paraId="3E492786"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102 (85)</w:t>
            </w:r>
          </w:p>
        </w:tc>
        <w:tc>
          <w:tcPr>
            <w:tcW w:w="1134" w:type="dxa"/>
            <w:noWrap/>
            <w:hideMark/>
          </w:tcPr>
          <w:p w14:paraId="177E125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120 (100)</w:t>
            </w:r>
          </w:p>
        </w:tc>
        <w:tc>
          <w:tcPr>
            <w:tcW w:w="843" w:type="dxa"/>
            <w:noWrap/>
            <w:hideMark/>
          </w:tcPr>
          <w:p w14:paraId="5A91E167"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298111CC"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17A21684" w14:textId="77777777" w:rsidTr="00212183">
        <w:trPr>
          <w:trHeight w:val="20"/>
        </w:trPr>
        <w:tc>
          <w:tcPr>
            <w:tcW w:w="1843" w:type="dxa"/>
            <w:vMerge w:val="restart"/>
            <w:noWrap/>
            <w:hideMark/>
          </w:tcPr>
          <w:p w14:paraId="795AE3DA"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Infection.</w:t>
            </w:r>
          </w:p>
        </w:tc>
        <w:tc>
          <w:tcPr>
            <w:tcW w:w="2410" w:type="dxa"/>
            <w:noWrap/>
            <w:hideMark/>
          </w:tcPr>
          <w:p w14:paraId="2EE42A1E"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Present</w:t>
            </w:r>
          </w:p>
        </w:tc>
        <w:tc>
          <w:tcPr>
            <w:tcW w:w="1275" w:type="dxa"/>
            <w:noWrap/>
            <w:hideMark/>
          </w:tcPr>
          <w:p w14:paraId="0230878F"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22 (9.2)</w:t>
            </w:r>
          </w:p>
        </w:tc>
        <w:tc>
          <w:tcPr>
            <w:tcW w:w="1276" w:type="dxa"/>
            <w:noWrap/>
            <w:hideMark/>
          </w:tcPr>
          <w:p w14:paraId="1ACD377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19 (15.8)</w:t>
            </w:r>
          </w:p>
        </w:tc>
        <w:tc>
          <w:tcPr>
            <w:tcW w:w="1134" w:type="dxa"/>
            <w:noWrap/>
            <w:hideMark/>
          </w:tcPr>
          <w:p w14:paraId="4DD4B043"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3 (2.5)</w:t>
            </w:r>
          </w:p>
        </w:tc>
        <w:tc>
          <w:tcPr>
            <w:tcW w:w="843" w:type="dxa"/>
            <w:noWrap/>
            <w:hideMark/>
          </w:tcPr>
          <w:p w14:paraId="737ACC62"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12.811</w:t>
            </w:r>
          </w:p>
        </w:tc>
        <w:tc>
          <w:tcPr>
            <w:tcW w:w="766" w:type="dxa"/>
            <w:noWrap/>
            <w:hideMark/>
          </w:tcPr>
          <w:p w14:paraId="48FFC7D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0.000*</w:t>
            </w:r>
          </w:p>
        </w:tc>
      </w:tr>
      <w:tr w:rsidR="004A617A" w:rsidRPr="006B3495" w14:paraId="75E5EEDC" w14:textId="77777777" w:rsidTr="00212183">
        <w:trPr>
          <w:trHeight w:val="20"/>
        </w:trPr>
        <w:tc>
          <w:tcPr>
            <w:tcW w:w="1843" w:type="dxa"/>
            <w:vMerge/>
            <w:noWrap/>
            <w:hideMark/>
          </w:tcPr>
          <w:p w14:paraId="40467B27"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hideMark/>
          </w:tcPr>
          <w:p w14:paraId="6AEF5FA8"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Absent</w:t>
            </w:r>
          </w:p>
        </w:tc>
        <w:tc>
          <w:tcPr>
            <w:tcW w:w="1275" w:type="dxa"/>
            <w:noWrap/>
            <w:hideMark/>
          </w:tcPr>
          <w:p w14:paraId="7C359DB9"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218 (90.8)</w:t>
            </w:r>
          </w:p>
        </w:tc>
        <w:tc>
          <w:tcPr>
            <w:tcW w:w="1276" w:type="dxa"/>
            <w:noWrap/>
            <w:hideMark/>
          </w:tcPr>
          <w:p w14:paraId="2FF0BF6A"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101 (84.2)</w:t>
            </w:r>
          </w:p>
        </w:tc>
        <w:tc>
          <w:tcPr>
            <w:tcW w:w="1134" w:type="dxa"/>
            <w:noWrap/>
            <w:hideMark/>
          </w:tcPr>
          <w:p w14:paraId="41EC0D1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117 (97.5)</w:t>
            </w:r>
          </w:p>
        </w:tc>
        <w:tc>
          <w:tcPr>
            <w:tcW w:w="843" w:type="dxa"/>
            <w:noWrap/>
            <w:hideMark/>
          </w:tcPr>
          <w:p w14:paraId="17BE0A90"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70A7F16E"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04C1A4F5" w14:textId="77777777" w:rsidTr="00212183">
        <w:trPr>
          <w:trHeight w:val="20"/>
        </w:trPr>
        <w:tc>
          <w:tcPr>
            <w:tcW w:w="1843" w:type="dxa"/>
            <w:vMerge w:val="restart"/>
            <w:noWrap/>
            <w:hideMark/>
          </w:tcPr>
          <w:p w14:paraId="11096F54"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Leg ischemia.</w:t>
            </w:r>
          </w:p>
        </w:tc>
        <w:tc>
          <w:tcPr>
            <w:tcW w:w="2410" w:type="dxa"/>
            <w:noWrap/>
            <w:hideMark/>
          </w:tcPr>
          <w:p w14:paraId="3200914E"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Present</w:t>
            </w:r>
          </w:p>
        </w:tc>
        <w:tc>
          <w:tcPr>
            <w:tcW w:w="1275" w:type="dxa"/>
            <w:noWrap/>
            <w:hideMark/>
          </w:tcPr>
          <w:p w14:paraId="5AD3221E"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17 (7.1)</w:t>
            </w:r>
          </w:p>
        </w:tc>
        <w:tc>
          <w:tcPr>
            <w:tcW w:w="1276" w:type="dxa"/>
            <w:noWrap/>
            <w:hideMark/>
          </w:tcPr>
          <w:p w14:paraId="70D0CF5B"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17 (14.2)</w:t>
            </w:r>
          </w:p>
        </w:tc>
        <w:tc>
          <w:tcPr>
            <w:tcW w:w="1134" w:type="dxa"/>
            <w:noWrap/>
            <w:hideMark/>
          </w:tcPr>
          <w:p w14:paraId="15AFDCEF"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 (0)</w:t>
            </w:r>
          </w:p>
        </w:tc>
        <w:tc>
          <w:tcPr>
            <w:tcW w:w="843" w:type="dxa"/>
            <w:noWrap/>
            <w:hideMark/>
          </w:tcPr>
          <w:p w14:paraId="16BB6E8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18.296</w:t>
            </w:r>
          </w:p>
        </w:tc>
        <w:tc>
          <w:tcPr>
            <w:tcW w:w="766" w:type="dxa"/>
            <w:noWrap/>
            <w:hideMark/>
          </w:tcPr>
          <w:p w14:paraId="2F8B0EC0"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0.000*</w:t>
            </w:r>
          </w:p>
        </w:tc>
      </w:tr>
      <w:tr w:rsidR="004A617A" w:rsidRPr="006B3495" w14:paraId="270524D0" w14:textId="77777777" w:rsidTr="00212183">
        <w:trPr>
          <w:trHeight w:val="20"/>
        </w:trPr>
        <w:tc>
          <w:tcPr>
            <w:tcW w:w="1843" w:type="dxa"/>
            <w:vMerge/>
            <w:noWrap/>
            <w:hideMark/>
          </w:tcPr>
          <w:p w14:paraId="13E2103E"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hideMark/>
          </w:tcPr>
          <w:p w14:paraId="6295C7B4"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Absent</w:t>
            </w:r>
          </w:p>
        </w:tc>
        <w:tc>
          <w:tcPr>
            <w:tcW w:w="1275" w:type="dxa"/>
            <w:noWrap/>
            <w:hideMark/>
          </w:tcPr>
          <w:p w14:paraId="271B3289"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223 (92.9)</w:t>
            </w:r>
          </w:p>
        </w:tc>
        <w:tc>
          <w:tcPr>
            <w:tcW w:w="1276" w:type="dxa"/>
            <w:noWrap/>
            <w:hideMark/>
          </w:tcPr>
          <w:p w14:paraId="596E8C0F"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103 (85.8)</w:t>
            </w:r>
          </w:p>
        </w:tc>
        <w:tc>
          <w:tcPr>
            <w:tcW w:w="1134" w:type="dxa"/>
            <w:noWrap/>
            <w:hideMark/>
          </w:tcPr>
          <w:p w14:paraId="00FFF092"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120 (100)</w:t>
            </w:r>
          </w:p>
        </w:tc>
        <w:tc>
          <w:tcPr>
            <w:tcW w:w="843" w:type="dxa"/>
            <w:noWrap/>
            <w:hideMark/>
          </w:tcPr>
          <w:p w14:paraId="75BCD1B3"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67C5B6DD"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57B572B4" w14:textId="77777777" w:rsidTr="00212183">
        <w:trPr>
          <w:trHeight w:val="20"/>
        </w:trPr>
        <w:tc>
          <w:tcPr>
            <w:tcW w:w="1843" w:type="dxa"/>
            <w:vMerge w:val="restart"/>
            <w:noWrap/>
            <w:hideMark/>
          </w:tcPr>
          <w:p w14:paraId="0B6201F4" w14:textId="0C3258A1" w:rsidR="00EC74E8" w:rsidRPr="006B3495" w:rsidRDefault="007F19D0" w:rsidP="00665AD7">
            <w:pPr>
              <w:spacing w:after="0" w:line="480" w:lineRule="auto"/>
              <w:rPr>
                <w:rFonts w:asciiTheme="majorBidi" w:eastAsia="Times New Roman" w:hAnsiTheme="majorBidi" w:cstheme="majorBidi"/>
                <w:sz w:val="20"/>
                <w:szCs w:val="20"/>
                <w:lang w:eastAsia="en-GB"/>
              </w:rPr>
            </w:pPr>
            <w:r>
              <w:rPr>
                <w:rFonts w:asciiTheme="majorBidi" w:eastAsia="Times New Roman" w:hAnsiTheme="majorBidi" w:cstheme="majorBidi"/>
                <w:sz w:val="20"/>
                <w:szCs w:val="20"/>
                <w:lang w:eastAsia="en-GB"/>
              </w:rPr>
              <w:t>Upper l</w:t>
            </w:r>
            <w:r w:rsidR="00EC74E8" w:rsidRPr="006B3495">
              <w:rPr>
                <w:rFonts w:asciiTheme="majorBidi" w:eastAsia="Times New Roman" w:hAnsiTheme="majorBidi" w:cstheme="majorBidi"/>
                <w:sz w:val="20"/>
                <w:szCs w:val="20"/>
                <w:lang w:eastAsia="en-GB"/>
              </w:rPr>
              <w:t>imb ischemia.</w:t>
            </w:r>
          </w:p>
        </w:tc>
        <w:tc>
          <w:tcPr>
            <w:tcW w:w="2410" w:type="dxa"/>
            <w:noWrap/>
            <w:hideMark/>
          </w:tcPr>
          <w:p w14:paraId="49F19E92"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Present</w:t>
            </w:r>
          </w:p>
        </w:tc>
        <w:tc>
          <w:tcPr>
            <w:tcW w:w="1275" w:type="dxa"/>
            <w:noWrap/>
            <w:hideMark/>
          </w:tcPr>
          <w:p w14:paraId="555D11F7"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3 (1.3)</w:t>
            </w:r>
          </w:p>
        </w:tc>
        <w:tc>
          <w:tcPr>
            <w:tcW w:w="1276" w:type="dxa"/>
            <w:noWrap/>
            <w:hideMark/>
          </w:tcPr>
          <w:p w14:paraId="6E872325" w14:textId="77777777" w:rsidR="00EC74E8" w:rsidRPr="006B3495" w:rsidRDefault="00EC74E8" w:rsidP="00665AD7">
            <w:pPr>
              <w:spacing w:after="0" w:line="480" w:lineRule="auto"/>
              <w:jc w:val="center"/>
              <w:rPr>
                <w:rFonts w:asciiTheme="majorBidi" w:eastAsia="Times New Roman" w:hAnsiTheme="majorBidi" w:cstheme="majorBidi"/>
                <w:sz w:val="20"/>
                <w:szCs w:val="20"/>
                <w:rtl/>
                <w:lang w:eastAsia="en-GB"/>
              </w:rPr>
            </w:pPr>
            <w:r w:rsidRPr="006B3495">
              <w:rPr>
                <w:rFonts w:asciiTheme="majorBidi" w:eastAsia="Times New Roman" w:hAnsiTheme="majorBidi" w:cstheme="majorBidi"/>
                <w:sz w:val="20"/>
                <w:szCs w:val="20"/>
                <w:lang w:eastAsia="en-GB"/>
              </w:rPr>
              <w:t>0 (0.0)</w:t>
            </w:r>
          </w:p>
        </w:tc>
        <w:tc>
          <w:tcPr>
            <w:tcW w:w="1134" w:type="dxa"/>
            <w:noWrap/>
            <w:hideMark/>
          </w:tcPr>
          <w:p w14:paraId="515C2A4B"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3 (2.5)</w:t>
            </w:r>
          </w:p>
        </w:tc>
        <w:tc>
          <w:tcPr>
            <w:tcW w:w="843" w:type="dxa"/>
            <w:noWrap/>
            <w:hideMark/>
          </w:tcPr>
          <w:p w14:paraId="57CF4FCB"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t>3.038</w:t>
            </w:r>
          </w:p>
        </w:tc>
        <w:tc>
          <w:tcPr>
            <w:tcW w:w="766" w:type="dxa"/>
            <w:noWrap/>
            <w:hideMark/>
          </w:tcPr>
          <w:p w14:paraId="473502B3"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t>0.081</w:t>
            </w:r>
          </w:p>
        </w:tc>
      </w:tr>
      <w:tr w:rsidR="004A617A" w:rsidRPr="006B3495" w14:paraId="57BBEA60" w14:textId="77777777" w:rsidTr="00212183">
        <w:trPr>
          <w:trHeight w:val="20"/>
        </w:trPr>
        <w:tc>
          <w:tcPr>
            <w:tcW w:w="1843" w:type="dxa"/>
            <w:vMerge/>
            <w:noWrap/>
            <w:hideMark/>
          </w:tcPr>
          <w:p w14:paraId="66FE4FE2"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hideMark/>
          </w:tcPr>
          <w:p w14:paraId="454B91E7"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Absent</w:t>
            </w:r>
          </w:p>
        </w:tc>
        <w:tc>
          <w:tcPr>
            <w:tcW w:w="1275" w:type="dxa"/>
            <w:noWrap/>
            <w:hideMark/>
          </w:tcPr>
          <w:p w14:paraId="7F292DF8"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237 (98.8)</w:t>
            </w:r>
          </w:p>
        </w:tc>
        <w:tc>
          <w:tcPr>
            <w:tcW w:w="1276" w:type="dxa"/>
            <w:noWrap/>
            <w:hideMark/>
          </w:tcPr>
          <w:p w14:paraId="69D5883D"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120 (100.0)</w:t>
            </w:r>
          </w:p>
        </w:tc>
        <w:tc>
          <w:tcPr>
            <w:tcW w:w="1134" w:type="dxa"/>
            <w:noWrap/>
            <w:hideMark/>
          </w:tcPr>
          <w:p w14:paraId="3FD883D2"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117 (97.5)</w:t>
            </w:r>
          </w:p>
        </w:tc>
        <w:tc>
          <w:tcPr>
            <w:tcW w:w="843" w:type="dxa"/>
            <w:noWrap/>
            <w:hideMark/>
          </w:tcPr>
          <w:p w14:paraId="7045EC33"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4583435C"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27C8636C" w14:textId="77777777" w:rsidTr="00212183">
        <w:trPr>
          <w:trHeight w:val="20"/>
        </w:trPr>
        <w:tc>
          <w:tcPr>
            <w:tcW w:w="1843" w:type="dxa"/>
            <w:vMerge w:val="restart"/>
            <w:noWrap/>
            <w:hideMark/>
          </w:tcPr>
          <w:p w14:paraId="5F1B496D"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Pseudoaneurysm.</w:t>
            </w:r>
          </w:p>
        </w:tc>
        <w:tc>
          <w:tcPr>
            <w:tcW w:w="2410" w:type="dxa"/>
            <w:noWrap/>
            <w:hideMark/>
          </w:tcPr>
          <w:p w14:paraId="34DCD1A9"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Present</w:t>
            </w:r>
          </w:p>
        </w:tc>
        <w:tc>
          <w:tcPr>
            <w:tcW w:w="1275" w:type="dxa"/>
            <w:noWrap/>
            <w:hideMark/>
          </w:tcPr>
          <w:p w14:paraId="16640BED"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12 (5)</w:t>
            </w:r>
          </w:p>
        </w:tc>
        <w:tc>
          <w:tcPr>
            <w:tcW w:w="1276" w:type="dxa"/>
            <w:noWrap/>
            <w:hideMark/>
          </w:tcPr>
          <w:p w14:paraId="172A3A2C"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12 (10)</w:t>
            </w:r>
          </w:p>
        </w:tc>
        <w:tc>
          <w:tcPr>
            <w:tcW w:w="1134" w:type="dxa"/>
            <w:noWrap/>
            <w:hideMark/>
          </w:tcPr>
          <w:p w14:paraId="4A0670DE"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 (0)</w:t>
            </w:r>
          </w:p>
        </w:tc>
        <w:tc>
          <w:tcPr>
            <w:tcW w:w="843" w:type="dxa"/>
            <w:noWrap/>
            <w:hideMark/>
          </w:tcPr>
          <w:p w14:paraId="7424C80A"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12.632</w:t>
            </w:r>
          </w:p>
        </w:tc>
        <w:tc>
          <w:tcPr>
            <w:tcW w:w="766" w:type="dxa"/>
            <w:noWrap/>
            <w:hideMark/>
          </w:tcPr>
          <w:p w14:paraId="421B2E34"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0.000*</w:t>
            </w:r>
          </w:p>
        </w:tc>
      </w:tr>
      <w:tr w:rsidR="004A617A" w:rsidRPr="006B3495" w14:paraId="1641905D" w14:textId="77777777" w:rsidTr="00212183">
        <w:trPr>
          <w:trHeight w:val="20"/>
        </w:trPr>
        <w:tc>
          <w:tcPr>
            <w:tcW w:w="1843" w:type="dxa"/>
            <w:vMerge/>
            <w:noWrap/>
            <w:hideMark/>
          </w:tcPr>
          <w:p w14:paraId="4D9AFA9A"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hideMark/>
          </w:tcPr>
          <w:p w14:paraId="4D8CD404"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Absent</w:t>
            </w:r>
          </w:p>
        </w:tc>
        <w:tc>
          <w:tcPr>
            <w:tcW w:w="1275" w:type="dxa"/>
            <w:noWrap/>
            <w:hideMark/>
          </w:tcPr>
          <w:p w14:paraId="2EAE70C6"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228 (95)</w:t>
            </w:r>
          </w:p>
        </w:tc>
        <w:tc>
          <w:tcPr>
            <w:tcW w:w="1276" w:type="dxa"/>
            <w:noWrap/>
            <w:hideMark/>
          </w:tcPr>
          <w:p w14:paraId="7529352B"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108 (90)</w:t>
            </w:r>
          </w:p>
        </w:tc>
        <w:tc>
          <w:tcPr>
            <w:tcW w:w="1134" w:type="dxa"/>
            <w:noWrap/>
            <w:hideMark/>
          </w:tcPr>
          <w:p w14:paraId="48E99946"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120 (100)</w:t>
            </w:r>
          </w:p>
        </w:tc>
        <w:tc>
          <w:tcPr>
            <w:tcW w:w="843" w:type="dxa"/>
            <w:noWrap/>
            <w:hideMark/>
          </w:tcPr>
          <w:p w14:paraId="44A9E693"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hideMark/>
          </w:tcPr>
          <w:p w14:paraId="44FF6E9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r w:rsidR="004A617A" w:rsidRPr="006B3495" w14:paraId="12BA8895" w14:textId="77777777" w:rsidTr="00212183">
        <w:trPr>
          <w:trHeight w:val="20"/>
        </w:trPr>
        <w:tc>
          <w:tcPr>
            <w:tcW w:w="1843" w:type="dxa"/>
            <w:vMerge w:val="restart"/>
            <w:noWrap/>
            <w:hideMark/>
          </w:tcPr>
          <w:p w14:paraId="6C4BF189"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Another complication:</w:t>
            </w:r>
          </w:p>
        </w:tc>
        <w:tc>
          <w:tcPr>
            <w:tcW w:w="2410" w:type="dxa"/>
            <w:noWrap/>
            <w:hideMark/>
          </w:tcPr>
          <w:p w14:paraId="387E05FD"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Present</w:t>
            </w:r>
          </w:p>
        </w:tc>
        <w:tc>
          <w:tcPr>
            <w:tcW w:w="1275" w:type="dxa"/>
            <w:noWrap/>
            <w:hideMark/>
          </w:tcPr>
          <w:p w14:paraId="55B88011"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 (0)</w:t>
            </w:r>
          </w:p>
        </w:tc>
        <w:tc>
          <w:tcPr>
            <w:tcW w:w="1276" w:type="dxa"/>
            <w:noWrap/>
            <w:hideMark/>
          </w:tcPr>
          <w:p w14:paraId="2215FF1E"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 (0)</w:t>
            </w:r>
          </w:p>
        </w:tc>
        <w:tc>
          <w:tcPr>
            <w:tcW w:w="1134" w:type="dxa"/>
            <w:noWrap/>
            <w:hideMark/>
          </w:tcPr>
          <w:p w14:paraId="40E8EDCD"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 (1.7)</w:t>
            </w:r>
          </w:p>
        </w:tc>
        <w:tc>
          <w:tcPr>
            <w:tcW w:w="843" w:type="dxa"/>
            <w:noWrap/>
            <w:hideMark/>
          </w:tcPr>
          <w:p w14:paraId="42F7AB63"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2.017</w:t>
            </w:r>
          </w:p>
        </w:tc>
        <w:tc>
          <w:tcPr>
            <w:tcW w:w="766" w:type="dxa"/>
            <w:noWrap/>
            <w:hideMark/>
          </w:tcPr>
          <w:p w14:paraId="3276CD9B"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0.156</w:t>
            </w:r>
          </w:p>
        </w:tc>
      </w:tr>
      <w:tr w:rsidR="00EC74E8" w:rsidRPr="006B3495" w14:paraId="7A88D7A7" w14:textId="77777777" w:rsidTr="00212183">
        <w:trPr>
          <w:trHeight w:val="20"/>
        </w:trPr>
        <w:tc>
          <w:tcPr>
            <w:tcW w:w="1843" w:type="dxa"/>
            <w:vMerge/>
            <w:noWrap/>
          </w:tcPr>
          <w:p w14:paraId="1916645E"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p>
        </w:tc>
        <w:tc>
          <w:tcPr>
            <w:tcW w:w="2410" w:type="dxa"/>
            <w:noWrap/>
          </w:tcPr>
          <w:p w14:paraId="0B153262" w14:textId="77777777" w:rsidR="00EC74E8" w:rsidRPr="006B3495" w:rsidRDefault="00EC74E8" w:rsidP="00665AD7">
            <w:pPr>
              <w:spacing w:after="0" w:line="480" w:lineRule="auto"/>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Absent</w:t>
            </w:r>
          </w:p>
        </w:tc>
        <w:tc>
          <w:tcPr>
            <w:tcW w:w="1275" w:type="dxa"/>
            <w:noWrap/>
          </w:tcPr>
          <w:p w14:paraId="473A90F9"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238 (0)</w:t>
            </w:r>
          </w:p>
        </w:tc>
        <w:tc>
          <w:tcPr>
            <w:tcW w:w="1276" w:type="dxa"/>
            <w:noWrap/>
          </w:tcPr>
          <w:p w14:paraId="2CD88337"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120 (100)</w:t>
            </w:r>
          </w:p>
        </w:tc>
        <w:tc>
          <w:tcPr>
            <w:tcW w:w="1134" w:type="dxa"/>
            <w:noWrap/>
          </w:tcPr>
          <w:p w14:paraId="092E97E5"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r w:rsidRPr="006B3495">
              <w:rPr>
                <w:rFonts w:asciiTheme="majorBidi" w:eastAsia="Times New Roman" w:hAnsiTheme="majorBidi" w:cstheme="majorBidi"/>
                <w:sz w:val="20"/>
                <w:szCs w:val="20"/>
                <w:lang w:eastAsia="en-GB"/>
              </w:rPr>
              <w:t>118 (98.3)</w:t>
            </w:r>
          </w:p>
        </w:tc>
        <w:tc>
          <w:tcPr>
            <w:tcW w:w="843" w:type="dxa"/>
            <w:noWrap/>
          </w:tcPr>
          <w:p w14:paraId="5B85E789"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c>
          <w:tcPr>
            <w:tcW w:w="766" w:type="dxa"/>
            <w:noWrap/>
          </w:tcPr>
          <w:p w14:paraId="3B104737" w14:textId="77777777" w:rsidR="00EC74E8" w:rsidRPr="006B3495" w:rsidRDefault="00EC74E8" w:rsidP="00665AD7">
            <w:pPr>
              <w:spacing w:after="0" w:line="480" w:lineRule="auto"/>
              <w:jc w:val="center"/>
              <w:rPr>
                <w:rFonts w:asciiTheme="majorBidi" w:eastAsia="Times New Roman" w:hAnsiTheme="majorBidi" w:cstheme="majorBidi"/>
                <w:sz w:val="20"/>
                <w:szCs w:val="20"/>
                <w:lang w:eastAsia="en-GB"/>
              </w:rPr>
            </w:pPr>
          </w:p>
        </w:tc>
      </w:tr>
    </w:tbl>
    <w:p w14:paraId="40977329" w14:textId="77777777" w:rsidR="00930679" w:rsidRPr="006B3495" w:rsidRDefault="00930679" w:rsidP="00A11B6B">
      <w:pPr>
        <w:pStyle w:val="a"/>
      </w:pPr>
      <w:bookmarkStart w:id="95" w:name="_Toc90472910"/>
      <w:bookmarkEnd w:id="94"/>
    </w:p>
    <w:p w14:paraId="161DB446" w14:textId="77777777" w:rsidR="00930679" w:rsidRPr="006B3495" w:rsidRDefault="00930679" w:rsidP="00665AD7">
      <w:pPr>
        <w:spacing w:line="480" w:lineRule="auto"/>
        <w:rPr>
          <w:rFonts w:ascii="Times New Roman" w:eastAsia="Times New Roman" w:hAnsi="Times New Roman" w:cs="Times New Roman"/>
          <w:b/>
          <w:bCs/>
          <w:w w:val="110"/>
          <w:sz w:val="24"/>
          <w:szCs w:val="24"/>
        </w:rPr>
      </w:pPr>
      <w:r w:rsidRPr="006B3495">
        <w:br w:type="page"/>
      </w:r>
    </w:p>
    <w:p w14:paraId="5BEDDDC1" w14:textId="0D29C2AA" w:rsidR="00EC74E8" w:rsidRPr="006B3495" w:rsidRDefault="00EC74E8" w:rsidP="00A11B6B">
      <w:pPr>
        <w:pStyle w:val="a"/>
      </w:pPr>
      <w:bookmarkStart w:id="96" w:name="_Toc212871536"/>
      <w:r w:rsidRPr="006B3495">
        <w:lastRenderedPageBreak/>
        <w:t>Chapter Four</w:t>
      </w:r>
      <w:bookmarkEnd w:id="95"/>
      <w:bookmarkEnd w:id="96"/>
    </w:p>
    <w:p w14:paraId="4F610F54" w14:textId="77777777" w:rsidR="00EC74E8" w:rsidRPr="006B3495" w:rsidRDefault="00EC74E8" w:rsidP="00A11B6B">
      <w:pPr>
        <w:pStyle w:val="a"/>
      </w:pPr>
      <w:bookmarkStart w:id="97" w:name="_Toc90472911"/>
      <w:bookmarkStart w:id="98" w:name="_Toc90473392"/>
      <w:bookmarkStart w:id="99" w:name="_Toc212871537"/>
      <w:r w:rsidRPr="006B3495">
        <w:t>Discussions and Conclusions</w:t>
      </w:r>
      <w:bookmarkEnd w:id="97"/>
      <w:bookmarkEnd w:id="98"/>
      <w:bookmarkEnd w:id="99"/>
    </w:p>
    <w:p w14:paraId="5995D7AA" w14:textId="77777777" w:rsidR="00EC74E8" w:rsidRPr="006B3495" w:rsidRDefault="00EC74E8" w:rsidP="00A11B6B">
      <w:pPr>
        <w:pStyle w:val="a"/>
        <w:numPr>
          <w:ilvl w:val="1"/>
          <w:numId w:val="2"/>
        </w:numPr>
      </w:pPr>
      <w:bookmarkStart w:id="100" w:name="_Toc212871538"/>
      <w:r w:rsidRPr="006B3495">
        <w:t>Discussion</w:t>
      </w:r>
      <w:bookmarkEnd w:id="100"/>
    </w:p>
    <w:p w14:paraId="000C6224" w14:textId="47502DA7" w:rsidR="00D55B3A" w:rsidRDefault="00EC74E8" w:rsidP="00E72F6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The discussion of the study provides a detailed analysis of the findings regarding the comparison between </w:t>
      </w:r>
      <w:r w:rsidR="003E2A3D" w:rsidRPr="003E2A3D">
        <w:rPr>
          <w:rFonts w:asciiTheme="majorBidi" w:hAnsiTheme="majorBidi" w:cstheme="majorBidi"/>
          <w:sz w:val="24"/>
          <w:szCs w:val="24"/>
        </w:rPr>
        <w:t xml:space="preserve">transradial </w:t>
      </w:r>
      <w:r w:rsidRPr="006B3495">
        <w:rPr>
          <w:rFonts w:asciiTheme="majorBidi" w:hAnsiTheme="majorBidi" w:cstheme="majorBidi"/>
          <w:sz w:val="24"/>
          <w:szCs w:val="24"/>
        </w:rPr>
        <w:t>access (TRA) and transfemoral access (TFA) using vascular closure devices (V</w:t>
      </w:r>
      <w:r w:rsidR="004B4B08">
        <w:rPr>
          <w:rFonts w:asciiTheme="majorBidi" w:hAnsiTheme="majorBidi" w:cstheme="majorBidi"/>
          <w:sz w:val="24"/>
          <w:szCs w:val="24"/>
        </w:rPr>
        <w:t>C</w:t>
      </w:r>
      <w:r w:rsidRPr="006B3495">
        <w:rPr>
          <w:rFonts w:asciiTheme="majorBidi" w:hAnsiTheme="majorBidi" w:cstheme="majorBidi"/>
          <w:sz w:val="24"/>
          <w:szCs w:val="24"/>
        </w:rPr>
        <w:t xml:space="preserve">D) in patients undergoing percutaneous coronary intervention (PCI).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that age distribution was matched between two groups (TFA with the use of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and the TRA group), and the statistical test showed that there is no statistically significant difference between the two groups regarding age (P&gt;0.05). Controls age as a variable in the study ensuring it does not confound results and increases internal validity by attributing outcome differences </w:t>
      </w:r>
      <w:r w:rsidR="007310EE"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{"citationItems":[{"id":"ITEM-1","itemData":{"DOI":"10.1007/s12564-024-09955-4","ISSN":"1876407X","abstract":"Given decision-makers often prioritize causal research that identifies the impact of treatments on the people they serve, a key question in education research is, “Does it work?”. Today, however, researchers are paying increasing attention to successive questions that are equally important from a practical standpoint—not only does it work, but for whom and under what circumstances? Invalid conclusions to any of these questions can result in the adoption of ineffective educational practices. This article discusses the enduring legacy of Shadish, Cook, and Campbell’s validity typology, and its associated threats to validity, for improving the validity of inferences in education research. The validity typology provides a system for classifying and improving inferences related to four validity types, including ensuring a causal relationship between a treatment and outcome (internal validity) that is precisely estimated (statistical validity), well understood (construct validity), and generalizes to the necessary circumstances (external validity). Here, we provide an overview of these four validity types and discuss proactive approaches to addressing them. We conclude by discussing how the validity typology framework may help researchers understand and address contemporary critiques of quantitative causal research.","author":[{"dropping-particle":"","family":"Anglin","given":"Kylie","non-dropping-particle":"","parse-names":false,"suffix":""},{"dropping-particle":"","family":"Liu","given":"Qing","non-dropping-particle":"","parse-names":false,"suffix":""},{"dropping-particle":"","family":"Wong","given":"Vivian C.","non-dropping-particle":"","parse-names":false,"suffix":""}],"container-title":"Asia Pacific Education Review","id":"ITEM-1","issue":"3","issued":{"date-parts":[["2024"]]},"title":"A primer on the validity typology and threats to validity in education research","type":"article-journal","volume":"25"},"uris":["http://www.mendeley.com/documents/?uuid=79ecca03-2c75-3099-a874-200826872dc9"]}],"mendeley":{"formattedCitation":"(23)","plainTextFormattedCitation":"(23)","previouslyFormattedCitation":"(23)"},"properties":{"noteIndex":0},"schema":"https://github.com/citation-style-language/schema/raw/master/csl-citation.json"}</w:instrText>
      </w:r>
      <w:r w:rsidR="007310EE"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(23)</w:t>
      </w:r>
      <w:r w:rsidR="007310EE"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that </w:t>
      </w:r>
      <w:r w:rsidR="001D39AE">
        <w:rPr>
          <w:rFonts w:asciiTheme="majorBidi" w:hAnsiTheme="majorBidi" w:cstheme="majorBidi"/>
          <w:sz w:val="24"/>
          <w:szCs w:val="24"/>
        </w:rPr>
        <w:t xml:space="preserve">the total number of </w:t>
      </w:r>
      <w:r w:rsidRPr="006B3495">
        <w:rPr>
          <w:rFonts w:asciiTheme="majorBidi" w:hAnsiTheme="majorBidi" w:cstheme="majorBidi"/>
          <w:sz w:val="24"/>
          <w:szCs w:val="24"/>
        </w:rPr>
        <w:t>females were higher than males, and there are statistically significant differences between the two groups regarding gender (p&gt;0.05) because of several factors, such as the prevalence of CVD among f</w:t>
      </w:r>
      <w:r w:rsidR="00141B30" w:rsidRPr="006B3495">
        <w:rPr>
          <w:rFonts w:asciiTheme="majorBidi" w:hAnsiTheme="majorBidi" w:cstheme="majorBidi"/>
          <w:sz w:val="24"/>
          <w:szCs w:val="24"/>
        </w:rPr>
        <w:t xml:space="preserve">emales being higher than males. Our results in contrast with </w:t>
      </w:r>
      <w:r w:rsidR="008C7C49" w:rsidRPr="006B3495">
        <w:rPr>
          <w:rFonts w:asciiTheme="majorBidi" w:hAnsiTheme="majorBidi" w:cstheme="majorBidi"/>
          <w:sz w:val="24"/>
          <w:szCs w:val="24"/>
        </w:rPr>
        <w:t>Murphy</w:t>
      </w:r>
      <w:r w:rsidR="00141B30" w:rsidRPr="006B3495">
        <w:rPr>
          <w:rFonts w:asciiTheme="majorBidi" w:hAnsiTheme="majorBidi" w:cstheme="majorBidi"/>
          <w:sz w:val="24"/>
          <w:szCs w:val="24"/>
        </w:rPr>
        <w:t xml:space="preserve"> </w:t>
      </w:r>
      <w:r w:rsidR="008C7C49"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{"citationItems":[{"id":"ITEM-1","itemData":{"DOI":"10.1016/j.amjcard.2021.05.013","ISSN":"18791913","abstract":"There has been a significant decrease in mortality associated with coronary artery disease (CAD) in recent decades, although at discordant rates between men and women. Using a well-established multicenter registry, we sought to examine the impact of gender on long-term mortality stratified by indication for percutaneous coronary intervention (PCI). Data from 54,440 consecutive patients (12,805, 23.5% women) undergoing PCI from the Victorian Cardiac Outcomes Registry (2013 to 2018) were analyzed. We aimed to compare gender-related differences of patients undergoing PCI for stable angina pectoris (SAP), non-ST-elevation acute coronary syndrome (NSTEACS) and ST-elevation myocardial infarction (STEMI). The primary outcome was long-term all-cause mortality. Female patients were older across all indications (SAP: 67 vs 71 years, NSTEACS: 64 vs 69 years, STEMI 61 vs 67 years; p value for all &lt;0.001), with age-adjusted higher rates of diabetes mellitus (p value for all &lt;0.02) and renal impairment (p value for all &lt;0.001), and were more likely to have femoral artery access for intervention (p value for all &lt;0.001). Unadjusted in-hospital and 30-day mortality rates were comparable between men and women across all indications. Compared to men, women had a higher rate of unadjusted long-term mortality (9.0% vs 7.37%; p &lt;0.001). However, after adjusting for variables significant on univariate analysis, female gender was independently associated with improved long-term survival (HR 0.76, 95% CI 0.66 to 0.87; p &lt;0.001). In conclusion, contrary to previous studies, despite being older with a differing clinical profile and interventional approach, women undergoing PCI have a long-term survival advantage.","author":[{"dropping-particle":"","family":"Murphy","given":"Alexandra C.","non-dropping-particle":"","parse-names":false,"suffix":""},{"dropping-particle":"","family":"Dinh","given":"Diem","non-dropping-particle":"","parse-names":false,"suffix":""},{"dropping-particle":"","family":"Koshy","given":"Anoop N.","non-dropping-particle":"","parse-names":false,"suffix":""},{"dropping-particle":"","family":"Lefkovits","given":"Jeffrey","non-dropping-particle":"","parse-names":false,"suffix":""},{"dropping-particle":"","family":"Clark","given":"David J.","non-dropping-particle":"","parse-names":false,"suffix":""},{"dropping-particle":"","family":"Zaman","given":"Sarah","non-dropping-particle":"","parse-names":false,"suffix":""},{"dropping-particle":"","family":"Duffy","given":"Stephen J.","non-dropping-particle":"","parse-names":false,"suffix":""},{"dropping-particle":"","family":"Brennan","given":"Angela","non-dropping-particle":"","parse-names":false,"suffix":""},{"dropping-particle":"","family":"Reid","given":"Christopher","non-dropping-particle":"","parse-names":false,"suffix":""},{"dropping-particle":"","family":"Yudi","given":"Matias B.","non-dropping-particle":"","parse-names":false,"suffix":""}],"container-title":"American Journal of Cardiology","id":"ITEM-1","issued":{"date-parts":[["2021"]]},"title":"Comparison of Long-Term Outcomes in Men versus Women Undergoing Percutaneous Coronary Intervention","type":"article-journal","volume":"153"},"uris":["http://www.mendeley.com/documents/?uuid=95bb6806-e624-3b57-ba09-81ceece2f78a"]}],"mendeley":{"formattedCitation":"(24)","plainTextFormattedCitation":"(24)","previouslyFormattedCitation":"(24)"},"properties":{"noteIndex":0},"schema":"https://github.com/citation-style-language/schema/raw/master/csl-citation.json"}</w:instrText>
      </w:r>
      <w:r w:rsidR="008C7C49"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(24)</w:t>
      </w:r>
      <w:r w:rsidR="008C7C49" w:rsidRPr="006B3495">
        <w:rPr>
          <w:rFonts w:asciiTheme="majorBidi" w:hAnsiTheme="majorBidi" w:cstheme="majorBidi"/>
          <w:sz w:val="24"/>
          <w:szCs w:val="24"/>
        </w:rPr>
        <w:fldChar w:fldCharType="end"/>
      </w:r>
      <w:r w:rsidR="008C7C49" w:rsidRPr="006B3495">
        <w:rPr>
          <w:rFonts w:asciiTheme="majorBidi" w:hAnsiTheme="majorBidi" w:cstheme="majorBidi"/>
          <w:sz w:val="24"/>
          <w:szCs w:val="24"/>
        </w:rPr>
        <w:t xml:space="preserve"> </w:t>
      </w:r>
      <w:r w:rsidR="00E72F67" w:rsidRPr="006B3495">
        <w:rPr>
          <w:rFonts w:asciiTheme="majorBidi" w:hAnsiTheme="majorBidi" w:cstheme="majorBidi"/>
          <w:sz w:val="24"/>
          <w:szCs w:val="24"/>
        </w:rPr>
        <w:t xml:space="preserve">study </w:t>
      </w:r>
      <w:r w:rsidR="00141B30" w:rsidRPr="006B3495">
        <w:rPr>
          <w:rFonts w:asciiTheme="majorBidi" w:hAnsiTheme="majorBidi" w:cstheme="majorBidi"/>
          <w:sz w:val="24"/>
          <w:szCs w:val="24"/>
        </w:rPr>
        <w:t xml:space="preserve">that </w:t>
      </w:r>
      <w:r w:rsidRPr="006B3495">
        <w:rPr>
          <w:rFonts w:asciiTheme="majorBidi" w:hAnsiTheme="majorBidi" w:cstheme="majorBidi"/>
          <w:sz w:val="24"/>
          <w:szCs w:val="24"/>
        </w:rPr>
        <w:t xml:space="preserve">showed the patients undergoing PCI in the study, 23.5% were female, and 76.5% were male. Changes in lifestyle, economic status, and healthcare conditions influenced these demographics </w:t>
      </w:r>
      <w:r w:rsidR="000B77A4"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{"citationItems":[{"id":"ITEM-1","itemData":{"DOI":"10.2147/PPA.S452943","ISSN":"1177889X","abstract":"Purpose: Studies had reported some influencing factors of health behavior among patients with coronary heart disease(CHD) after percutaneous coronary intervention(PCI). However, considering that human perceptions are complex, unrestricted and dynamically changing. A longitudinal qualitative study was conducted to explore the determinants of health-related behaviors of patients after PCI and dynamic changes of these determinants at the 1st, 3rd, and 6th months. Patients and Methods: Using purposive sampling, 18 patients undergoing PCI were interviewed. The conventional content analysis method was used to identify categories and subcategories. Semi-structured, face-to-face or telephone in-depth interviews were conducted at the cardiology unit of a tertiary referral hospital in Yunnan Province, China from March 2022 to January 2023. Results: Seven categories with some subcategories were constructed from the data, categorized into three domains. Firstly, individual factors include (i) Personal coping with healthy lifestyle requirements (tried but failed; I can do it), (ii) individual perception and feeling toward disease (knowing about the disease; belief of cure; fears of relapse), and (iii) personal benefits (improved health; meaning of life). Secondly, social factors include (i) social facilitators (family resources; healthcare support), (ii) social barriers (inconvenient medical care service; conflicting information). Finally, cultural factors include (i) way of living (dietary habits; key roles of yan (cigarette) and jiu (alcohol) in Chinese society), (ii) way of thinking (fatalism and Confucian familism). Conclusion: The determinants of health-related behaviors of patients after PCI are multifaceted and dynamic. Different interventions should be formulated to promote patients’ adherence to health behaviors. Moreover, priority should be given to the impact of traditional Chinese philosophy on the health behaviors of patients after PCI, and the health promotion program for these patients should be culturally sensitive. In addition, future research should further explore the determinants of health behaviors among diverse ethnic minorities after PCI, which has not been fully inquired in this study.","author":[{"dropping-particle":"","family":"Su","given":"Xu","non-dropping-particle":"","parse-names":false,"suffix":""},{"dropping-particle":"","family":"Zhang","given":"Yimei","non-dropping-particle":"","parse-names":false,"suffix":""},{"dropping-particle":"","family":"Zhou","given":"Huilin","non-dropping-particle":"","parse-names":false,"suffix":""},{"dropping-particle":"","family":"Ma","given":"Fang","non-dropping-particle":"","parse-names":false,"suffix":""},{"dropping-particle":"","family":"Zhang","given":"Xiong","non-dropping-particle":"","parse-names":false,"suffix":""},{"dropping-particle":"","family":"Zhou","given":"Min","non-dropping-particle":"","parse-names":false,"suffix":""},{"dropping-particle":"","family":"Jin","given":"Xiaorong","non-dropping-particle":"","parse-names":false,"suffix":""},{"dropping-particle":"","family":"Bai","given":"Yangjuan","non-dropping-particle":"","parse-names":false,"suffix":""},{"dropping-particle":"","family":"Wei","given":"Wei","non-dropping-particle":"","parse-names":false,"suffix":""}],"container-title":"Patient Preference and Adherence","id":"ITEM-1","issued":{"date-parts":[["2024"]]},"title":"Perceived Determinants of Health-Related Behaviors Among Patients with Coronary Heart Disease After Percutaneous Coronary Intervention: A Longitudinal Qualitative Study","type":"article-journal","volume":"18"},"uris":["http://www.mendeley.com/documents/?uuid=09b4f09c-b3fd-381a-b745-8e67bb0565d8"]}],"mendeley":{"formattedCitation":"(25)","plainTextFormattedCitation":"(25)","previouslyFormattedCitation":"(25)"},"properties":{"noteIndex":0},"schema":"https://github.com/citation-style-language/schema/raw/master/csl-citation.json"}</w:instrText>
      </w:r>
      <w:r w:rsidR="000B77A4"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(25)</w:t>
      </w:r>
      <w:r w:rsidR="000B77A4"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w:t>
      </w:r>
    </w:p>
    <w:p w14:paraId="096AA398" w14:textId="41720B77" w:rsidR="00E72F67" w:rsidRPr="006B3495" w:rsidRDefault="00D55B3A" w:rsidP="00E72F6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highlight w:val="yellow"/>
        </w:rPr>
        <w:t>In contrast</w:t>
      </w:r>
      <w:r w:rsidR="00EC74E8" w:rsidRPr="006B3495">
        <w:rPr>
          <w:rFonts w:asciiTheme="majorBidi" w:hAnsiTheme="majorBidi" w:cstheme="majorBidi"/>
          <w:sz w:val="24"/>
          <w:szCs w:val="24"/>
          <w:highlight w:val="yellow"/>
        </w:rPr>
        <w:t>,</w:t>
      </w:r>
      <w:r w:rsidR="00EC74E8" w:rsidRPr="006B3495">
        <w:rPr>
          <w:rFonts w:asciiTheme="majorBidi" w:hAnsiTheme="majorBidi" w:cstheme="majorBidi"/>
          <w:sz w:val="24"/>
          <w:szCs w:val="24"/>
        </w:rPr>
        <w:t xml:space="preserve"> several studies</w:t>
      </w:r>
      <w:r w:rsidR="00E72F67" w:rsidRPr="006B3495">
        <w:rPr>
          <w:rFonts w:asciiTheme="majorBidi" w:hAnsiTheme="majorBidi" w:cstheme="majorBidi"/>
          <w:sz w:val="24"/>
          <w:szCs w:val="24"/>
        </w:rPr>
        <w:t xml:space="preserve"> are</w:t>
      </w:r>
      <w:r w:rsidR="00EC74E8" w:rsidRPr="006B3495">
        <w:rPr>
          <w:rFonts w:asciiTheme="majorBidi" w:hAnsiTheme="majorBidi" w:cstheme="majorBidi"/>
          <w:sz w:val="24"/>
          <w:szCs w:val="24"/>
        </w:rPr>
        <w:t xml:space="preserve"> </w:t>
      </w:r>
      <w:r w:rsidR="00E72F67" w:rsidRPr="006B3495">
        <w:rPr>
          <w:rFonts w:asciiTheme="majorBidi" w:hAnsiTheme="majorBidi" w:cstheme="majorBidi"/>
          <w:sz w:val="24"/>
          <w:szCs w:val="24"/>
        </w:rPr>
        <w:t xml:space="preserve">in line with our study that </w:t>
      </w:r>
      <w:r w:rsidR="00EC74E8" w:rsidRPr="006B3495">
        <w:rPr>
          <w:rFonts w:asciiTheme="majorBidi" w:hAnsiTheme="majorBidi" w:cstheme="majorBidi"/>
          <w:sz w:val="24"/>
          <w:szCs w:val="24"/>
        </w:rPr>
        <w:t xml:space="preserve">showed </w:t>
      </w:r>
      <w:r w:rsidR="00E72F67" w:rsidRPr="006B3495">
        <w:rPr>
          <w:rFonts w:asciiTheme="majorBidi" w:hAnsiTheme="majorBidi" w:cstheme="majorBidi"/>
          <w:sz w:val="24"/>
          <w:szCs w:val="24"/>
        </w:rPr>
        <w:t xml:space="preserve">the </w:t>
      </w:r>
      <w:r w:rsidR="00EC74E8" w:rsidRPr="006B3495">
        <w:rPr>
          <w:rFonts w:asciiTheme="majorBidi" w:hAnsiTheme="majorBidi" w:cstheme="majorBidi"/>
          <w:sz w:val="24"/>
          <w:szCs w:val="24"/>
        </w:rPr>
        <w:t xml:space="preserve">females are higher than males because of </w:t>
      </w:r>
      <w:r w:rsidR="00566803" w:rsidRPr="006B3495">
        <w:rPr>
          <w:rFonts w:asciiTheme="majorBidi" w:hAnsiTheme="majorBidi" w:cstheme="majorBidi"/>
          <w:sz w:val="24"/>
          <w:szCs w:val="24"/>
        </w:rPr>
        <w:t>hormonal change, age, and biological and genetic fact</w:t>
      </w:r>
      <w:r w:rsidR="00EC74E8" w:rsidRPr="006B3495">
        <w:rPr>
          <w:rFonts w:asciiTheme="majorBidi" w:hAnsiTheme="majorBidi" w:cstheme="majorBidi"/>
          <w:sz w:val="24"/>
          <w:szCs w:val="24"/>
        </w:rPr>
        <w:t xml:space="preserve">ors  </w:t>
      </w:r>
      <w:r w:rsidR="00476320"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{"citationItems":[{"id":"ITEM-1","itemData":{"DOI":"10.1016/j.amjcard.2023.08.106","ISSN":"18791913","abstract":"Young patients who underwent percutaneous coronary intervention (PCI) have shown worse long-term outcomes but remain inadequately investigated. We analyzed 1,186 consecutive young patients (aged ≤55 years) from the Keio Cardiovascular PCI registry who were successfully discharged after PCI (2008 to 2019) and compared them to 5,048 older patients (aged 55 to 75 years). The primary outcome was a composite of all-cause death, acute coronary syndrome, heart failure, bleeding, stroke requiring admission, and coronary artery bypass grafting within 2 years after discharge. In the young patients, the mean age was 48.4 ± 5.4 years, acute coronary syndrome cases accounted for 69.6%, and 92 (7.8%) were female. Body mass index; hemoglobin levels; and proportions of smoking, hyperlipidemia, and ST-elevation myocardial infarction were lower and dialysis or active cancer proportions were higher in young female patients than male patients. A higher number of young female than male patients reached the primary end point and all-cause death (15.2% vs 7.1%, p = 0.01; 4.3% vs 1.0%, p = 0.023), mainly because of noncardiac death (4.3% versus 0.5%, p = 0.001). After covariate adjustment, the primary end point rates were higher among young women than men (hazard ratio 2.00, 95% confidence interval 1.03 to 3.89, p = 0.042). Gender did not predict the primary end point among older patients (vs men; hazard ratio 0.84, 95% confidence interval 0.67 to 1.06, p = 0.14). In conclusion, young women showed worse outcomes during the 2-year post-PCI follow-up, but this gender difference was absent in patients aged 55 to 75 years.","author":[{"dropping-particle":"","family":"Kuno","given":"Toshiki","non-dropping-particle":"","parse-names":false,"suffix":""},{"dropping-particle":"","family":"Miyamoto","given":"Yoshihisa","non-dropping-particle":"","parse-names":false,"suffix":""},{"dropping-particle":"","family":"Sawano","given":"Mitsuaki","non-dropping-particle":"","parse-names":false,"suffix":""},{"dropping-particle":"","family":"Kodaira","given":"Masaki","non-dropping-particle":"","parse-names":false,"suffix":""},{"dropping-particle":"","family":"Numasawa","given":"Yohei","non-dropping-particle":"","parse-names":false,"suffix":""},{"dropping-particle":"","family":"Ueda","given":"Ikuko","non-dropping-particle":"","parse-names":false,"suffix":""},{"dropping-particle":"","family":"Suzuki","given":"Masahiro","non-dropping-particle":"","parse-names":false,"suffix":""},{"dropping-particle":"","family":"Noma","given":"Shigetaka","non-dropping-particle":"","parse-names":false,"suffix":""},{"dropping-particle":"","family":"Fukuda","given":"Keiichi","non-dropping-particle":"","parse-names":false,"suffix":""},{"dropping-particle":"","family":"Kohsaka","given":"Shun","non-dropping-particle":"","parse-names":false,"suffix":""}],"container-title":"American Journal of Cardiology","id":"ITEM-1","issued":{"date-parts":[["2023"]]},"title":"Gender Differences in Long-Term Outcomes of Young Patients Who Underwent Percutaneous Coronary Intervention: Long-Term Outcome Analysis from a Multicenter Registry in Japan","type":"article-journal","volume":"206"},"uris":["http://www.mendeley.com/documents/?uuid=1812da0e-5cd1-38f3-8455-93dc1e08b60f"]},{"id":"ITEM-2","itemData":{"DOI":"10.1161/JAHA.121.022320","ISSN":"20479980","abstract":"BACKGROUND: Controversy exists over whether sex has significant interaction with revascularization strategy for unprotected left main coronary artery disease. Higher mortality has been reported among women treated with percutaneous coronary intervention compared with coronary artery bypass grafting. METHODS AND RESULTS: The DELTA (Drug-Eluting Stents for Left Main Coronary Artery Disease) and DELTA-2 registries are in-ternational, multicentric registries evaluating the outcomes of subjects undergoing coronary revascularization for unprotected left main coronary artery disease. The primary outcome was a composite of death, myocardial infarction, or cerebrovascular accidents. The population consisted of 6253 patients, including 1689 (27%) women. Women were older and more likely to have diabetes and chronic kidney disease than men (P&lt;0.05). At a median follow-up of 29 months (interquartile range 12–49), a significant interaction between sex and revascularization strategy was observed for the primary end point (pint =0.012) and all-cause death (pint =0.037). Among women, compared with percutaneous coronary intervention, coronary artery bypass grafting was associated with lower risk of the primary end point (event rate 9.5% versus 15.3%; adjusted hazard ratio [AHR], 0.53; 95% CI, 0.35–0.79, P&lt;0.001) and all-cause death (event rate 5.6% versus 11.7% AHR, 0.50; 95% CI, 0.30–0.82) and no significant differences were observed in men. CONCLUSIONS: In women undergoing coronary revascularization for unprotected left main coronary artery disease, coronary artery bypass grafting was associated with lower risk of death, myocardial infarction, or cerebrovascular accidents whereas no significant differences between coronary artery bypass grafting and percutaneous coronary intervention were observed in men. Further dedicated studies are needed to determine the optimal revascularization strategy in women with unprotected left main coronary artery disease.","author":[{"dropping-particle":"","family":"Moroni","given":"Francesco","non-dropping-particle":"","parse-names":false,"suffix":""},{"dropping-particle":"","family":"Beneduce","given":"Alessandro","non-dropping-particle":"","parse-names":false,"suffix":""},{"dropping-particle":"","family":"Giustino","given":"Gennaro","non-dropping-particle":"","parse-names":false,"suffix":""},{"dropping-particle":"","family":"Briede","given":"Ieva","non-dropping-particle":"","parse-names":false,"suffix":""},{"dropping-particle":"","family":"Park","given":"Seung Jung","non-dropping-particle":"","parse-names":false,"suffix":""},{"dropping-particle":"","family":"Daemen","given":"Joost","non-dropping-particle":"","parse-names":false,"suffix":""},{"dropping-particle":"","family":"Morice","given":"Marie Claude","non-dropping-particle":"","parse-names":false,"suffix":""},{"dropping-particle":"","family":"Nakamura","given":"Sunao","non-dropping-particle":"","parse-names":false,"suffix":""},{"dropping-particle":"","family":"Meliga","given":"Emanuele","non-dropping-particle":"","parse-names":false,"suffix":""},{"dropping-particle":"","family":"Cerrato","given":"Enrico","non-dropping-particle":"","parse-names":false,"suffix":""},{"dropping-particle":"","family":"Makkar","given":"Raj R.","non-dropping-particle":"","parse-names":false,"suffix":""},{"dropping-particle":"","family":"D’ascenzo","given":"Fabrizio","non-dropping-particle":"","parse-names":false,"suffix":""},{"dropping-particle":"","family":"Lucarelli","given":"Carla","non-dropping-particle":"","parse-names":false,"suffix":""},{"dropping-particle":"","family":"Capranzano","given":"Piera","non-dropping-particle":"","parse-names":false,"suffix":""},{"dropping-particle":"","family":"Tchetche","given":"Didier","non-dropping-particle":"","parse-names":false,"suffix":""},{"dropping-particle":"","family":"Templin","given":"Christian","non-dropping-particle":"","parse-names":false,"suffix":""},{"dropping-particle":"","family":"Kirtane","given":"Ajay","non-dropping-particle":"","parse-names":false,"suffix":""},{"dropping-particle":"","family":"Buzman","given":"Pawel","non-dropping-particle":"","parse-names":false,"suffix":""},{"dropping-particle":"","family":"Alfieri","given":"Ottavio","non-dropping-particle":"","parse-names":false,"suffix":""},{"dropping-particle":"","family":"Valgimigli","given":"Marco","non-dropping-particle":"","parse-names":false,"suffix":""},{"dropping-particle":"","family":"Mehran","given":"Roxana","non-dropping-particle":"","parse-names":false,"suffix":""},{"dropping-particle":"","family":"Colombo","given":"Antonio","non-dropping-particle":"","parse-names":false,"suffix":""},{"dropping-particle":"","family":"Montorfano","given":"Matteo","non-dropping-particle":"","parse-names":false,"suffix":""},{"dropping-particle":"","family":"Chieffo","given":"Alaide","non-dropping-particle":"","parse-names":false,"suffix":""}],"container-title":"Journal of the American Heart Association","id":"ITEM-2","issue":"5","issued":{"date-parts":[["2022"]]},"title":"Sex Differences in Outcomes After Percutaneous Coronary Intervention or Coronary Artery Bypass Graft for Left Main Disease: From the DELTA Registries","type":"article-journal","volume":"11"},"uris":["http://www.mendeley.com/documents/?uuid=0c033357-e896-3c8f-a26f-113defe20f36"]}],"mendeley":{"formattedCitation":"(26,27)","plainTextFormattedCitation":"(26,27)","previouslyFormattedCitation":"(26,27)"},"properties":{"noteIndex":0},"schema":"https://github.com/citation-style-language/schema/raw/master/csl-citation.json"}</w:instrText>
      </w:r>
      <w:r w:rsidR="00476320"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(26,27)</w:t>
      </w:r>
      <w:r w:rsidR="00476320" w:rsidRPr="006B3495">
        <w:rPr>
          <w:rFonts w:asciiTheme="majorBidi" w:hAnsiTheme="majorBidi" w:cstheme="majorBidi"/>
          <w:sz w:val="24"/>
          <w:szCs w:val="24"/>
        </w:rPr>
        <w:fldChar w:fldCharType="end"/>
      </w:r>
      <w:r w:rsidR="00476320" w:rsidRPr="006B3495">
        <w:rPr>
          <w:rFonts w:asciiTheme="majorBidi" w:hAnsiTheme="majorBidi" w:cstheme="majorBidi"/>
          <w:sz w:val="24"/>
          <w:szCs w:val="24"/>
        </w:rPr>
        <w:t>.</w:t>
      </w:r>
      <w:r w:rsidR="00E72F67" w:rsidRPr="006B3495">
        <w:rPr>
          <w:rFonts w:asciiTheme="majorBidi" w:hAnsiTheme="majorBidi" w:cstheme="majorBidi"/>
          <w:sz w:val="24"/>
          <w:szCs w:val="24"/>
        </w:rPr>
        <w:t xml:space="preserve"> The current study showed that the TFA with the use of </w:t>
      </w:r>
      <w:r w:rsidR="004B4B08" w:rsidRPr="006B3495">
        <w:rPr>
          <w:rFonts w:asciiTheme="majorBidi" w:hAnsiTheme="majorBidi" w:cstheme="majorBidi"/>
          <w:sz w:val="24"/>
          <w:szCs w:val="24"/>
          <w:highlight w:val="yellow"/>
        </w:rPr>
        <w:t>V</w:t>
      </w:r>
      <w:r w:rsidR="004B4B08">
        <w:rPr>
          <w:rFonts w:asciiTheme="majorBidi" w:hAnsiTheme="majorBidi" w:cstheme="majorBidi"/>
          <w:sz w:val="24"/>
          <w:szCs w:val="24"/>
          <w:highlight w:val="yellow"/>
        </w:rPr>
        <w:t>C</w:t>
      </w:r>
      <w:r w:rsidR="004B4B08" w:rsidRPr="006B3495">
        <w:rPr>
          <w:rFonts w:asciiTheme="majorBidi" w:hAnsiTheme="majorBidi" w:cstheme="majorBidi"/>
          <w:sz w:val="24"/>
          <w:szCs w:val="24"/>
          <w:highlight w:val="yellow"/>
        </w:rPr>
        <w:t xml:space="preserve">D </w:t>
      </w:r>
      <w:r w:rsidR="00E72F67" w:rsidRPr="006B3495">
        <w:rPr>
          <w:rFonts w:asciiTheme="majorBidi" w:hAnsiTheme="majorBidi" w:cstheme="majorBidi"/>
          <w:sz w:val="24"/>
          <w:szCs w:val="24"/>
        </w:rPr>
        <w:t xml:space="preserve">group was associated higher among females compared to males, while the TRA was statistically higher in males compared to females (P&lt;0.05). Another study by Mufarrih </w:t>
      </w:r>
      <w:r w:rsidR="00E72F67" w:rsidRPr="006B3495">
        <w:rPr>
          <w:rFonts w:asciiTheme="majorBidi" w:hAnsiTheme="majorBidi" w:cstheme="majorBidi"/>
          <w:sz w:val="24"/>
          <w:szCs w:val="24"/>
        </w:rPr>
        <w:fldChar w:fldCharType="begin" w:fldLock="1"/>
      </w:r>
      <w:r w:rsidR="00E72F67" w:rsidRPr="006B3495">
        <w:rPr>
          <w:rFonts w:asciiTheme="majorBidi" w:hAnsiTheme="majorBidi" w:cstheme="majorBidi"/>
          <w:sz w:val="24"/>
          <w:szCs w:val="24"/>
        </w:rPr>
        <w:instrText>ADDIN CSL_CITATION {"citationItems":[{"id":"ITEM-1","itemData":{"DOI":"10.1016/j.amjcard.2024.02.032","ISSN":"18791913","abstract":"Radial artery occlusion (RAO) is a major impediment to reintervention in patients who underwent proximal transradial access (p-TRA) for coronary catheterization. Distal transradial access (d-TRA) at the level of snuffbox distal to the radial artery bifurcation is a novel alternative to p-TRA. We conducted an updated meta-analysis of all available randomized controlled trials (RCTs) to compare the incidence of RAO between p-TRA and d-TRA, along with access site–related complications. PubMed, Web of Science, and Google Scholar were searched for RCTs published since 2017 to October 2023 comparing d-TRA and p-TRA for coronary angiography and/or intervention. Risk ratios (RRs) and mean differences (MDs) with 95% confidence intervals were calculated using the random-effects model for procedural and clinical outcomes for the 2 approaches. A total of 18 RCTs with 8,205 patients (d-TRA n = 4,096, p-TRA n = 4,109) were included. The risk of RAO (RR 0.31, 0.21 to 0.46, p ≤0.001) and time to hemostasis (minutes) (MD −51.18, −70.62 to −31.73, p &lt;0.001) was significantly lower in the d-TRA group. Crossover rates (RR 2.39, 1.71 to 3.32, p &lt;0.001), access time (minutes) (MD 0.93, 0.50 to 1.37, p &lt;0.001), procedural pain (MD 0.46, 0.13 to 0.79, p = 0.006), and multiple puncture attempts (RR 2.13, 1.10 to 4.11, p = 0.03) were significantly higher in the d-TRA group. The use of d-TRA for coronary angiography and/or intervention is associated with a lower risk of RAO at the forearm and may preserve p-TRA site for reintervention in selective patients by reducing the incidence of RAO","author":[{"dropping-particle":"","family":"Mufarrih","given":"Syed Hamza","non-dropping-particle":"","parse-names":false,"suffix":""},{"dropping-particle":"","family":"Haider","given":"Sajjad","non-dropping-particle":"","parse-names":false,"suffix":""},{"dropping-particle":"","family":"Qureshi","given":"Nada Qaisar","non-dropping-particle":"","parse-names":false,"suffix":""},{"dropping-particle":"","family":"Khan","given":"Mohammad Saud","non-dropping-particle":"","parse-names":false,"suffix":""},{"dropping-particle":"","family":"Kazimuddin","given":"Mohammed","non-dropping-particle":"","parse-names":false,"suffix":""},{"dropping-particle":"","family":"Akbar","given":"Muhammad Shoaib","non-dropping-particle":"","parse-names":false,"suffix":""},{"dropping-particle":"","family":"Saleem","given":"Sameer","non-dropping-particle":"","parse-names":false,"suffix":""},{"dropping-particle":"","family":"Mufarrih","given":"Syeda Aleena","non-dropping-particle":"","parse-names":false,"suffix":""},{"dropping-particle":"","family":"Tripathi","given":"Avnish","non-dropping-particle":"","parse-names":false,"suffix":""},{"dropping-particle":"","family":"Singh","given":"Aniruddha","non-dropping-particle":"","parse-names":false,"suffix":""},{"dropping-particle":"","family":"Waheed","given":"Mohammad Abdul","non-dropping-particle":"","parse-names":false,"suffix":""}],"container-title":"American Journal of Cardiology","id":"ITEM-1","issued":{"date-parts":[["2024"]]},"title":"Distal Versus Proximal Radial Arterial Access for Percutaneous Coronary Angiography and Intervention: Updated Meta-Analysis of Randomized Controlled Trials","type":"article-journal","volume":"218"},"uris":["http://www.mendeley.com/documents/?uuid=706db8a4-c028-361a-902d-cb9a1878fe77"]}],"mendeley":{"formattedCitation":"(30)","plainTextFormattedCitation":"(30)","previouslyFormattedCitation":"(30)"},"properties":{"noteIndex":0},"schema":"https://github.com/citation-style-language/schema/raw/master/csl-citation.json"}</w:instrText>
      </w:r>
      <w:r w:rsidR="00E72F67" w:rsidRPr="006B3495">
        <w:rPr>
          <w:rFonts w:asciiTheme="majorBidi" w:hAnsiTheme="majorBidi" w:cstheme="majorBidi"/>
          <w:sz w:val="24"/>
          <w:szCs w:val="24"/>
        </w:rPr>
        <w:fldChar w:fldCharType="separate"/>
      </w:r>
      <w:r w:rsidR="00E72F67" w:rsidRPr="006B3495">
        <w:rPr>
          <w:rFonts w:asciiTheme="majorBidi" w:hAnsiTheme="majorBidi" w:cstheme="majorBidi"/>
          <w:sz w:val="24"/>
          <w:szCs w:val="24"/>
        </w:rPr>
        <w:t>(30)</w:t>
      </w:r>
      <w:r w:rsidR="00E72F67" w:rsidRPr="006B3495">
        <w:rPr>
          <w:rFonts w:asciiTheme="majorBidi" w:hAnsiTheme="majorBidi" w:cstheme="majorBidi"/>
          <w:sz w:val="24"/>
          <w:szCs w:val="24"/>
        </w:rPr>
        <w:fldChar w:fldCharType="end"/>
      </w:r>
      <w:r w:rsidR="00E72F67" w:rsidRPr="006B3495">
        <w:rPr>
          <w:rFonts w:asciiTheme="majorBidi" w:hAnsiTheme="majorBidi" w:cstheme="majorBidi"/>
          <w:sz w:val="24"/>
          <w:szCs w:val="24"/>
        </w:rPr>
        <w:t xml:space="preserve"> agrees with these results, showing that the preference for TRA among male patients is related to anatomical considerations, such as larger radial arteries and a lower risk of vascular complications.</w:t>
      </w:r>
    </w:p>
    <w:p w14:paraId="0A5AB762" w14:textId="6EA2C6F6" w:rsidR="00EC74E8" w:rsidRPr="006B3495" w:rsidRDefault="00E72F67" w:rsidP="00E72F6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lastRenderedPageBreak/>
        <w:t>Regarding employment, t</w:t>
      </w:r>
      <w:r w:rsidR="00EC74E8" w:rsidRPr="006B3495">
        <w:rPr>
          <w:rFonts w:asciiTheme="majorBidi" w:hAnsiTheme="majorBidi" w:cstheme="majorBidi"/>
          <w:sz w:val="24"/>
          <w:szCs w:val="24"/>
        </w:rPr>
        <w:t xml:space="preserve">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00EC74E8" w:rsidRPr="006B3495">
        <w:rPr>
          <w:rFonts w:asciiTheme="majorBidi" w:hAnsiTheme="majorBidi" w:cstheme="majorBidi"/>
          <w:sz w:val="24"/>
          <w:szCs w:val="24"/>
        </w:rPr>
        <w:t xml:space="preserve">that PCI is elevated among employed compared to unemployed due to higher stress and depression levels or job-related factors predisposing them to CVD </w:t>
      </w:r>
      <w:r w:rsidR="00342489"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{"citationItems":[{"id":"ITEM-1","itemData":{"DOI":"10.1186/s12889-023-17034-3","ISSN":"14712458","abstract":"Background: Commencing work at an early age has been linked to various risk factors for coronary heart disease (CHD), such as shift work and intensive job strain. However, the relationship between starting work too early and CHD risk remains largely unclear. We examined the association between age at job initiation and the risk of CHD. Methods: UK Biobank participants aged 38 to 70 years without cardiovascular disease who provided data on their age at job initiation were included. The primary outcome was CHD, which was ascertained using hospital and death records. The hazard ratios (HRs) and 95% confidence interval (CIs) for the association between age at job initiation and CHD were calculated using multivariable Cox regression. Results: Of the 501,971 participants, 114,418 eligible participants were included in the final analysis. The median age at job initiation was 19.0 years. During the mean follow-up of 12.6 years, 6,130 (5.4%) first CHD events occurred. We observed that age at job initiation was inversely associated with CHD (HR 0.98, 95% CI 0.97–0.99), and the association was potentially J-shaped. The HRs for the &lt; 17-year, 17–18-year, and 19–21-year age groups were 1.29 (95%CI 1.18–1.41), 1.12 (95% CI 1.03–1.22) and 1.05 (95% CI 0.97–1.14), respectively, compared with those of the ≥ 22-year group. Conclusions: Age at job initiation was associated with incident CHD, which was independent of socioeconomic status. Participants who commenced employment before the age of 19 years exhibited a higher risk of developing CHD later in adulthood.","author":[{"dropping-particle":"","family":"Zhang","given":"Zenghui","non-dropping-particle":"","parse-names":false,"suffix":""},{"dropping-particle":"","family":"Zeng","given":"Chuanrui","non-dropping-particle":"","parse-names":false,"suffix":""},{"dropping-particle":"","family":"Chen","given":"Zhiteng","non-dropping-particle":"","parse-names":false,"suffix":""},{"dropping-particle":"","family":"Liu","given":"Pinming","non-dropping-particle":"","parse-names":false,"suffix":""},{"dropping-particle":"","family":"Gao","given":"Jingwei","non-dropping-particle":"","parse-names":false,"suffix":""},{"dropping-particle":"","family":"Guo","given":"Qi","non-dropping-particle":"","parse-names":false,"suffix":""},{"dropping-particle":"","family":"Wu","given":"Maoxiong","non-dropping-particle":"","parse-names":false,"suffix":""},{"dropping-particle":"","family":"He","given":"Wanbing","non-dropping-particle":"","parse-names":false,"suffix":""},{"dropping-particle":"","family":"Gao","given":"Qingyuan","non-dropping-particle":"","parse-names":false,"suffix":""},{"dropping-particle":"","family":"Guo","given":"Dachuan","non-dropping-particle":"","parse-names":false,"suffix":""},{"dropping-particle":"","family":"Liang","given":"Xiaotian","non-dropping-particle":"","parse-names":false,"suffix":""},{"dropping-particle":"","family":"Huang","given":"Zegui","non-dropping-particle":"","parse-names":false,"suffix":""},{"dropping-particle":"","family":"Wang","given":"Jingfeng","non-dropping-particle":"","parse-names":false,"suffix":""},{"dropping-particle":"","family":"Zhang","given":"Haifeng","non-dropping-particle":"","parse-names":false,"suffix":""},{"dropping-particle":"","family":"Chen","given":"Yangxin","non-dropping-particle":"","parse-names":false,"suffix":""}],"container-title":"BMC Public Health","id":"ITEM-1","issue":"1","issued":{"date-parts":[["2023"]]},"title":"Age at job initiation and risk of coronary heart disease: findings from the UK biobank cohort study","type":"article-journal","volume":"23"},"uris":["http://www.mendeley.com/documents/?uuid=928220c5-89e4-39f1-b5ea-83e5002b6edb"]}],"mendeley":{"formattedCitation":"(29)","plainTextFormattedCitation":"(29)","previouslyFormattedCitation":"(29)"},"properties":{"noteIndex":0},"schema":"https://github.com/citation-style-language/schema/raw/master/csl-citation.json"}</w:instrText>
      </w:r>
      <w:r w:rsidR="00342489"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(29)</w:t>
      </w:r>
      <w:r w:rsidR="00342489" w:rsidRPr="006B3495">
        <w:rPr>
          <w:rFonts w:asciiTheme="majorBidi" w:hAnsiTheme="majorBidi" w:cstheme="majorBidi"/>
          <w:sz w:val="24"/>
          <w:szCs w:val="24"/>
        </w:rPr>
        <w:fldChar w:fldCharType="end"/>
      </w:r>
      <w:r w:rsidR="00EC74E8" w:rsidRPr="006B3495">
        <w:rPr>
          <w:rFonts w:asciiTheme="majorBidi" w:hAnsiTheme="majorBidi" w:cstheme="majorBidi"/>
          <w:sz w:val="24"/>
          <w:szCs w:val="24"/>
        </w:rPr>
        <w:t xml:space="preserve">. </w:t>
      </w:r>
    </w:p>
    <w:p w14:paraId="5539E4BF" w14:textId="25DA7E6E" w:rsidR="00EC74E8" w:rsidRPr="006B3495" w:rsidRDefault="00EC74E8" w:rsidP="00665AD7">
      <w:pPr>
        <w:spacing w:after="240" w:line="480" w:lineRule="auto"/>
        <w:jc w:val="both"/>
        <w:rPr>
          <w:rFonts w:asciiTheme="majorBidi" w:hAnsiTheme="majorBidi" w:cstheme="majorBidi"/>
          <w:sz w:val="24"/>
          <w:szCs w:val="24"/>
          <w:rtl/>
          <w:lang w:bidi="ar-EG"/>
        </w:rPr>
      </w:pPr>
      <w:r w:rsidRPr="006B3495">
        <w:rPr>
          <w:rFonts w:asciiTheme="majorBidi" w:hAnsiTheme="majorBidi" w:cstheme="majorBidi"/>
          <w:sz w:val="24"/>
          <w:szCs w:val="24"/>
        </w:rPr>
        <w:t>The elevated percentage of diagnose</w:t>
      </w:r>
      <w:r w:rsidR="006C4E23">
        <w:rPr>
          <w:rFonts w:asciiTheme="majorBidi" w:hAnsiTheme="majorBidi" w:cstheme="majorBidi"/>
          <w:sz w:val="24"/>
          <w:szCs w:val="24"/>
        </w:rPr>
        <w:t>s</w:t>
      </w:r>
      <w:r w:rsidRPr="006B3495">
        <w:rPr>
          <w:rFonts w:asciiTheme="majorBidi" w:hAnsiTheme="majorBidi" w:cstheme="majorBidi"/>
          <w:sz w:val="24"/>
          <w:szCs w:val="24"/>
        </w:rPr>
        <w:t xml:space="preserve"> with MI compared to the other diagnoses among PCI patients can be attributed to many factors, such as emergency treatment because MI requires prompt treatment to decrease heart damage. Also, established clinical guidelines often prioritize PCI for patients with MI, especially those with STEMI, owing to the proven benefits in lowering morbidity and </w:t>
      </w:r>
      <w:r w:rsidR="005B0009" w:rsidRPr="006B3495">
        <w:rPr>
          <w:rFonts w:asciiTheme="majorBidi" w:hAnsiTheme="majorBidi" w:cstheme="majorBidi"/>
          <w:sz w:val="24"/>
          <w:szCs w:val="24"/>
        </w:rPr>
        <w:t xml:space="preserve">mortality </w:t>
      </w:r>
      <w:r w:rsidR="00634426"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{"citationItems":[{"id":"ITEM-1","itemData":{"DOI":"10.1161/CIRCINTERVENTIONS.123.013455","ISSN":"19417632","abstract":"BACKGROUND: It is uncertain whether adjunctive thrombolysis is beneficial for patients with ST-segment-elevation myocardial infarction undergoing percutaneous coronary intervention (PCI) within 120 minutes of presentation. This study was to determine whether in patients presenting with ST-segment-elevation myocardial infarction a single bolus recombinant staphylokinase (r-SAK) before timely PCI leads to improved patency of the infarct-related artery and reduces the infarct size. METHODS: This is an open-label, prospective, multicenter, randomized study. We enrolled patients aged 18 to 75 years who were within 12 hours of symptom onset of ST-segment-elevation myocardial infarction and expected to undergo PCI within 120 minutes. Patients were administered loading doses of aspirin and ticagrelor and intravenous heparin and were randomized to receive 5 mg bolus of r-SAK or normal saline intravenously before PCI. The primary end point was Thrombolysis in Myocardial Infarction flow grade 2 to 3 or grade 3 in the infarct-related artery 60 minutes after thrombolysis. The infarct size was detected by cardiac magnetic resonance 5 days after randomization. The safety end point was major bleeding (Bleeding Academic Research Consortium ≥3) during 30-day follow-up. RESULTS: A total of 283 patients were screened from 8 centers and 200 were randomized (median age, 58.5 years; 14% female). The median symptom to thrombolysis time was 252.5 (interquartile range, 142.8-423.8) minutes and thrombolysis to coronary arteriography was 50.0 (interquartile range, 37.0-66.0) minutes. Patients randomized to r-SAK compared with normal saline more often had Thrombolysis in Myocardial Infarction flow grade 2 to 3 (69.0% versus 29.0%; P&lt;0.001) and Thrombolysis in Myocardial Infarction flow grade 3 (51.0% versus 18.0%; P&lt;0.001) and had smaller infarct size (21.91±10.84% versus 26.85±12.37%; P=0.016). There was no increase in major bleeding (r-SAK, 1.0% versus control, 3.0%; P=0.616). CONCLUSIONS: A single bolus r-SAK before primary PCI for ST-segment-elevation myocardial infarction improves infarct-related artery patency and reduces infarct size without increasing major bleeding.","author":[{"dropping-particle":"","family":"Chen","given":"Pengsheng","non-dropping-particle":"","parse-names":false,"suffix":""},{"dropping-particle":"","family":"Eikelboom","given":"John W.","non-dropping-particle":"","parse-names":false,"suffix":""},{"dropping-particle":"","family":"Tan","given":"Chunyue","non-dropping-particle":"","parse-names":false,"suffix":""},{"dropping-particle":"","family":"Zhang","given":"Wenhao","non-dropping-particle":"","parse-names":false,"suffix":""},{"dropping-particle":"","family":"Xu","given":"Yi","non-dropping-particle":"","parse-names":false,"suffix":""},{"dropping-particle":"","family":"Bai","given":"Jianling","non-dropping-particle":"","parse-names":false,"suffix":""},{"dropping-particle":"","family":"Wang","given":"Jun","non-dropping-particle":"","parse-names":false,"suffix":""},{"dropping-particle":"","family":"Wang","given":"Tong","non-dropping-particle":"","parse-names":false,"suffix":""},{"dropping-particle":"","family":"Gong","given":"Xiaoxuan","non-dropping-particle":"","parse-names":false,"suffix":""},{"dropping-particle":"","family":"Liu","given":"Kun","non-dropping-particle":"","parse-names":false,"suffix":""},{"dropping-particle":"","family":"Chen","given":"Xin","non-dropping-particle":"","parse-names":false,"suffix":""},{"dropping-particle":"","family":"Wang","given":"Xiaoyan","non-dropping-particle":"","parse-names":false,"suffix":""},{"dropping-particle":"","family":"Zhu","given":"Li","non-dropping-particle":"","parse-names":false,"suffix":""},{"dropping-particle":"","family":"Zhao","given":"Xin","non-dropping-particle":"","parse-names":false,"suffix":""},{"dropping-particle":"","family":"Yang","given":"Naiquan","non-dropping-particle":"","parse-names":false,"suffix":""},{"dropping-particle":"","family":"Jiang","given":"Jun","non-dropping-particle":"","parse-names":false,"suffix":""},{"dropping-particle":"","family":"Pu","given":"Jun","non-dropping-particle":"","parse-names":false,"suffix":""},{"dropping-particle":"","family":"Zhao","given":"Bo","non-dropping-particle":"","parse-names":false,"suffix":""},{"dropping-particle":"","family":"Chen","given":"Zengguang","non-dropping-particle":"","parse-names":false,"suffix":""},{"dropping-particle":"","family":"Li","given":"Baihong","non-dropping-particle":"","parse-names":false,"suffix":""},{"dropping-particle":"","family":"Wang","given":"Guoyu","non-dropping-particle":"","parse-names":false,"suffix":""},{"dropping-particle":"","family":"Lu","given":"Chuan","non-dropping-particle":"","parse-names":false,"suffix":""},{"dropping-particle":"","family":"Ying","given":"Lianghong","non-dropping-particle":"","parse-names":false,"suffix":""},{"dropping-particle":"","family":"Jiang","given":"Meng","non-dropping-particle":"","parse-names":false,"suffix":""},{"dropping-particle":"","family":"Zhu","given":"Xiaomei","non-dropping-particle":"","parse-names":false,"suffix":""},{"dropping-particle":"","family":"Ma","given":"Jiazheng","non-dropping-particle":"","parse-names":false,"suffix":""},{"dropping-particle":"","family":"Dong","given":"Zhou","non-dropping-particle":"","parse-names":false,"suffix":""},{"dropping-particle":"","family":"Li","given":"Chen","non-dropping-particle":"","parse-names":false,"suffix":""},{"dropping-particle":"","family":"Zong","given":"Jiaxin","non-dropping-particle":"","parse-names":false,"suffix":""},{"dropping-particle":"","family":"Zhang","given":"Fumin","non-dropping-particle":"","parse-names":false,"suffix":""},{"dropping-particle":"","family":"Zhu","given":"Jun","non-dropping-particle":"","parse-names":false,"suffix":""},{"dropping-particle":"","family":"Huang","given":"Jun","non-dropping-particle":"","parse-names":false,"suffix":""},{"dropping-particle":"","family":"Kong","given":"Xiangqing","non-dropping-particle":"","parse-names":false,"suffix":""},{"dropping-particle":"","family":"Yu","given":"Hao","non-dropping-particle":"","parse-names":false,"suffix":""},{"dropping-particle":"","family":"Li","given":"Chunjian","non-dropping-particle":"","parse-names":false,"suffix":""}],"container-title":"Circulation: Cardiovascular Interventions","id":"ITEM-1","issue":"2","issued":{"date-parts":[["2024"]]},"title":"Single Bolus r-SAK Before Primary PCI for ST-Segment-Elevation Myocardial Infarction","type":"article-journal","volume":"17"},"uris":["http://www.mendeley.com/documents/?uuid=0c2a14a4-1223-32be-8ee1-d772a8f89dd2"]},{"id":"ITEM-2","itemData":{"DOI":"10.1016/j.amjcard.2019.04.048","ISSN":"18791913","abstract":"The relative benefit of staged percutaneous coronary intervention (PCI) versus culprit-only PCI in patients with ST-segment elevation myocardial infarction and multivessel coronary disease remains disputable. Therefore, we conducted this study to compare the long-term outcomes of staged complete revascularization and culprit-only PCI in this population. A total of 1,205 patients were treated with staged PCI (n = 576) or culprit-only PCI (n = 629) from January 2006 to December 2015 in our center. After propensity-score matching, 415 pairs of patients were identified, and postmatching absolute standardized differences were &lt;10% for all covariates. The primary endpoint was major adverse cardiac and cerebrovascular event (MACCE), defined as a composite of all-cause death, myocardial infarction (MI), stroke, or unplanned revascularization. The mean follow-up duration was 5 years. Overall, staged complete revascularization was associated with lower risks of MACCE, MI, unplanned revascularization, and a composite of cardiac death, MI or stroke compared with culprit-only PCI in both overall population and propensity-matched cohorts. In Cox proportional hazards regression analysis, the strategy of staged PCI was consistently a significant predictor of lower incidences of MACCE, MI, unplanned revascularization and a composite of cardiac death, MI, or stroke. However, there was no difference in the risks of MACCE, MI and unplanned revascularization between the 2 approaches for diabetic patients. In conclusion, among patients with ST-segment elevation myocardial infarction and multivessel disease who underwent primary PCI, an approach of staged complete revascularization is superior to culprit-only PCI at 5-year follow-up. Nevertheless, the advantage of staged PCI is attenuated in diabetic patients.","author":[{"dropping-particle":"","family":"Cui","given":"Kongyong","non-dropping-particle":"","parse-names":false,"suffix":""},{"dropping-particle":"","family":"Lyu","given":"Shuzheng","non-dropping-particle":"","parse-names":false,"suffix":""},{"dropping-particle":"","family":"Song","given":"Xiantao","non-dropping-particle":"","parse-names":false,"suffix":""},{"dropping-particle":"","family":"Liu","given":"Hong","non-dropping-particle":"","parse-names":false,"suffix":""},{"dropping-particle":"","family":"Yuan","given":"Fei","non-dropping-particle":"","parse-names":false,"suffix":""},{"dropping-particle":"","family":"Xu","given":"Feng","non-dropping-particle":"","parse-names":false,"suffix":""},{"dropping-particle":"","family":"Zhang","given":"Min","non-dropping-particle":"","parse-names":false,"suffix":""},{"dropping-particle":"","family":"Wang","given":"Wei","non-dropping-particle":"","parse-names":false,"suffix":""},{"dropping-particle":"","family":"Zhang","given":"Mingduo","non-dropping-particle":"","parse-names":false,"suffix":""},{"dropping-particle":"","family":"Zhang","given":"Dongfeng","non-dropping-particle":"","parse-names":false,"suffix":""},{"dropping-particle":"","family":"Tian","given":"Jinfan","non-dropping-particle":"","parse-names":false,"suffix":""}],"container-title":"American Journal of Cardiology","id":"ITEM-2","issue":"3","issued":{"date-parts":[["2019"]]},"title":"Long-Term Safety and Efficacy of Staged Percutaneous Coronary Intervention for Patients with ST-Segment Elevation Myocardial Infarction and Multivessel Coronary Disease","type":"article-journal","volume":"124"},"uris":["http://www.mendeley.com/documents/?uuid=04133902-fd49-34ef-bcb1-3fe83ffe8d32"]}],"mendeley":{"formattedCitation":"(31,32)","plainTextFormattedCitation":"(31,32)","previouslyFormattedCitation":"(31,32)"},"properties":{"noteIndex":0},"schema":"https://github.com/citation-style-language/schema/raw/master/csl-citation.json"}</w:instrText>
      </w:r>
      <w:r w:rsidR="00634426"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(31,32)</w:t>
      </w:r>
      <w:r w:rsidR="00634426" w:rsidRPr="006B3495">
        <w:rPr>
          <w:rFonts w:asciiTheme="majorBidi" w:hAnsiTheme="majorBidi" w:cstheme="majorBidi"/>
          <w:sz w:val="24"/>
          <w:szCs w:val="24"/>
        </w:rPr>
        <w:fldChar w:fldCharType="end"/>
      </w:r>
      <w:r w:rsidR="00634426"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Also, the current study illustrated that the majority underwent interventional procedures while less than half underwent diagnostic procedures. </w:t>
      </w:r>
      <w:r w:rsidR="002F156D" w:rsidRPr="006B3495">
        <w:rPr>
          <w:rFonts w:asciiTheme="majorBidi" w:hAnsiTheme="majorBidi" w:cstheme="majorBidi"/>
          <w:sz w:val="24"/>
          <w:szCs w:val="24"/>
        </w:rPr>
        <w:t xml:space="preserve">Park </w:t>
      </w:r>
      <w:r w:rsidR="002F156D"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{"citationItems":[{"id":"ITEM-1","itemData":{"DOI":"10.1111/jgs.18120","ISSN":"15325415","abstract":"Background: As the population ages, clinicians increasingly encounter ischemic heart disease in patients with underlying dementia. Therefore, we quantified differences in inhospital adverse events and 30-day readmission rates among patients with and without dementia undergoing percutaneous coronary intervention (PCI). Methods: Using the National Readmissions Database 2017–2018, we identified 755,406 index hospitalizations in which PCI was performed, of which 17,309 (2.3%) had a diagnosis of dementia. After propensity score matching patients with and without dementia, we assessed 30-day readmission and inhospital adverse events by Cox proportional hazards and logistic regression modeling and compared them with those of other common cardiac (pacemaker placement [PP]) and noncardiac (hip replacement surgery [HRS]) procedures. Results: Thirty-day readmission was significantly higher in patients with dementia than patients without dementia (hazard ratio [HR] 1.67, 95% confidence interval [CI] 1.60–1.74). Patients with dementia also experienced higher odds of delirium (odds ratio [OR] 4.37, CI 3.69–5.16), inhospital mortality (OR 1.15, CI 1.01–1.30), cardiac arrest (OR 1.19, CI 1.01–1.39), acute kidney injury (OR 1.30, CI 1.21–1.39), and fall (OR 2.51, CI 2.06–3.07). On multivariable Cox modeling, dementia independently predicted 30-day readmission (HR 1.14, CI 1.07–1.20). The higher readmission risk with PCI (11%) among those with dementia was similar to that of patients undergoing PP (10%), but lower than in those undergoing HRS (41%). Conclusion: Patients with dementia who undergo PCI experience significantly increased rates of inhospital delirium, mortality, kidney injury, falls, and 30-day readmission. These adverse outcomes should be considered during shared decision-making with patients and their families.","author":[{"dropping-particle":"","family":"Park","given":"Dae Yong","non-dropping-particle":"","parse-names":false,"suffix":""},{"dropping-particle":"","family":"Hu","given":"Jiun Ruey","non-dropping-particle":"","parse-names":false,"suffix":""},{"dropping-particle":"","family":"Alexander","given":"Karen P.","non-dropping-particle":"","parse-names":false,"suffix":""},{"dropping-particle":"","family":"Nanna","given":"Michael G.","non-dropping-particle":"","parse-names":false,"suffix":""}],"container-title":"Journal of the American Geriatrics Society","id":"ITEM-1","issue":"4","issued":{"date-parts":[["2023"]]},"title":"Readmission and adverse outcomes after percutaneous coronary intervention in patients with dementia","type":"article-journal","volume":"71"},"uris":["http://www.mendeley.com/documents/?uuid=466dfc2b-69b7-3ca6-95ac-9f8a79e9fbea"]}],"mendeley":{"formattedCitation":"(33)","plainTextFormattedCitation":"(33)","previouslyFormattedCitation":"(33)"},"properties":{"noteIndex":0},"schema":"https://github.com/citation-style-language/schema/raw/master/csl-citation.json"}</w:instrText>
      </w:r>
      <w:r w:rsidR="002F156D"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(33)</w:t>
      </w:r>
      <w:r w:rsidR="002F156D" w:rsidRPr="006B3495">
        <w:rPr>
          <w:rFonts w:asciiTheme="majorBidi" w:hAnsiTheme="majorBidi" w:cstheme="majorBidi"/>
          <w:sz w:val="24"/>
          <w:szCs w:val="24"/>
        </w:rPr>
        <w:fldChar w:fldCharType="end"/>
      </w:r>
      <w:r w:rsidR="002F156D"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showed the same results as the researchers explained because patients with PCI often address acute issues such as MI and quick attention. </w:t>
      </w:r>
    </w:p>
    <w:p w14:paraId="29094B6E" w14:textId="60FF7C63"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Regarding comorbidities,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that most comorbidities among those studied were </w:t>
      </w:r>
      <w:r w:rsidR="006C4E23">
        <w:rPr>
          <w:rFonts w:asciiTheme="majorBidi" w:hAnsiTheme="majorBidi" w:cstheme="majorBidi"/>
          <w:sz w:val="24"/>
          <w:szCs w:val="24"/>
        </w:rPr>
        <w:t>t</w:t>
      </w:r>
      <w:r w:rsidRPr="006B3495">
        <w:rPr>
          <w:rFonts w:asciiTheme="majorBidi" w:hAnsiTheme="majorBidi" w:cstheme="majorBidi"/>
          <w:sz w:val="24"/>
          <w:szCs w:val="24"/>
        </w:rPr>
        <w:t xml:space="preserve">ype 2 DM, hypertension, hyperlipidemia, and a family history of CAD. At the same time, few cases have undergone CABG because these conditions are associated with an elevated risk of CAD among PCI patients, while few cases have undergone CABG reserved for a multi-vessel disease where PCI is less effective </w:t>
      </w:r>
      <w:r w:rsidR="001415F7"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{"citationItems":[{"id":"ITEM-1","itemData":{"DOI":"10.1016/j.amjcard.2022.09.026","ISSN":"18791913","abstract":"There are limited data on the prevalence and treatment of familial hypercholesterolemia (FH) among Israeli adults who experience premature acute coronary syndrome (ACS). This study aimed to assess the prevalence of FH among young Israeli adults with ACS, examine the rates of lipid-lowering therapy administration, and determine low-density lipoprotein-cholesterol (LDL-C) levels 1 year after ACS. Patients aged ≤55 years hospitalized for ACS at Meir Medical Center between 2018 and 2019 were included. Probable/definite FH was defined using the Dutch Lipid Clinic criteria. Outcomes included the proportion of patients with probable or definite FH, rate of use of lipid-lowering medications, LDL-C levels 1 year postadmission, and major adverse cardiovascular and cerebrovascular events during 30 months of follow-up. The study population comprised 687 young adults with a median age of 48.5 years. Definite/probable FH was present in 61 patients (8.9%). At 1 year of follow-up, the proportions of patients without FH who had LDL-C levels &lt;70 and &lt;55 mg/100 ml were higher than those of patients with FH (55.9% vs 18%, p &lt;0.001 and 35.8% vs 11.5%, p &lt;0.001, respectively). At 1 year of follow-up, only 47.5% and 22% of patients with FH were treated with ezetimibe and proprotein convertase subtilisin/kexin type 9 inhibitor than were those without FH. The incidence of major adverse cardiovascular and cerebrovascular events was significantly higher among patients with FH. In conclusion, clinically defined FH was present in nearly 1 of 11 patients with premature ACS. There is a necessity for more aggressive lipid-lowering therapies in patients with FH after experiencing ACS.","author":[{"dropping-particle":"","family":"Haskiah","given":"Feras","non-dropping-particle":"","parse-names":false,"suffix":""},{"dropping-particle":"","family":"Erez","given":"Daniel","non-dropping-particle":"","parse-names":false,"suffix":""},{"dropping-particle":"","family":"Khaskia","given":"Abid","non-dropping-particle":"","parse-names":false,"suffix":""}],"container-title":"American Journal of Cardiology","id":"ITEM-1","issued":{"date-parts":[["2023"]]},"title":"Familial Hypercholesterolemia Among Young Adults With Acute Coronary Syndrome","type":"article-journal","volume":"186"},"uris":["http://www.mendeley.com/documents/?uuid=12de45df-6ee1-368f-9b21-31ffdab27c6c"]},{"id":"ITEM-2","itemData":{"DOI":"10.1371/journal.pone.0273896","ISSN":"19326203","abstract":"Background Familial hypercholesterolaemia (FH) patients have elevated levels of low-density lipoprotein cholesterol, rendering them at high risk of premature coronary artery disease (PCAD). However, the FH prevalence among angiogram-proven PCAD (AP-PCAD) patients and their status of coronary risk factors (CRFs) have not been reported in the Asian population. Objectives This study aimed to (1) determine the prevalence of clinically diagnosed FH among AP-PCAD patients, (2) compare CRFs between AP-PCAD patients with control groups, and (3) identify the independent predictors of PCAD. Methods AP-PCAD patients and FH patients without PCAD were recruited from Cardiology and Specialist Lipid Clinics. Subjects were divided into AP-PCAD with FH (G1), AP-PCAD without FH (G2), FH without PCAD (G3) and normal controls (G4). Medical records were collected from the clinic database and standardised questionnaires. FH was clinically diagnosed using Dutch Lipid Clinic Network Criteria. Results A total of 572 subjects were recruited (males:86.4%; mean±SD age: 55.6±8.5years). The prevalence of Definite, Potential and All FH among AP-PCAD patients were 6%(19/319), 16% (51/319) and 45.5% (145/319) respectively. G1 had higher central obesity, family history of PCAD and family history of hypercholesterolaemia compared to other groups. Among all subjects, diabetes [OR(95% CI): 4.7(2.9,7.7)], hypertension [OR(95% CI): 14.1 (7.8,25.6)], FH [OR(95% CI): 2.9(1.5,5.5)] and Potential (Definite and Probable) FH [OR (95% CI): 4.5(2.1,9.6)] were independent predictors for PCAD. Among FH patients, family history of PCAD [OR(95% CI): 3.0(1.4,6.3)] and Definite FH [OR(95% CI): 7.1(1.9,27.4)] were independent predictors for PCAD. Conclusion Potential FH is common among AP-PCAD patients and contributes greatly to the AP-PCAD. FH-PCAD subjects have greater proportions of various risk factors compared to other groups. Presence of FH, diabetes, hypertension, obesity and family history of PCAD are independent predictors of PCAD. FH with PCAD is in very-high-risk category, hence, early management of modifiable CRFs in these patients are warranted.","author":[{"dropping-particle":"","family":"Nazli","given":"Sukma Azureen","non-dropping-particle":"","parse-names":false,"suffix":""},{"dropping-particle":"","family":"Chua","given":"Yung An","non-dropping-particle":"","parse-names":false,"suffix":""},{"dropping-particle":"","family":"Mohd Kasim","given":"Noor Alicezah","non-dropping-particle":"","parse-names":false,"suffix":""},{"dropping-particle":"","family":"Ismail","given":"Zaliha","non-dropping-particle":"","parse-names":false,"suffix":""},{"dropping-particle":"","family":"Md Radzi","given":"Ahmad Bakhtiar","non-dropping-particle":"","parse-names":false,"suffix":""},{"dropping-particle":"","family":"Ibrahim","given":"Khairul Shafiq","non-dropping-particle":"","parse-names":false,"suffix":""},{"dropping-particle":"","family":"Kasim","given":"Sazzli Shahlan","non-dropping-particle":"","parse-names":false,"suffix":""},{"dropping-particle":"","family":"Rosman","given":"Azhari","non-dropping-particle":"","parse-names":false,"suffix":""},{"dropping-particle":"","family":"Nawawi","given":"Hapizah","non-dropping-particle":"","parse-names":false,"suffix":""}],"container-title":"PLoS ONE","id":"ITEM-2","issue":"9 September","issued":{"date-parts":[["2022"]]},"title":"Familial hypercholesterolaemia and coronary risk factors among patients with angiogram-proven premature coronary artery disease in an Asian cohort","type":"article-journal","volume":"17"},"uris":["http://www.mendeley.com/documents/?uuid=bea0546e-ef54-3ee3-a40f-a43c5c5fc8aa"]}],"mendeley":{"formattedCitation":"(34,35)","plainTextFormattedCitation":"(34,35)","previouslyFormattedCitation":"(34,35)"},"properties":{"noteIndex":0},"schema":"https://github.com/citation-style-language/schema/raw/master/csl-citation.json"}</w:instrText>
      </w:r>
      <w:r w:rsidR="001415F7"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(34,35)</w:t>
      </w:r>
      <w:r w:rsidR="001415F7"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However, the findings showed that about one-third of the participants of the study had previous PCI, and more than one quartile of them used GPI to decrease platelet aggregation during the procedure, while a few cases had received treatment with an IABP because it's typically reserved for patients with severe cardiac conditions </w:t>
      </w:r>
      <w:r w:rsidR="00A6671C"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{"citationItems":[{"id":"ITEM-1","itemData":{"DOI":"10.3390/jcm13072121","ISSN":"20770383","abstract":"Background: Comatose survivors of out-of-hospital cardiac arrest (OHCA) undergoing percutaneous coronary intervention (PCI) and target temperature management (TTM) are at increased risk of stent thrombosis (ST), partly due to delayed platelet inhibition even with more potent P2Y12 agents. We hypothesized that periprocedural cangrelor would induce immediate platelet inhibition, bridging the “P2Y12 inhibition gap”. Methods: In our pilot study, we randomized 30 comatose OHCA patients undergoing PCI and TTM (32–34 °C) into cangrelor and control groups. Both groups received unfractioned heparin, acetylsalicylic acid, and ticagrelor via enteral tube. The cangrelor group also received an intravenous bolus of cangrelor followed by a 4 h infusion. Platelet inhibition was measured using VerifyNow® and Multiplate® ADP at baseline and 1, 3, 5, and 8 h post PCI. Results: Patient characteristics did not differ between groups. VerifyNow® showed significantly decreased platelet reactivity with cangrelor at 1 h (30 vs. 221 PRU; p &lt; 0.001) and 3 h (24 vs. 180 PRU; p &lt; 0.001), with differences at 5 and 8 h. Similarly, the proportion of patients with high on-treatment platelet reactivity (HPR) in the cangrelor group was significantly lower at 1 h (0% vs. 67%; p &lt; 0.001) and 3 h (0% vs. 47%; p = 0.007). Multiplate® ADP was also decreased at 1 h (14 vs. 48 U; p &lt; 0.001) and 3 h (11 vs. 42 U; p = 0.001), with no difference at 5 and 8 h. The occurrence of bleeding events was similar in both groups. Conclusions: Cangrelor safely induced immediate and profound platelet inhibition. We observed no significant drug–drug interaction with ticagrelor.","author":[{"dropping-particle":"","family":"Kordis","given":"Peter","non-dropping-particle":"","parse-names":false,"suffix":""},{"dropping-particle":"","family":"Berden","given":"Jernej","non-dropping-particle":"","parse-names":false,"suffix":""},{"dropping-particle":"","family":"Mikuz","given":"Ursa","non-dropping-particle":"","parse-names":false,"suffix":""},{"dropping-particle":"","family":"Noc","given":"Marko","non-dropping-particle":"","parse-names":false,"suffix":""}],"container-title":"Journal of Clinical Medicine","id":"ITEM-1","issue":"7","issued":{"date-parts":[["2024"]]},"title":"Immediate Platelet Inhibition Strategy for Comatose Out-of-Hospital Cardiac Arrest Survivors Undergoing Percutaneous Coronary Intervention and Mild Therapeutic Hypothermia","type":"article-journal","volume":"13"},"uris":["http://www.mendeley.com/documents/?uuid=8a190699-06d7-4798-b323-f5c4307da28e"]}],"mendeley":{"formattedCitation":"(36)","plainTextFormattedCitation":"(36)","previouslyFormattedCitation":"(36)"},"properties":{"noteIndex":0},"schema":"https://github.com/citation-style-language/schema/raw/master/csl-citation.json"}</w:instrText>
      </w:r>
      <w:r w:rsidR="00A6671C"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(36)</w:t>
      </w:r>
      <w:r w:rsidR="00A6671C"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The current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that all participants in the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had MI, while 95% had MI in the TRA group, and 5% had PC. This statistical test showed MI was statistically significant among TFA </w:t>
      </w:r>
      <w:r w:rsidR="00FA2322">
        <w:rPr>
          <w:rFonts w:asciiTheme="majorBidi" w:hAnsiTheme="majorBidi" w:cstheme="majorBidi"/>
          <w:sz w:val="24"/>
          <w:szCs w:val="24"/>
        </w:rPr>
        <w:t>with</w:t>
      </w:r>
      <w:r w:rsidRPr="006B3495">
        <w:rPr>
          <w:rFonts w:asciiTheme="majorBidi" w:hAnsiTheme="majorBidi" w:cstheme="majorBidi"/>
          <w:sz w:val="24"/>
          <w:szCs w:val="24"/>
        </w:rPr>
        <w:t xml:space="preserve">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compared to the TRA group. The results suggested that undergoing PCI </w:t>
      </w:r>
      <w:r w:rsidRPr="006B3495">
        <w:rPr>
          <w:rFonts w:asciiTheme="majorBidi" w:hAnsiTheme="majorBidi" w:cstheme="majorBidi"/>
          <w:sz w:val="24"/>
          <w:szCs w:val="24"/>
        </w:rPr>
        <w:lastRenderedPageBreak/>
        <w:t xml:space="preserve">via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had a notably higher incidence of MI compared to those undergoing TRA, and the current results agree with </w:t>
      </w:r>
      <w:r w:rsidR="005916D5"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{"citationItems":[{"id":"ITEM-1","itemData":{"DOI":"10.1016/j.jcin.2023.03.043","ISSN":"18767605","abstract":"Background: Contemporary data comparing the outcomes of transradial access (TRA) vs transfemoral access (TFA) among patients presenting with acute myocardial infarction and cardiogenic shock (AMI-CS) undergoing percutaneous coronary intervention (PCI) are limited. Objectives: This study examines in-hospital outcomes and institutional variation among patients with AMI-CS undergoing TRA-PCI vs TFA-PCI. Methods: Patients admitted with AMI-CS from the NCDR CathPCI registry between April 2018 and June 2021 were included. Multivariable logistic regression and inverse probability weighting models were used to assess the association between access site and in-hospital outcomes. A falsification analysis using non-access site–related bleeding was performed. Results: Among 35,944 patients with AMI-CS undergoing PCI, 25.6% were performed with TRA. The proportion of TRA-PCI increased over the study period (22.0% in the second quarter of 2018 vs 29.1% in the second quarter of 2021; P-trend &lt;0.001). Significant institutional-level variability in the use of TRA-PCI was also observed: 20.9% of all sites using TRA in &lt;2% of PCIs (low utilization) vs 1.9% of all sites using TRA in &gt;80% of PCIs (high utilization). Patients undergoing TRA-PCI had a significantly lower adjusted incidence of major bleeding (odds ratio [OR]: 0.71; 95% confidence interval [CI]: 0.67-0.76), mortality (OR: 0.73; 95% CI: 0.69-0.78), vascular complications (OR: 0.67; 95% CI: 0.54-0.84), and new dialysis (OR: 0.86; 95% CI: 0.77-0.97). There was no difference in non-access site related bleeding (OR: 0.93; 95% CI: 0.84-1.03). Sensitivity analyses revealed similar benefit with TRA-PCI among patients without arterial cross-over. There were no significant interactions observed between TRA-PCI with mechanical circulatory support and in-hospital outcomes. Conclusions: In this large nationwide contemporary analysis of patients with AMI-CS, about quarter of PCIs were performed via TRA with wide variability across US institutions. TRA-PCI was associated with significantly lower incidence of in-hospital major bleeding, mortality, vascular complications, and new dialysis. This benefit was observed irrespective of mechanical circulatory support use.","author":[{"dropping-particle":"","family":"Mahtta","given":"Dhruv","non-dropping-particle":"","parse-names":false,"suffix":""},{"dropping-particle":"","family":"Manandhar","given":"Pratik","non-dropping-particle":"","parse-names":false,"suffix":""},{"dropping-particle":"","family":"Wegermann","given":"Zachary K.","non-dropping-particle":"","parse-names":false,"suffix":""},{"dropping-particle":"","family":"Wojdyla","given":"Daniel","non-dropping-particle":"","parse-names":false,"suffix":""},{"dropping-particle":"","family":"Megaly","given":"Michael","non-dropping-particle":"","parse-names":false,"suffix":""},{"dropping-particle":"","family":"Kochar","given":"Ajar","non-dropping-particle":"","parse-names":false,"suffix":""},{"dropping-particle":"","family":"Virani","given":"Salim S.","non-dropping-particle":"","parse-names":false,"suffix":""},{"dropping-particle":"V.","family":"Rao","given":"Sunil","non-dropping-particle":"","parse-names":false,"suffix":""},{"dropping-particle":"","family":"Elgendy","given":"Islam Y.","non-dropping-particle":"","parse-names":false,"suffix":""}],"container-title":"JACC: Cardiovascular Interventions","id":"ITEM-1","issue":"12","issued":{"date-parts":[["2023"]]},"title":"Outcomes and Institutional Variation in Arterial Access Among Patients With AMI and Cardiogenic Shock Undergoing PCI","type":"article-journal","volume":"16"},"uris":["http://www.mendeley.com/documents/?uuid=2bacf0ec-3a29-37e7-8329-f93ead1cced4"]},{"id":"ITEM-2","itemData":{"DOI":"10.1016/j.ijcard.2016.06.222","ISSN":"18741754","abstract":"Background Female patients possess a higher risk for poorer outcome in ST segment elevation myocardial infarction (STEMI). There is possibility that transradial access (TRA) for primary percutaneous coronary intervention (PPCI) could provide better outcome than transfemoral access (TFA) in female patients with STEMI. Methods From 2008 to 2010, 418 female patients (out of 1808 patients) underwent PPCI for acute STEMI. The registry recruited all-comers patients with acute STEMI. Cardiac mortality, major bleeding, and overall MACE rates (composite of death, stroke, re MI and target vessel revascularization-TVR) after 2 years follow-up were compared between TRA and TFA. Results TRA for PPCI was performed in 261 patients and 157 underwent TFA PPCI. The 30-days, 1 year mortality and 2 year mortality rates were lower in TRA compared to TFA (6.9% vs.14.6%, p = 0.012, 8.8% vs. 15.3%, p = 0.045, and 9.2% vs. 16.6%, p = 0.027respectively). After 2 years follow-up, the overall MACE rates were similar (26.4% vs. 31.2%, p = 0.336). The overall major bleeding and major vascular access site bleeding were more favorable for TRA than TFA (4.4 vs. 14%, p &lt; 0.001, and 2.7 vs. 10.8%, p &lt; 0.001, respectively). Conclusion Transradial access for primary PCI in female patients provided better clinical outcomes with lower cardiac mortality and reduced major bleeding in comparison to TFA. There was no significant difference at 2 years MACE between TRA and TFA.","author":[{"dropping-particle":"","family":"Kedev","given":"Sasko","non-dropping-particle":"","parse-names":false,"suffix":""},{"dropping-particle":"","family":"Sukmawan","given":"Renan","non-dropping-particle":"","parse-names":false,"suffix":""},{"dropping-particle":"","family":"Kalpak","given":"Oliver","non-dropping-particle":"","parse-names":false,"suffix":""},{"dropping-particle":"","family":"Dharma","given":"Surya","non-dropping-particle":"","parse-names":false,"suffix":""},{"dropping-particle":"","family":"Antov","given":"Slobodan","non-dropping-particle":"","parse-names":false,"suffix":""},{"dropping-particle":"","family":"Kostov","given":"Jorgo","non-dropping-particle":"","parse-names":false,"suffix":""},{"dropping-particle":"","family":"Pejkov","given":"Hristo","non-dropping-particle":"","parse-names":false,"suffix":""},{"dropping-particle":"","family":"Spiroski","given":"Igor","non-dropping-particle":"","parse-names":false,"suffix":""}],"container-title":"International Journal of Cardiology","id":"ITEM-2","issued":{"date-parts":[["2016"]]},"title":"Transradial versus transfemoral access for female patients who underwent primary PCI in STEMI: Two years follow-up data from acute STEMI interventional registry","type":"article-journal","volume":"217"},"uris":["http://www.mendeley.com/documents/?uuid=5b11bac4-53f0-32fa-a8a9-463c6b600e90"]}],"mendeley":{"formattedCitation":"(37,38)","plainTextFormattedCitation":"(37,38)","previouslyFormattedCitation":"(37,38)"},"properties":{"noteIndex":0},"schema":"https://github.com/citation-style-language/schema/raw/master/csl-citation.json"}</w:instrText>
      </w:r>
      <w:r w:rsidR="005916D5"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(37,38)</w:t>
      </w:r>
      <w:r w:rsidR="005916D5" w:rsidRPr="006B3495">
        <w:rPr>
          <w:rFonts w:asciiTheme="majorBidi" w:hAnsiTheme="majorBidi" w:cstheme="majorBidi"/>
          <w:sz w:val="24"/>
          <w:szCs w:val="24"/>
        </w:rPr>
        <w:fldChar w:fldCharType="end"/>
      </w:r>
      <w:r w:rsidR="005916D5" w:rsidRPr="006B3495">
        <w:rPr>
          <w:rFonts w:asciiTheme="majorBidi" w:hAnsiTheme="majorBidi" w:cstheme="majorBidi"/>
          <w:sz w:val="24"/>
          <w:szCs w:val="24"/>
        </w:rPr>
        <w:t>.</w:t>
      </w:r>
    </w:p>
    <w:p w14:paraId="649F7ED8" w14:textId="17FB0D0D"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Our results illustrated that the prevalence of hypertension among the TRA patients had elevated significance compared to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D</w:t>
      </w:r>
      <w:r w:rsidRPr="006B3495">
        <w:rPr>
          <w:rFonts w:asciiTheme="majorBidi" w:hAnsiTheme="majorBidi" w:cstheme="majorBidi"/>
          <w:sz w:val="24"/>
          <w:szCs w:val="24"/>
        </w:rPr>
        <w:t>. These results agree with</w:t>
      </w:r>
      <w:r w:rsidR="003D033F" w:rsidRPr="006B3495">
        <w:rPr>
          <w:rFonts w:asciiTheme="majorBidi" w:hAnsiTheme="majorBidi" w:cstheme="majorBidi"/>
          <w:sz w:val="24"/>
          <w:szCs w:val="24"/>
        </w:rPr>
        <w:t xml:space="preserve"> Cetinarslan </w:t>
      </w:r>
      <w:r w:rsidR="003D033F"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10.4236/wjcd.2021.112011","ISSN":"2164-5329","author":[{"dropping-particle":"","family":"Cetinarslan","given":"Ozge","non-dropping-particle":"","parse-names":false,"suffix":""},{"dropping-particle":"","family":"Kaya","given":"Aysem","non-dropping-particle":"","parse-names":false,"suffix":""},{"dropping-particle":"","family":"Ozkan","given":"Alev Arat","non-dropping-particle":"","parse-names":false,"suffix":""}],"container-title":"World Journal of Cardiovascular Diseases","id":"ITEM-1","issue":"02","issued":{"date-parts":[["2021"]]},"title":"The Systemic Inflammation on Transradial vs Transfemoral Approach for Coronary Angiography in Patients with Chronic Coronary Syndrome &amp;lt;br/&amp;gt;—Does Transradial Coronary Angiography Trigger More Inflammation?","type":"article-journal","volume":"11"},"uris":["http://www.mendeley.com/documents/?uuid=bfe307bf-0530-3fa0-b5b1-b222044ad12a"]}],"mendeley":{"formattedCitation":"(39)","plainTextFormattedCitation":"(39)","previouslyFormattedCitation":"(39)"},"properties":{"noteIndex":0},"schema":"https://github.com/citation-style-language/schema/raw/master/csl-citation.json"}</w:instrText>
      </w:r>
      <w:r w:rsidR="003D033F"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(39)</w:t>
      </w:r>
      <w:r w:rsidR="003D033F" w:rsidRPr="006B3495">
        <w:rPr>
          <w:rFonts w:asciiTheme="majorBidi" w:hAnsiTheme="majorBidi" w:cstheme="majorBidi"/>
          <w:sz w:val="24"/>
          <w:szCs w:val="24"/>
        </w:rPr>
        <w:fldChar w:fldCharType="end"/>
      </w:r>
      <w:r w:rsidR="003D033F" w:rsidRPr="006B3495">
        <w:rPr>
          <w:rFonts w:asciiTheme="majorBidi" w:hAnsiTheme="majorBidi" w:cstheme="majorBidi"/>
          <w:sz w:val="24"/>
          <w:szCs w:val="24"/>
        </w:rPr>
        <w:t xml:space="preserve"> </w:t>
      </w:r>
      <w:r w:rsidR="000029CF" w:rsidRPr="006B3495">
        <w:rPr>
          <w:rFonts w:asciiTheme="majorBidi" w:hAnsiTheme="majorBidi" w:cstheme="majorBidi"/>
          <w:sz w:val="24"/>
          <w:szCs w:val="24"/>
        </w:rPr>
        <w:t xml:space="preserve">in which </w:t>
      </w:r>
      <w:r w:rsidRPr="006B3495">
        <w:rPr>
          <w:rFonts w:asciiTheme="majorBidi" w:hAnsiTheme="majorBidi" w:cstheme="majorBidi"/>
          <w:sz w:val="24"/>
          <w:szCs w:val="24"/>
        </w:rPr>
        <w:t xml:space="preserve">the researchers showed that hypertension among the TRA patients had increased compared to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D</w:t>
      </w:r>
      <w:r w:rsidRPr="006B3495">
        <w:rPr>
          <w:rFonts w:asciiTheme="majorBidi" w:hAnsiTheme="majorBidi" w:cstheme="majorBidi"/>
          <w:sz w:val="24"/>
          <w:szCs w:val="24"/>
        </w:rPr>
        <w:t xml:space="preserve">. </w:t>
      </w:r>
      <w:r w:rsidRPr="006B3495">
        <w:rPr>
          <w:rFonts w:asciiTheme="majorBidi" w:hAnsiTheme="majorBidi" w:cstheme="majorBidi"/>
          <w:sz w:val="24"/>
          <w:szCs w:val="24"/>
          <w:highlight w:val="yellow"/>
        </w:rPr>
        <w:t>In contrast,</w:t>
      </w:r>
      <w:r w:rsidRPr="006B3495">
        <w:rPr>
          <w:rFonts w:asciiTheme="majorBidi" w:hAnsiTheme="majorBidi" w:cstheme="majorBidi"/>
          <w:sz w:val="24"/>
          <w:szCs w:val="24"/>
        </w:rPr>
        <w:t xml:space="preserve">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no association between TFA </w:t>
      </w:r>
      <w:r w:rsidR="00993ACB" w:rsidRPr="00993ACB">
        <w:rPr>
          <w:rFonts w:asciiTheme="majorBidi" w:hAnsiTheme="majorBidi" w:cstheme="majorBidi"/>
          <w:sz w:val="24"/>
          <w:szCs w:val="24"/>
          <w:highlight w:val="yellow"/>
        </w:rPr>
        <w:t>with</w:t>
      </w:r>
      <w:r w:rsidRPr="006B3495">
        <w:rPr>
          <w:rFonts w:asciiTheme="majorBidi" w:hAnsiTheme="majorBidi" w:cstheme="majorBidi"/>
          <w:sz w:val="24"/>
          <w:szCs w:val="24"/>
        </w:rPr>
        <w:t xml:space="preserve">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and TRA groups regarding other health factors, such as diabetes mellitus, hyperlipidemia, family history of CAD, previous CABG, PCI, GPI use, and IABP use. The current results agree with the study by </w:t>
      </w:r>
      <w:r w:rsidR="00F83119" w:rsidRPr="006B3495">
        <w:rPr>
          <w:rFonts w:asciiTheme="majorBidi" w:hAnsiTheme="majorBidi" w:cstheme="majorBidi"/>
          <w:sz w:val="24"/>
          <w:szCs w:val="24"/>
        </w:rPr>
        <w:t xml:space="preserve">Batra </w:t>
      </w:r>
      <w:r w:rsidR="00F83119"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{"citationItems":[{"id":"ITEM-1","itemData":{"DOI":"10.1016/j.ihj.2020.05.004","ISSN":"22133763","abstract":"Background: This study was conducted with the aim of providing a quantitative appraisal of clinical outcomes of trans-radial access for primary percutaneous coronary interventions (PCI) in patients with ST-segment evaluation myocardial infarction (STEMI). Methods: In this study, we compared two propensity-matched cohorts of patients who underwent primary PCI via trans-radial (TRA) and trans-femoral access (TFA) in a 1:1 ratio. The profile of two cohorts was matched for gender, age, and body mass index, diabetes, hypertension, family history, and smoking. The outcomes of primary PCI were compared for the two cohorts which included all-cause in-hospital mortality, heart failure, re-infarction, cardiogenic shock, bleeding, transfusion, cerebrovascular accident, and dialysis. Results: This analysis was performed on a total of 2316 patients with 1158 patients each in the TRA and TFA group. We observed significantly lower rates of mortality, 0.8% (9) vs. 3.5% (41); p &lt; 0.001 and bleeding, 0.5% (6) vs.1.6% (19); p = 0.009 with shorter hospital stay, 1.61 ± 1.39 vs. 1.98 ± 1.5 days, in trans-radial vs. trans-femoral. However, both fluoroscopic time and contrast volume were significantly higher in the TRA as compared to TFA group 15.57 ± 8.16 vs. 12.79 ± 7.82 min; p &lt; 0.001 and 143.22 ± 45.33 vs. 133.78 ± 45.97; p &lt; 0.001 respectively. Conclusions: Compared with TFA access, TRA for primary PCI is safe for patients with STEMI, it was found to be associated with a significant reduction in in-hospital mortality and bleeding complications.","author":[{"dropping-particle":"","family":"Batra","given":"Mahesh Kumar","non-dropping-particle":"","parse-names":false,"suffix":""},{"dropping-particle":"","family":"Rai","given":"Lajpat","non-dropping-particle":"","parse-names":false,"suffix":""},{"dropping-particle":"","family":"Khan","given":"Naveed Ullah","non-dropping-particle":"","parse-names":false,"suffix":""},{"dropping-particle":"","family":"Mengal","given":"Muhammad Naeem","non-dropping-particle":"","parse-names":false,"suffix":""},{"dropping-particle":"","family":"Khowaja","given":"Sanam","non-dropping-particle":"","parse-names":false,"suffix":""},{"dropping-particle":"","family":"Hassan Rizvi","given":"Syed Nadeem","non-dropping-particle":"","parse-names":false,"suffix":""},{"dropping-particle":"","family":"Saghir","given":"Tahir","non-dropping-particle":"","parse-names":false,"suffix":""},{"dropping-particle":"","family":"Qamar","given":"Nadeem","non-dropping-particle":"","parse-names":false,"suffix":""},{"dropping-particle":"","family":"Sial","given":"Jawaid Akbar","non-dropping-particle":"","parse-names":false,"suffix":""},{"dropping-particle":"","family":"Karim","given":"Musa","non-dropping-particle":"","parse-names":false,"suffix":""}],"container-title":"Indian Heart Journal","id":"ITEM-1","issue":"3","issued":{"date-parts":[["2020"]]},"title":"Radial or femoral access in primary percutaneous coronary intervention (PCI): Does the choice matters?","type":"article-journal","volume":"72"},"uris":["http://www.mendeley.com/documents/?uuid=9a474ed9-cdfc-37b9-b7df-2cf746e497eb"]}],"mendeley":{"formattedCitation":"(40)","plainTextFormattedCitation":"(40)","previouslyFormattedCitation":"(40)"},"properties":{"noteIndex":0},"schema":"https://github.com/citation-style-language/schema/raw/master/csl-citation.json"}</w:instrText>
      </w:r>
      <w:r w:rsidR="00F83119"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(40)</w:t>
      </w:r>
      <w:r w:rsidR="00F83119" w:rsidRPr="006B3495">
        <w:rPr>
          <w:rFonts w:asciiTheme="majorBidi" w:hAnsiTheme="majorBidi" w:cstheme="majorBidi"/>
          <w:sz w:val="24"/>
          <w:szCs w:val="24"/>
        </w:rPr>
        <w:fldChar w:fldCharType="end"/>
      </w:r>
      <w:r w:rsidR="00F83119"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which showed there is no statistically significant between TFA </w:t>
      </w:r>
      <w:r w:rsidR="00FA2322">
        <w:rPr>
          <w:rFonts w:asciiTheme="majorBidi" w:hAnsiTheme="majorBidi" w:cstheme="majorBidi"/>
          <w:sz w:val="24"/>
          <w:szCs w:val="24"/>
        </w:rPr>
        <w:t>with</w:t>
      </w:r>
      <w:r w:rsidRPr="006B3495">
        <w:rPr>
          <w:rFonts w:asciiTheme="majorBidi" w:hAnsiTheme="majorBidi" w:cstheme="majorBidi"/>
          <w:sz w:val="24"/>
          <w:szCs w:val="24"/>
        </w:rPr>
        <w:t xml:space="preserve">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group compared to the TRA group regarding other health factors, such as diabetes mellitus, hyperlipidemia, family history of CAD, previous CABG, PCI, GPI use, and IABP use.</w:t>
      </w:r>
    </w:p>
    <w:p w14:paraId="55D21409" w14:textId="24FAE024"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Regarding current cigarette smoking status,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that significant differences were observed among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compared to the TRA group.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that 37.5% vs. 65% were non-smokers, and 65.0% vs. 35.0% were smokers. The current results agree with</w:t>
      </w:r>
      <w:r w:rsidR="003F005D" w:rsidRPr="006B3495">
        <w:rPr>
          <w:rFonts w:asciiTheme="majorBidi" w:hAnsiTheme="majorBidi" w:cstheme="majorBidi"/>
          <w:sz w:val="24"/>
          <w:szCs w:val="24"/>
        </w:rPr>
        <w:t xml:space="preserve"> </w:t>
      </w:r>
      <w:r w:rsidR="001041FB" w:rsidRPr="006B3495">
        <w:rPr>
          <w:rFonts w:asciiTheme="majorBidi" w:hAnsiTheme="majorBidi" w:cstheme="majorBidi"/>
          <w:sz w:val="24"/>
          <w:szCs w:val="24"/>
        </w:rPr>
        <w:t>L</w:t>
      </w:r>
      <w:r w:rsidR="003F005D" w:rsidRPr="006B3495">
        <w:rPr>
          <w:rFonts w:asciiTheme="majorBidi" w:hAnsiTheme="majorBidi" w:cstheme="majorBidi"/>
          <w:sz w:val="24"/>
          <w:szCs w:val="24"/>
        </w:rPr>
        <w:t>ee</w:t>
      </w:r>
      <w:r w:rsidRPr="006B3495">
        <w:rPr>
          <w:rFonts w:asciiTheme="majorBidi" w:hAnsiTheme="majorBidi" w:cstheme="majorBidi"/>
          <w:sz w:val="24"/>
          <w:szCs w:val="24"/>
        </w:rPr>
        <w:t xml:space="preserve"> </w:t>
      </w:r>
      <w:r w:rsidR="001041FB"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{"citationItems":[{"id":"ITEM-1","itemData":{"DOI":"10.3346/jkms.2024.39.e111","ISSN":"15986357","abstract":"Background: The benefits of transradial access (TRA) over transfemoral access (TFA) for bifurcation percutaneous coronary intervention (PCI) are uncertain because of the limited availability of device selection. This study aimed to compare the procedural differences and the in-hospital and long-term outcomes of TRA and TFA for bifurcation PCI using second-generation drug-eluting stents (DESs). Methods: Based on data from the Coronary Bifurcation Stenting Registry III, a retrospective registry of 2,648 patients undergoing bifurcation PCI with second-generation DES from 21 centers in South Korea, patients were categorized into the TRA group (n = 1,507) or the TFA group (n = 1,141). After propensity score matching (PSM), procedural differences, in-hospital outcomes, and device-oriented composite outcomes (DOCOs; a composite of cardiac death, target vessel-related myocardial infarction, and target lesion revascularization) were compared between the two groups (772 matched patients each group). Results: Despite well-balanced baseline clinical and lesion characteristics after PSM, the use of the two-stent strategy (14.2% vs. 23.7%, P = 0.001) and the incidence of in-hospital adverse outcomes, primarily driven by access site complications (2.2% vs. 4.4%, P = 0.015), were significantly lower in the TRA group than in the TFA group. At the 5-year follow-up, the incidence of DOCOs was similar between the groups (6.3% vs. 7.1%, P = 0.639). Conclusion: The findings suggested that TRA may be safer than TFA for bifurcation PCI using second-generation DESs. Despite differences in treatment strategy, TRA was associated with similar long-term clinical outcomes as those of TFA. Therefore, TRA might be the preferred access for bifurcation PCI using second-generation DES.","author":[{"dropping-particle":"","family":"Lee","given":"Jung Hee","non-dropping-particle":"","parse-names":false,"suffix":""},{"dropping-particle":"","family":"Youn","given":"Young Jin","non-dropping-particle":"","parse-names":false,"suffix":""},{"dropping-particle":"","family":"Jeon","given":"Ho Sung","non-dropping-particle":"","parse-names":false,"suffix":""},{"dropping-particle":"","family":"Lee","given":"Jun Won","non-dropping-particle":"","parse-names":false,"suffix":""},{"dropping-particle":"","family":"Ahn","given":"Sung Gyun","non-dropping-particle":"","parse-names":false,"suffix":""},{"dropping-particle":"","family":"Yoon","given":"Junghan","non-dropping-particle":"","parse-names":false,"suffix":""},{"dropping-particle":"","family":"Gwon","given":"Hyeon Cheol","non-dropping-particle":"","parse-names":false,"suffix":""},{"dropping-particle":"Bin","family":"Song","given":"Young","non-dropping-particle":"","parse-names":false,"suffix":""},{"dropping-particle":"","family":"Choi","given":"Ki Hong","non-dropping-particle":"","parse-names":false,"suffix":""},{"dropping-particle":"","family":"Kim","given":"Hyo Soo","non-dropping-particle":"","parse-names":false,"suffix":""},{"dropping-particle":"","family":"Chun","given":"Woo Jung","non-dropping-particle":"","parse-names":false,"suffix":""},{"dropping-particle":"","family":"Hur","given":"Seung Ho","non-dropping-particle":"","parse-names":false,"suffix":""},{"dropping-particle":"","family":"Nam","given":"Chang Wook","non-dropping-particle":"","parse-names":false,"suffix":""},{"dropping-particle":"","family":"Cho","given":"Yun Kyeong","non-dropping-particle":"","parse-names":false,"suffix":""},{"dropping-particle":"","family":"Han","given":"Seung Hwan","non-dropping-particle":"","parse-names":false,"suffix":""},{"dropping-particle":"","family":"Rha","given":"Seung Woon","non-dropping-particle":"","parse-names":false,"suffix":""},{"dropping-particle":"","family":"Chae","given":"In Ho","non-dropping-particle":"","parse-names":false,"suffix":""},{"dropping-particle":"","family":"Jeong","given":"Jin Ok","non-dropping-particle":"","parse-names":false,"suffix":""},{"dropping-particle":"","family":"Heo","given":"Jung Ho","non-dropping-particle":"","parse-names":false,"suffix":""},{"dropping-particle":"","family":"Lim","given":"Do Sun","non-dropping-particle":"","parse-names":false,"suffix":""},{"dropping-particle":"","family":"Park","given":"Jong Seon","non-dropping-particle":"","parse-names":false,"suffix":""},{"dropping-particle":"","family":"Hong","given":"Myeong Ki","non-dropping-particle":"","parse-names":false,"suffix":""},{"dropping-particle":"","family":"Doh","given":"Joon Hyung","non-dropping-particle":"","parse-names":false,"suffix":""},{"dropping-particle":"","family":"Cha","given":"Kwang Soo","non-dropping-particle":"","parse-names":false,"suffix":""},{"dropping-particle":"Il","family":"Kim","given":"Doo","non-dropping-particle":"","parse-names":false,"suffix":""},{"dropping-particle":"","family":"Lee","given":"Sang Yeub","non-dropping-particle":"","parse-names":false,"suffix":""},{"dropping-particle":"","family":"Chang","given":"Kiyuk","non-dropping-particle":"","parse-names":false,"suffix":""},{"dropping-particle":"","family":"Hwang","given":"Byung Hee","non-dropping-particle":"","parse-names":false,"suffix":""},{"dropping-particle":"","family":"Choi","given":"So Yeon","non-dropping-particle":"","parse-names":false,"suffix":""},{"dropping-particle":"","family":"Jeong","given":"Myung Ho","non-dropping-particle":"","parse-names":false,"suffix":""},{"dropping-particle":"","family":"Lee","given":"Hyun Jong","non-dropping-particle":"","parse-names":false,"suffix":""}],"container-title":"Journal of Korean Medical Science","id":"ITEM-1","issue":"10","issued":{"date-parts":[["2024"]]},"title":"Transradial Versus Transfemoral Access for Bifurcation Percutaneous Coronary Intervention Using Second-Generation Drug-Eluting Stent","type":"article-journal","volume":"39"},"uris":["http://www.mendeley.com/documents/?uuid=dd95bdec-d4bf-3def-8069-290e66c94441"]}],"mendeley":{"formattedCitation":"(41)","plainTextFormattedCitation":"(41)","previouslyFormattedCitation":"(41)"},"properties":{"noteIndex":0},"schema":"https://github.com/citation-style-language/schema/raw/master/csl-citation.json"}</w:instrText>
      </w:r>
      <w:r w:rsidR="001041FB"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(41)</w:t>
      </w:r>
      <w:r w:rsidR="001041FB" w:rsidRPr="006B3495">
        <w:rPr>
          <w:rFonts w:asciiTheme="majorBidi" w:hAnsiTheme="majorBidi" w:cstheme="majorBidi"/>
          <w:sz w:val="24"/>
          <w:szCs w:val="24"/>
        </w:rPr>
        <w:fldChar w:fldCharType="end"/>
      </w:r>
      <w:r w:rsidR="001041FB"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who showed significant differences were observed among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group compared to the TRA group (P&lt;0.05).</w:t>
      </w:r>
    </w:p>
    <w:p w14:paraId="775788DD" w14:textId="73FDADC5"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Our findings showed that time to ambulation was more </w:t>
      </w:r>
      <w:r w:rsidR="004A5C67">
        <w:rPr>
          <w:rFonts w:asciiTheme="majorBidi" w:hAnsiTheme="majorBidi" w:cstheme="majorBidi"/>
          <w:sz w:val="24"/>
          <w:szCs w:val="24"/>
        </w:rPr>
        <w:t xml:space="preserve">no </w:t>
      </w:r>
      <w:r w:rsidRPr="006B3495">
        <w:rPr>
          <w:rFonts w:asciiTheme="majorBidi" w:hAnsiTheme="majorBidi" w:cstheme="majorBidi"/>
          <w:sz w:val="24"/>
          <w:szCs w:val="24"/>
        </w:rPr>
        <w:t xml:space="preserve">associated among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compared to TRA. However, the study by </w:t>
      </w:r>
      <w:r w:rsidR="001041FB" w:rsidRPr="006B3495">
        <w:rPr>
          <w:rFonts w:asciiTheme="majorBidi" w:hAnsiTheme="majorBidi" w:cstheme="majorBidi"/>
          <w:sz w:val="24"/>
          <w:szCs w:val="24"/>
        </w:rPr>
        <w:t xml:space="preserve">Jhand </w:t>
      </w:r>
      <w:r w:rsidR="001041FB"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{"citationItems":[{"id":"ITEM-1","itemData":{"DOI":"10.1016/j.amjcard.2020.11.016","ISSN":"18791913","abstract":"Transradial access (TRA) has emerged as an alternative to transfemoral access (TFA) for percutaneous coronary intervention (PCI) in ST elevation myocardial infarction (STEMI) patients. However, the rate of TRA adoption has been much slower in the acute coronary syndrome (ACS) patient population. This meta-analysis was conducted to assess clinical outcomes of TRA compared with TFA in STEMI patients undergoing PCI. A manual search of PubMed, EMBASE, Cochrane library database, Cumulative Index to Nursing and Allied Health Literature (CINAHL), ClinicalTrials.gov, and recent major scientific conference sessions from inception to October 15th, 2019 was performed. Primary outcomes in our analysis were all-cause mortality and trial-defined major bleeding. Secondary outcomes included vascular complications, myocardial infarction, stroke, procedure, and fluoroscopy time. 17 randomized controlled trials (RCTs) (N = 12,018) met inclusion criteria. TRA was associated with lower all-cause mortality (risk ratio [RR]: 0.71, 95% confidence interval [CI]: 0.57 to 0.88), major bleeding (RR: 0.59, 95%CI: 0.45 to 0.77), and vascular complications (RR: 0.42, 95%CI: 0.32 to 0.56) compared with TFA. There was no difference in the incidence of myocardial infarction (MI), stroke, or procedure duration between the 2 groups. The difference in all-cause mortality between TRA and TFA was statistically nonsignificant when major bleeding was held constant. In conclusion, TRA was associated with lower risk of all-cause mortality, major bleeding, and vascular complications compared with TFA in STEMI patients undergoing PCI.","author":[{"dropping-particle":"","family":"Jhand","given":"Aravdeep","non-dropping-particle":"","parse-names":false,"suffix":""},{"dropping-particle":"","family":"Atti","given":"Varunsiri","non-dropping-particle":"","parse-names":false,"suffix":""},{"dropping-particle":"","family":"Gwon","given":"Yeongjin","non-dropping-particle":"","parse-names":false,"suffix":""},{"dropping-particle":"","family":"Dhawan","given":"Rahul","non-dropping-particle":"","parse-names":false,"suffix":""},{"dropping-particle":"","family":"Turagam","given":"Mohit K.","non-dropping-particle":"","parse-names":false,"suffix":""},{"dropping-particle":"","family":"Mamas","given":"Mamas A.","non-dropping-particle":"","parse-names":false,"suffix":""},{"dropping-particle":"","family":"Brilakis","given":"Emmanouil S.","non-dropping-particle":"","parse-names":false,"suffix":""},{"dropping-particle":"","family":"Kumar","given":"Arnav","non-dropping-particle":"","parse-names":false,"suffix":""},{"dropping-particle":"","family":"Katta","given":"Natraj","non-dropping-particle":"","parse-names":false,"suffix":""},{"dropping-particle":"","family":"Chatzizisis","given":"Yiannis","non-dropping-particle":"","parse-names":false,"suffix":""},{"dropping-particle":"","family":"Parikh","given":"Manish","non-dropping-particle":"","parse-names":false,"suffix":""},{"dropping-particle":"","family":"Abbott","given":"J. Dawn","non-dropping-particle":"","parse-names":false,"suffix":""},{"dropping-particle":"","family":"Kirtane","given":"Ajay J.","non-dropping-particle":"","parse-names":false,"suffix":""},{"dropping-particle":"","family":"Bhatt","given":"Deepak L.","non-dropping-particle":"","parse-names":false,"suffix":""},{"dropping-particle":"","family":"Velagapudi","given":"Poonam","non-dropping-particle":"","parse-names":false,"suffix":""}],"container-title":"American Journal of Cardiology","id":"ITEM-1","issued":{"date-parts":[["2021"]]},"title":"Meta-Analysis of Transradial vs Transfemoral Access for Percutaneous Coronary Intervention in Patients With ST Elevation Myocardial Infarction","type":"article-journal","volume":"141"},"uris":["http://www.mendeley.com/documents/?uuid=7a837d78-22ea-3278-982d-579ec40df919"]}],"mendeley":{"formattedCitation":"(42)","plainTextFormattedCitation":"(42)","previouslyFormattedCitation":"(42)"},"properties":{"noteIndex":0},"schema":"https://github.com/citation-style-language/schema/raw/master/csl-citation.json"}</w:instrText>
      </w:r>
      <w:r w:rsidR="001041FB"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(42)</w:t>
      </w:r>
      <w:r w:rsidR="001041FB"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showed a modest elevated in ambulation time with TFA but no difference in total procedure time. Also, our results </w:t>
      </w:r>
      <w:r w:rsidR="00D26884">
        <w:rPr>
          <w:rFonts w:asciiTheme="majorBidi" w:hAnsiTheme="majorBidi" w:cstheme="majorBidi"/>
          <w:sz w:val="24"/>
          <w:szCs w:val="24"/>
        </w:rPr>
        <w:t>demonstrate</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that TRA shortens the time to ambulation more than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group</w:t>
      </w:r>
      <w:r w:rsidR="004A5C67">
        <w:rPr>
          <w:rFonts w:asciiTheme="majorBidi" w:hAnsiTheme="majorBidi" w:cstheme="majorBidi"/>
          <w:sz w:val="24"/>
          <w:szCs w:val="24"/>
        </w:rPr>
        <w:t xml:space="preserve"> but not statistically significant.</w:t>
      </w:r>
      <w:r w:rsidRPr="006B3495">
        <w:rPr>
          <w:rFonts w:asciiTheme="majorBidi" w:hAnsiTheme="majorBidi" w:cstheme="majorBidi"/>
          <w:sz w:val="24"/>
          <w:szCs w:val="24"/>
        </w:rPr>
        <w:t xml:space="preserve"> </w:t>
      </w:r>
      <w:r w:rsidR="007C4E3F" w:rsidRPr="006B3495">
        <w:rPr>
          <w:rFonts w:asciiTheme="majorBidi" w:hAnsiTheme="majorBidi" w:cstheme="majorBidi"/>
          <w:sz w:val="24"/>
          <w:szCs w:val="24"/>
        </w:rPr>
        <w:t xml:space="preserve">Amankwah </w:t>
      </w:r>
      <w:r w:rsidR="007C4E3F"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{"citationItems":[{"id":"ITEM-1","itemData":{"DOI":"10.1136/bmjsit-2021-000110","ISSN":"26314940","abstract":"Objective To identify and compare patient and procedural variables that are associated with a high radiation dose exposure and worse clinical outcomes between transradial arterial (TRA) and transfemoral arterial (TFA) approaches. Design This was a retrospective analysis. Setting A community hospital during the initial phase of adopting a TRA-first approach. Participants A resultant 215 subjects who only underwent diagnostic cerebral angiograms (DCA) after excluding all therapeutic procedures and patients under 18 years. Interventions Only DCA from 1 May 2018 to 31 January 2021. Main outcome measures We compared radiation exposure parameters (total fluoroscopy time (FT), total radiation dose (TD) and dose area product (DAP), number of vessels injected and Patient-Reported Global Health Physical and Mental Outcome Scores (PROGHS) at 30 days postprocedure between groups. Results FT was significantly greater in TRA compared with TFA (p&lt;0.001). In addition, TRA had a significantly higher TD (p=0.002) and DAP (p=0.005) when compared with TFA. Analysis of only 6-vessel DCAs also showed that TRA had a significantly higher FT, DAP and TD in comparison to TFA. Despite observing a longer FT in TRA, results showed fewer vessels injected and a notably lower success rate in acquiring a 6-vessel DCA using the TRA. Further analysis of the effect of vessel number on FT using general linear models showed that with every increase of one vessel, the FT increases by 2.2 min for TRA (p&lt;0.001; 95% CI 1.03 to 3.36) and by 1.3 min for TFA (p&lt;0.001; 95% CI 0.72 to 1.83). There was no significant difference between groups in PROGHS mental and physical t-scores at 30 days postprocedure, even though our cohort showed a significantly greater percentage of TRA procedures done in the outpatient setting. Conclusions Adopting a TRA first approach for DCAs may be initially associated with a higher radiation dose for the patient. Better strategies and devices are needed to mitigate this effect.","author":[{"dropping-particle":"","family":"Amankwah","given":"Curtis","non-dropping-particle":"","parse-names":false,"suffix":""},{"dropping-particle":"","family":"Lombardo","given":"Lauren","non-dropping-particle":"","parse-names":false,"suffix":""},{"dropping-particle":"","family":"Rutledge","given":"John","non-dropping-particle":"","parse-names":false,"suffix":""},{"dropping-particle":"","family":"Sattar","given":"Ahsan","non-dropping-particle":"","parse-names":false,"suffix":""},{"dropping-particle":"","family":"Chancellor","given":"Bree","non-dropping-particle":"","parse-names":false,"suffix":""},{"dropping-particle":"","family":"Altschul","given":"Dorothea","non-dropping-particle":"","parse-names":false,"suffix":""}],"container-title":"BMJ Surgery, Interventions, and Health Technologies","id":"ITEM-1","issue":"1","issued":{"date-parts":[["2022"]]},"title":"Comparison of radiation exposure and clinical outcomes between transradial and transfemoral diagnostic cerebral approaches: A retrospective study","type":"article-journal","volume":"4"},"uris":["http://www.mendeley.com/documents/?uuid=532ab102-df59-35e0-a7f4-371db1620654"]}],"mendeley":{"formattedCitation":"(43)","plainTextFormattedCitation":"(43)","previouslyFormattedCitation":"(43)"},"properties":{"noteIndex":0},"schema":"https://github.com/citation-style-language/schema/raw/master/csl-citation.json"}</w:instrText>
      </w:r>
      <w:r w:rsidR="007C4E3F"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(43)</w:t>
      </w:r>
      <w:r w:rsidR="007C4E3F" w:rsidRPr="006B3495">
        <w:rPr>
          <w:rFonts w:asciiTheme="majorBidi" w:hAnsiTheme="majorBidi" w:cstheme="majorBidi"/>
          <w:sz w:val="24"/>
          <w:szCs w:val="24"/>
        </w:rPr>
        <w:fldChar w:fldCharType="end"/>
      </w:r>
      <w:r w:rsidR="007C4E3F"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reported increased patient and operator preference for TRA over TFA because of many benefits, including reduced access site-related time to ambulation and morbidity. In our study, the total mean time to </w:t>
      </w:r>
      <w:r w:rsidRPr="006B3495">
        <w:rPr>
          <w:rFonts w:asciiTheme="majorBidi" w:hAnsiTheme="majorBidi" w:cstheme="majorBidi"/>
          <w:sz w:val="24"/>
          <w:szCs w:val="24"/>
        </w:rPr>
        <w:lastRenderedPageBreak/>
        <w:t xml:space="preserve">discharge was </w:t>
      </w:r>
      <w:r w:rsidR="000B23C6" w:rsidRPr="000B23C6">
        <w:rPr>
          <w:rFonts w:asciiTheme="majorBidi" w:hAnsiTheme="majorBidi" w:cstheme="majorBidi"/>
          <w:sz w:val="24"/>
          <w:szCs w:val="24"/>
        </w:rPr>
        <w:t>107.69</w:t>
      </w:r>
      <w:r w:rsidR="000B23C6">
        <w:rPr>
          <w:rFonts w:asciiTheme="majorBidi" w:hAnsiTheme="majorBidi" w:cstheme="majorBidi"/>
          <w:sz w:val="24"/>
          <w:szCs w:val="24"/>
        </w:rPr>
        <w:t xml:space="preserve"> </w:t>
      </w:r>
      <w:r w:rsidR="000B23C6" w:rsidRPr="000B23C6">
        <w:rPr>
          <w:rFonts w:asciiTheme="majorBidi" w:hAnsiTheme="majorBidi" w:cstheme="majorBidi"/>
          <w:sz w:val="24"/>
          <w:szCs w:val="24"/>
        </w:rPr>
        <w:t>±</w:t>
      </w:r>
      <w:r w:rsidR="000B23C6">
        <w:rPr>
          <w:rFonts w:asciiTheme="majorBidi" w:hAnsiTheme="majorBidi" w:cstheme="majorBidi"/>
          <w:sz w:val="24"/>
          <w:szCs w:val="24"/>
        </w:rPr>
        <w:t xml:space="preserve"> </w:t>
      </w:r>
      <w:r w:rsidR="000B23C6" w:rsidRPr="000B23C6">
        <w:rPr>
          <w:rFonts w:asciiTheme="majorBidi" w:hAnsiTheme="majorBidi" w:cstheme="majorBidi"/>
          <w:sz w:val="24"/>
          <w:szCs w:val="24"/>
        </w:rPr>
        <w:t>22.32</w:t>
      </w:r>
      <w:r w:rsidR="000B23C6">
        <w:rPr>
          <w:rFonts w:asciiTheme="majorBidi" w:hAnsiTheme="majorBidi" w:cstheme="majorBidi"/>
          <w:sz w:val="24"/>
          <w:szCs w:val="24"/>
        </w:rPr>
        <w:t xml:space="preserve"> </w:t>
      </w:r>
      <w:r w:rsidR="005B0009" w:rsidRPr="006B3495">
        <w:rPr>
          <w:rFonts w:asciiTheme="majorBidi" w:hAnsiTheme="majorBidi" w:cstheme="majorBidi"/>
          <w:sz w:val="24"/>
          <w:szCs w:val="24"/>
        </w:rPr>
        <w:t>hrs.</w:t>
      </w:r>
      <w:r w:rsidRPr="006B3495">
        <w:rPr>
          <w:rFonts w:asciiTheme="majorBidi" w:hAnsiTheme="majorBidi" w:cstheme="majorBidi"/>
          <w:sz w:val="24"/>
          <w:szCs w:val="24"/>
        </w:rPr>
        <w:t>, similar to the study by</w:t>
      </w:r>
      <w:r w:rsidR="007C4E3F" w:rsidRPr="006B3495">
        <w:t xml:space="preserve"> </w:t>
      </w:r>
      <w:r w:rsidR="007C4E3F" w:rsidRPr="006B3495">
        <w:rPr>
          <w:rFonts w:asciiTheme="majorBidi" w:hAnsiTheme="majorBidi" w:cstheme="majorBidi"/>
          <w:sz w:val="24"/>
          <w:szCs w:val="24"/>
        </w:rPr>
        <w:t>Bawamia</w:t>
      </w:r>
      <w:r w:rsidRPr="006B3495">
        <w:rPr>
          <w:rFonts w:asciiTheme="majorBidi" w:hAnsiTheme="majorBidi" w:cstheme="majorBidi"/>
          <w:sz w:val="24"/>
          <w:szCs w:val="24"/>
        </w:rPr>
        <w:t xml:space="preserve"> </w:t>
      </w:r>
      <w:r w:rsidR="007C4E3F"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{"citationItems":[{"id":"ITEM-1","itemData":{"DOI":"10.1016/j.carrev.2022.08.022","ISSN":"18780938","abstract":"Background: Current guidelines recommend that low risk patients presenting with ST-segment elevation myocardial infarction (STEMI) and undergoing uncomplicated primary percutaneous coronary intervention (PPCI) can be discharged home in 48–72 h. We report the safety of early discharge in STEMI patients undergoing uncomplicated PPCI after 24-h stay in-hospital. Methods: We performed a retrospective analysis of prospectively collected data of consecutive patients presenting with STEMI between January 2014 and December 2020. One- and 6-month mortality rates were compared between patients who underwent next day (early discharge group) and two days in-hospital stay (standard discharge group). Results: Of 6119 STEMI patients, 4033 were included in the analysis, of whom 1674 (42 %) underwent early discharge. Patients in the early discharge group were younger, more likely to be male, and had a lower peak troponin. Both groups had similar ischemia- and door-to-balloon time, but anterior STEMI were less frequent in the early discharge group. The 1- and 6-month mortality rate for the whole cohort was 0.6 % and 1.3 %, respectively. After adjustment, there were no significant differences in the 1-month [HR 0.54; 95 % CI (0.20 to 1.47), P = 0.23] and 6-month mortality [HR 0.73; 95 % CI (0.38 to 1.41), P = 0.35] between early and standard discharge groups. Age, admission heart rate and chronic obstructive lung disease were identified as independent predictors of 6-month mortality in patients who underwent early discharge strategy. Conclusion: Our data confirms safety of next day discharge of patients presenting with STEMI after successful PPCI and uncomplicated post-procedural course.","author":[{"dropping-particle":"","family":"Bawamia","given":"Bilal","non-dropping-particle":"","parse-names":false,"suffix":""},{"dropping-particle":"","family":"Brown","given":"Andrew","non-dropping-particle":"","parse-names":false,"suffix":""},{"dropping-particle":"","family":"Spyridopoulos","given":"Ioakim","non-dropping-particle":"","parse-names":false,"suffix":""},{"dropping-particle":"","family":"Bagnall","given":"Alan","non-dropping-particle":"","parse-names":false,"suffix":""},{"dropping-particle":"","family":"Edwards","given":"Richard","non-dropping-particle":"","parse-names":false,"suffix":""},{"dropping-particle":"","family":"Purcell","given":"Ian","non-dropping-particle":"","parse-names":false,"suffix":""},{"dropping-particle":"","family":"Egred","given":"Mohaned","non-dropping-particle":"","parse-names":false,"suffix":""},{"dropping-particle":"","family":"Zaman","given":"Azfar","non-dropping-particle":"","parse-names":false,"suffix":""},{"dropping-particle":"","family":"Alkhalil","given":"Mohammad","non-dropping-particle":"","parse-names":false,"suffix":""}],"container-title":"Cardiovascular Revascularization Medicine","id":"ITEM-1","issued":{"date-parts":[["2023"]]},"title":"Very Early Discharge After Primary Percutaneous Coronary Intervention for ST-Elevation Myocardial Infarction: Mortality Outcomes at Six Months","type":"article-journal","volume":"46"},"uris":["http://www.mendeley.com/documents/?uuid=a7955c87-cdfa-37ce-b7b5-37c22c83e4b7"]}],"mendeley":{"formattedCitation":"(44)","plainTextFormattedCitation":"(44)","previouslyFormattedCitation":"(44)"},"properties":{"noteIndex":0},"schema":"https://github.com/citation-style-language/schema/raw/master/csl-citation.json"}</w:instrText>
      </w:r>
      <w:r w:rsidR="007C4E3F"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(44)</w:t>
      </w:r>
      <w:r w:rsidR="007C4E3F"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showing PCI patients were discharged </w:t>
      </w:r>
      <w:r w:rsidR="000B23C6">
        <w:rPr>
          <w:rFonts w:asciiTheme="majorBidi" w:hAnsiTheme="majorBidi" w:cstheme="majorBidi"/>
          <w:sz w:val="24"/>
          <w:szCs w:val="24"/>
        </w:rPr>
        <w:t>10</w:t>
      </w:r>
      <w:r w:rsidRPr="006B3495">
        <w:rPr>
          <w:rFonts w:asciiTheme="majorBidi" w:hAnsiTheme="majorBidi" w:cstheme="majorBidi"/>
          <w:sz w:val="24"/>
          <w:szCs w:val="24"/>
        </w:rPr>
        <w:t>7.0 ± 13.0 hrs.</w:t>
      </w:r>
    </w:p>
    <w:p w14:paraId="742A8031" w14:textId="0F2D1A58" w:rsidR="00EC74E8" w:rsidRPr="006B3495" w:rsidRDefault="00D55B3A"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highlight w:val="yellow"/>
        </w:rPr>
        <w:t>In contrast</w:t>
      </w:r>
      <w:r w:rsidR="00EC74E8" w:rsidRPr="006B3495">
        <w:rPr>
          <w:rFonts w:asciiTheme="majorBidi" w:hAnsiTheme="majorBidi" w:cstheme="majorBidi"/>
          <w:sz w:val="24"/>
          <w:szCs w:val="24"/>
          <w:highlight w:val="yellow"/>
        </w:rPr>
        <w:t>,</w:t>
      </w:r>
      <w:r w:rsidR="00EC74E8" w:rsidRPr="006B3495">
        <w:rPr>
          <w:rFonts w:asciiTheme="majorBidi" w:hAnsiTheme="majorBidi" w:cstheme="majorBidi"/>
          <w:sz w:val="24"/>
          <w:szCs w:val="24"/>
        </w:rPr>
        <w:t xml:space="preserve">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00EC74E8" w:rsidRPr="006B3495">
        <w:rPr>
          <w:rFonts w:asciiTheme="majorBidi" w:hAnsiTheme="majorBidi" w:cstheme="majorBidi"/>
          <w:sz w:val="24"/>
          <w:szCs w:val="24"/>
        </w:rPr>
        <w:t xml:space="preserve">group had a higher statistically significant time to discharge compared to TRA. </w:t>
      </w:r>
      <w:r w:rsidR="00624942" w:rsidRPr="006B3495">
        <w:rPr>
          <w:rFonts w:asciiTheme="majorBidi" w:hAnsiTheme="majorBidi" w:cstheme="majorBidi"/>
          <w:sz w:val="24"/>
          <w:szCs w:val="24"/>
        </w:rPr>
        <w:t xml:space="preserve">Staniloae </w:t>
      </w:r>
      <w:r w:rsidR="00624942"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{"citationItems":[{"id":"ITEM-1","itemData":{"DOI":"10.1002/ccd.22348","ISSN":"15221946","abstract":"Background: This study compares transradial approach (TRA) aortoiliac angioplasty/stenting to the transfemoral approach (TFA). Methods: We reviewed our peripheral database for aortoiliac interventions performed between 2007 and 2009. Demographics, clinical characteristics, procedural, and lesion details were collected. The efficacy endpoints included procedural success, ankle-brachial index (ABI) improvement, and time to discharge. The safety endpoints were as follows: occurrence of intra-/periprocedural complications, 30-day MACE, and access-site complications (minor/major). The subjects were divided into two groups, TRA and TFA, and compared using appropriate statistics. Results: Twenty-seven patients had 33 lesions treated via TRA, and 41 patients had 47 lesions treated via TFA access. Baseline demographic differences between the TRA and TFA groups were similar, including mean Rutherford category (2.9 vs. 2.6, P = 0.31) and preintervention ABI (0.64 vs. 0.67, P = 0.80). There was a significantly higher percentage of total occlusions in the TRA group (27.3 vs. 8.5%, P = 0.03). Dye use (238 vs. 213 mL, P = 0.35) and fluoroscopy time (30 vs. 27 min, P = 0.60) were similar. Procedural success rate was similar (87.9 vs. 97.8%, P = 0.15), as well as the improvement in mean ABI (TRA: 0.64-0.77 and TFA: 0.67-0.85, P = 0.77). The time to discharge was significantly shorter for the TRA group (14.4 vs. 20.9 hr, P 5 0.003). There were no 30-day MACE or major access-site complications, but minor access-site complications were lower in the TRA group (0.0 vs. 7.3%, P 5 0.28), although nonsignificant. Conclusions: The TRA to aortoiliac interventions is as safe and effective as the TFA with the advantage of a lower rate of access-site complications and shorter hospitalization time. © 2009 Wiley-Liss, Inc.","author":[{"dropping-particle":"","family":"Staniloae","given":"Cezar S.","non-dropping-particle":"","parse-names":false,"suffix":""},{"dropping-particle":"","family":"Korabathina","given":"Ravikiran","non-dropping-particle":"","parse-names":false,"suffix":""},{"dropping-particle":"","family":"Yu","given":"Jennie","non-dropping-particle":"","parse-names":false,"suffix":""},{"dropping-particle":"","family":"Kurian","given":"Damian","non-dropping-particle":"","parse-names":false,"suffix":""},{"dropping-particle":"","family":"Coppola","given":"John","non-dropping-particle":"","parse-names":false,"suffix":""}],"container-title":"Catheterization and Cardiovascular Interventions","id":"ITEM-1","issue":"5","issued":{"date-parts":[["2010"]]},"title":"Safety and efficacy of transradial aortoiliac interventions","type":"article-journal","volume":"75"},"uris":["http://www.mendeley.com/documents/?uuid=7e4394d3-95bf-3de2-a36f-b4759104dd4e"]}],"mendeley":{"formattedCitation":"(45)","plainTextFormattedCitation":"(45)","previouslyFormattedCitation":"(45)"},"properties":{"noteIndex":0},"schema":"https://github.com/citation-style-language/schema/raw/master/csl-citation.json"}</w:instrText>
      </w:r>
      <w:r w:rsidR="00624942"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(45)</w:t>
      </w:r>
      <w:r w:rsidR="00624942" w:rsidRPr="006B3495">
        <w:rPr>
          <w:rFonts w:asciiTheme="majorBidi" w:hAnsiTheme="majorBidi" w:cstheme="majorBidi"/>
          <w:sz w:val="24"/>
          <w:szCs w:val="24"/>
        </w:rPr>
        <w:fldChar w:fldCharType="end"/>
      </w:r>
      <w:r w:rsidR="00624942" w:rsidRPr="006B3495">
        <w:rPr>
          <w:rFonts w:asciiTheme="majorBidi" w:hAnsiTheme="majorBidi" w:cstheme="majorBidi"/>
          <w:sz w:val="24"/>
          <w:szCs w:val="24"/>
        </w:rPr>
        <w:t xml:space="preserve"> </w:t>
      </w:r>
      <w:r w:rsidR="00EC74E8" w:rsidRPr="006B3495">
        <w:rPr>
          <w:rFonts w:asciiTheme="majorBidi" w:hAnsiTheme="majorBidi" w:cstheme="majorBidi"/>
          <w:sz w:val="24"/>
          <w:szCs w:val="24"/>
        </w:rPr>
        <w:t xml:space="preserve">showed that the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00EC74E8" w:rsidRPr="006B3495">
        <w:rPr>
          <w:rFonts w:asciiTheme="majorBidi" w:hAnsiTheme="majorBidi" w:cstheme="majorBidi"/>
          <w:sz w:val="24"/>
          <w:szCs w:val="24"/>
        </w:rPr>
        <w:t>group had a higher statistically significant time to discharge than TRA because of increased complications risk related to TFA and the higher complexity, which requires monitoring, managing the femoral access site, and more extended recovery. In contrast,</w:t>
      </w:r>
      <w:r w:rsidR="00624942" w:rsidRPr="006B3495">
        <w:rPr>
          <w:rFonts w:asciiTheme="majorBidi" w:hAnsiTheme="majorBidi" w:cstheme="majorBidi"/>
          <w:sz w:val="24"/>
          <w:szCs w:val="24"/>
        </w:rPr>
        <w:t xml:space="preserve"> Lam</w:t>
      </w:r>
      <w:r w:rsidR="00EC74E8" w:rsidRPr="006B3495">
        <w:rPr>
          <w:rFonts w:asciiTheme="majorBidi" w:hAnsiTheme="majorBidi" w:cstheme="majorBidi"/>
          <w:sz w:val="24"/>
          <w:szCs w:val="24"/>
        </w:rPr>
        <w:t xml:space="preserve"> </w:t>
      </w:r>
      <w:r w:rsidR="00624942"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{"citationItems":[{"id":"ITEM-1","itemData":{"DOI":"10.1097/CM9.0000000000000274","ISSN":"25425641","author":[{"dropping-particle":"","family":"Lam","given":"U. Po","non-dropping-particle":"","parse-names":false,"suffix":""},{"dropping-particle":"","family":"Lopes Lao","given":"Edmundo Patricio","non-dropping-particle":"","parse-names":false,"suffix":""},{"dropping-particle":"","family":"Lam","given":"Kan Chit","non-dropping-particle":"","parse-names":false,"suffix":""},{"dropping-particle":"","family":"Evora","given":"Mario","non-dropping-particle":"","parse-names":false,"suffix":""},{"dropping-particle":"","family":"Wu","given":"Na Qiong","non-dropping-particle":"","parse-names":false,"suffix":""}],"container-title":"Chinese Medical Journal","id":"ITEM-1","issue":"12","issued":{"date-parts":[["2019"]]},"title":"Trans-brachial artery access for coronary artery procedures is feasible and safe: data from a single-center in Macau","type":"article","volume":"132"},"uris":["http://www.mendeley.com/documents/?uuid=fe0b1b2a-b463-34b8-8e03-a43965221dfa"]}],"mendeley":{"formattedCitation":"(46)","plainTextFormattedCitation":"(46)","previouslyFormattedCitation":"(46)"},"properties":{"noteIndex":0},"schema":"https://github.com/citation-style-language/schema/raw/master/csl-citation.json"}</w:instrText>
      </w:r>
      <w:r w:rsidR="00624942"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(46)</w:t>
      </w:r>
      <w:r w:rsidR="00624942" w:rsidRPr="006B3495">
        <w:rPr>
          <w:rFonts w:asciiTheme="majorBidi" w:hAnsiTheme="majorBidi" w:cstheme="majorBidi"/>
          <w:sz w:val="24"/>
          <w:szCs w:val="24"/>
        </w:rPr>
        <w:fldChar w:fldCharType="end"/>
      </w:r>
      <w:r w:rsidR="00624942" w:rsidRPr="006B3495">
        <w:rPr>
          <w:rFonts w:asciiTheme="majorBidi" w:hAnsiTheme="majorBidi" w:cstheme="majorBidi"/>
          <w:sz w:val="24"/>
          <w:szCs w:val="24"/>
        </w:rPr>
        <w:t xml:space="preserve"> </w:t>
      </w:r>
      <w:r w:rsidR="00EC74E8" w:rsidRPr="006B3495">
        <w:rPr>
          <w:rFonts w:asciiTheme="majorBidi" w:hAnsiTheme="majorBidi" w:cstheme="majorBidi"/>
          <w:sz w:val="24"/>
          <w:szCs w:val="24"/>
        </w:rPr>
        <w:t xml:space="preserve">pointed out that patients with TRA and TRA can be discharged on the same day of the procedure. </w:t>
      </w:r>
    </w:p>
    <w:p w14:paraId="1D84C606" w14:textId="19AFF706"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Regarding time to hemostasis, our study shows that the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group had a shorter</w:t>
      </w:r>
      <w:r w:rsidRPr="006B3495">
        <w:rPr>
          <w:rFonts w:asciiTheme="majorBidi" w:hAnsiTheme="majorBidi" w:cstheme="majorBidi"/>
          <w:strike/>
          <w:sz w:val="24"/>
          <w:szCs w:val="24"/>
        </w:rPr>
        <w:t xml:space="preserve"> </w:t>
      </w:r>
      <w:r w:rsidRPr="006B3495">
        <w:rPr>
          <w:rFonts w:asciiTheme="majorBidi" w:hAnsiTheme="majorBidi" w:cstheme="majorBidi"/>
          <w:sz w:val="24"/>
          <w:szCs w:val="24"/>
        </w:rPr>
        <w:t xml:space="preserve">significant </w:t>
      </w:r>
      <w:r w:rsidR="00D55B3A" w:rsidRPr="006B3495">
        <w:rPr>
          <w:rFonts w:asciiTheme="majorBidi" w:hAnsiTheme="majorBidi" w:cstheme="majorBidi"/>
          <w:sz w:val="24"/>
          <w:szCs w:val="24"/>
        </w:rPr>
        <w:t>time</w:t>
      </w:r>
      <w:r w:rsidRPr="006B3495">
        <w:rPr>
          <w:rFonts w:asciiTheme="majorBidi" w:hAnsiTheme="majorBidi" w:cstheme="majorBidi"/>
          <w:sz w:val="24"/>
          <w:szCs w:val="24"/>
        </w:rPr>
        <w:t xml:space="preserve"> compared to TRA. This is in line with </w:t>
      </w:r>
      <w:r w:rsidR="00993ACB">
        <w:rPr>
          <w:rFonts w:asciiTheme="majorBidi" w:hAnsiTheme="majorBidi" w:cstheme="majorBidi"/>
          <w:sz w:val="24"/>
          <w:szCs w:val="24"/>
        </w:rPr>
        <w:t>s</w:t>
      </w:r>
      <w:r w:rsidRPr="006B3495">
        <w:rPr>
          <w:rFonts w:asciiTheme="majorBidi" w:hAnsiTheme="majorBidi" w:cstheme="majorBidi"/>
          <w:sz w:val="24"/>
          <w:szCs w:val="24"/>
        </w:rPr>
        <w:t xml:space="preserve">everal studies that showed that comparing the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to the TRA, the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had an associated significant lowering of hemostasis time because the femoral vein is larger than the radial vein and has more effective pressure application </w:t>
      </w:r>
      <w:r w:rsidR="00F63BFF"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{"citationItems":[{"id":"ITEM-1","itemData":{"DOI":"10.1080/14779072.2019.1627873","ISSN":"17448344","abstract":"Introduction: The radial artery is currently the most widely used access site for PCI procedures both acute and stable patient settings. Thanks to advantages in pharmacological therapy as well as in interventional devices, the rate of ischemic complications following PCI has significantly decreased. Nevertheless, this has been counterbalanced by an increased risk of periprocedural and late bleeding event, that can occur both at access and non-access sites. Choice of access site for PCI is of paramount importance to reduce the risk of access-related bleeding events. Areas covered: The aim of this review is to provide an overview of the actual available evidence comparing the transradial versus transfemoral approach to reduce hemorrhagic events. The most robust evidence comes from large randomized trials, partly also from observational registries, which compared the transradial and transfemoral approach. Expert opinion: Results show that radial access has proved to be decisive in reducing the incidence of hemorrhagic events. Furthermore, it showed a significant reduction in mortality and AKI compared to transfemoral access. However, increased experience in the use of the radial approach has led to less practice in the use of the femoral approach, which may be useful in cases of emergency, complications or inability to use the radial artery.","author":[{"dropping-particle":"","family":"Cesaro","given":"Arturo","non-dropping-particle":"","parse-names":false,"suffix":""},{"dropping-particle":"","family":"Moscarella","given":"Elisabetta","non-dropping-particle":"","parse-names":false,"suffix":""},{"dropping-particle":"","family":"Gragnano","given":"Felice","non-dropping-particle":"","parse-names":false,"suffix":""},{"dropping-particle":"","family":"Perrotta","given":"Rocco","non-dropping-particle":"","parse-names":false,"suffix":""},{"dropping-particle":"","family":"Diana","given":"Vincenzo","non-dropping-particle":"","parse-names":false,"suffix":""},{"dropping-particle":"","family":"Pariggiano","given":"Ivana","non-dropping-particle":"","parse-names":false,"suffix":""},{"dropping-particle":"","family":"Concilio","given":"Claudia","non-dropping-particle":"","parse-names":false,"suffix":""},{"dropping-particle":"","family":"Alfieri","given":"Alfonso","non-dropping-particle":"","parse-names":false,"suffix":""},{"dropping-particle":"","family":"Cesaro","given":"Francesco","non-dropping-particle":"","parse-names":false,"suffix":""},{"dropping-particle":"","family":"Mercone","given":"Giuseppe","non-dropping-particle":"","parse-names":false,"suffix":""},{"dropping-particle":"","family":"Falato","given":"Sergio","non-dropping-particle":"","parse-names":false,"suffix":""},{"dropping-particle":"","family":"Esposito","given":"Augusto","non-dropping-particle":"","parse-names":false,"suffix":""},{"dropping-particle":"","family":"Girolamo","given":"Domenico","non-dropping-particle":"Di","parse-names":false,"suffix":""},{"dropping-particle":"","family":"Limongelli","given":"Giuseppe","non-dropping-particle":"","parse-names":false,"suffix":""},{"dropping-particle":"","family":"Calabrò","given":"Paolo","non-dropping-particle":"","parse-names":false,"suffix":""}],"container-title":"Expert Review of Cardiovascular Therapy","id":"ITEM-1","issue":"6","issued":{"date-parts":[["2019"]]},"title":"Transradial access versus transfemoral access: a comparison of outcomes and efficacy in reducing hemorrhagic events","type":"article","volume":"17"},"uris":["http://www.mendeley.com/documents/?uuid=66311f87-365b-36cb-911f-00c8656a984a"]},{"id":"ITEM-2","itemData":{"DOI":"10.3390/jcm8101727","ISSN":"20770383","abstract":"Since its introduction, the transradial access for percutaneous cardiovascular procedures has been associated with several advantages as compared to transfemoral approach, and has become the default for coronary angiography and intervention. In the last 30 years, a robust amount of evidence on the transradial approach has been mounted, promoting its diffusion worldwide. This article provides a comprehensive review of radial artery access for percutaneous cardiovascular interventions, including the evidence from clinical trials of transradial vs. transfemoral approach, technical considerations, access-site complications and limitations, alternative forearm accesses (e.g., ulnar and distal radial artery), and ultimately the use of the radial approach for structural interventions.","author":[{"dropping-particle":"","family":"Scalise","given":"Renato Francesco Maria","non-dropping-particle":"","parse-names":false,"suffix":""},{"dropping-particle":"","family":"Salito","given":"Armando Mariano","non-dropping-particle":"","parse-names":false,"suffix":""},{"dropping-particle":"","family":"Polimeni","given":"Alberto","non-dropping-particle":"","parse-names":false,"suffix":""},{"dropping-particle":"","family":"Garcia-Ruiz","given":"Victoria","non-dropping-particle":"","parse-names":false,"suffix":""},{"dropping-particle":"","family":"Virga","given":"Vittorio","non-dropping-particle":"","parse-names":false,"suffix":""},{"dropping-particle":"","family":"Frigione","given":"Pierpaolo","non-dropping-particle":"","parse-names":false,"suffix":""},{"dropping-particle":"","family":"Andò","given":"Giuseppe","non-dropping-particle":"","parse-names":false,"suffix":""},{"dropping-particle":"","family":"Tumscitz","given":"Carlo","non-dropping-particle":"","parse-names":false,"suffix":""},{"dropping-particle":"","family":"Costa","given":"Francesco","non-dropping-particle":"","parse-names":false,"suffix":""}],"container-title":"Journal of Clinical Medicine","id":"ITEM-2","issue":"10","issued":{"date-parts":[["2019"]]},"title":"Radial artery access for percutaneous cardiovascular interventions: Contemporary insights and novel approaches","type":"article","volume":"8"},"uris":["http://www.mendeley.com/documents/?uuid=62627c39-472c-3d80-b26c-44e8246ef9b5"]}],"mendeley":{"formattedCitation":"(47,48)","plainTextFormattedCitation":"(47,48)","previouslyFormattedCitation":"(47,48)"},"properties":{"noteIndex":0},"schema":"https://github.com/citation-style-language/schema/raw/master/csl-citation.json"}</w:instrText>
      </w:r>
      <w:r w:rsidR="00F63BFF"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(47,48)</w:t>
      </w:r>
      <w:r w:rsidR="00F63BFF" w:rsidRPr="006B3495">
        <w:rPr>
          <w:rFonts w:asciiTheme="majorBidi" w:hAnsiTheme="majorBidi" w:cstheme="majorBidi"/>
          <w:sz w:val="24"/>
          <w:szCs w:val="24"/>
        </w:rPr>
        <w:fldChar w:fldCharType="end"/>
      </w:r>
      <w:r w:rsidR="00F63BFF" w:rsidRPr="006B3495">
        <w:rPr>
          <w:rFonts w:asciiTheme="majorBidi" w:hAnsiTheme="majorBidi" w:cstheme="majorBidi"/>
          <w:sz w:val="24"/>
          <w:szCs w:val="24"/>
        </w:rPr>
        <w:t>.</w:t>
      </w:r>
    </w:p>
    <w:p w14:paraId="09AD8F27" w14:textId="05BFAD5A"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Regarding the clinical data on the admission of study participants,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that the mean heart rate among PCI patients was 75.27±15.05 bpm while </w:t>
      </w:r>
      <w:r w:rsidR="000D3326" w:rsidRPr="006B3495">
        <w:rPr>
          <w:rFonts w:asciiTheme="majorBidi" w:hAnsiTheme="majorBidi" w:cstheme="majorBidi"/>
          <w:sz w:val="24"/>
          <w:szCs w:val="24"/>
        </w:rPr>
        <w:t xml:space="preserve">Systolic </w:t>
      </w:r>
      <w:r w:rsidR="00993ACB" w:rsidRPr="006B3495">
        <w:rPr>
          <w:rFonts w:asciiTheme="majorBidi" w:hAnsiTheme="majorBidi" w:cstheme="majorBidi"/>
          <w:sz w:val="24"/>
          <w:szCs w:val="24"/>
        </w:rPr>
        <w:t>Blood Pressure</w:t>
      </w:r>
      <w:r w:rsidR="000D3326" w:rsidRPr="006B3495">
        <w:rPr>
          <w:rFonts w:asciiTheme="majorBidi" w:hAnsiTheme="majorBidi" w:cstheme="majorBidi"/>
          <w:sz w:val="24"/>
          <w:szCs w:val="24"/>
        </w:rPr>
        <w:t xml:space="preserve"> </w:t>
      </w:r>
      <w:r w:rsidR="000D3326">
        <w:rPr>
          <w:rFonts w:asciiTheme="majorBidi" w:hAnsiTheme="majorBidi" w:cstheme="majorBidi"/>
          <w:sz w:val="24"/>
          <w:szCs w:val="24"/>
        </w:rPr>
        <w:t>(S</w:t>
      </w:r>
      <w:r w:rsidR="000D3326" w:rsidRPr="006B3495">
        <w:rPr>
          <w:rFonts w:asciiTheme="majorBidi" w:hAnsiTheme="majorBidi" w:cstheme="majorBidi"/>
          <w:sz w:val="24"/>
          <w:szCs w:val="24"/>
        </w:rPr>
        <w:t>BP</w:t>
      </w:r>
      <w:r w:rsidR="000D3326">
        <w:rPr>
          <w:rFonts w:asciiTheme="majorBidi" w:hAnsiTheme="majorBidi" w:cstheme="majorBidi"/>
          <w:sz w:val="24"/>
          <w:szCs w:val="24"/>
        </w:rPr>
        <w:t>)</w:t>
      </w:r>
      <w:r w:rsidRPr="006B3495">
        <w:rPr>
          <w:rFonts w:asciiTheme="majorBidi" w:hAnsiTheme="majorBidi" w:cstheme="majorBidi"/>
          <w:sz w:val="24"/>
          <w:szCs w:val="24"/>
        </w:rPr>
        <w:t xml:space="preserve"> (131.07±19.71 mmHg), </w:t>
      </w:r>
      <w:r w:rsidR="00993ACB" w:rsidRPr="006B3495">
        <w:rPr>
          <w:rFonts w:asciiTheme="majorBidi" w:hAnsiTheme="majorBidi" w:cstheme="majorBidi"/>
          <w:sz w:val="24"/>
          <w:szCs w:val="24"/>
        </w:rPr>
        <w:t xml:space="preserve">Diastolic Blood Pressure </w:t>
      </w:r>
      <w:r w:rsidR="000D3326">
        <w:rPr>
          <w:rFonts w:asciiTheme="majorBidi" w:hAnsiTheme="majorBidi" w:cstheme="majorBidi"/>
          <w:sz w:val="24"/>
          <w:szCs w:val="24"/>
        </w:rPr>
        <w:t>(D</w:t>
      </w:r>
      <w:r w:rsidR="000D3326" w:rsidRPr="006B3495">
        <w:rPr>
          <w:rFonts w:asciiTheme="majorBidi" w:hAnsiTheme="majorBidi" w:cstheme="majorBidi"/>
          <w:sz w:val="24"/>
          <w:szCs w:val="24"/>
        </w:rPr>
        <w:t>BP</w:t>
      </w:r>
      <w:r w:rsidR="000D3326">
        <w:rPr>
          <w:rFonts w:asciiTheme="majorBidi" w:hAnsiTheme="majorBidi" w:cstheme="majorBidi"/>
          <w:sz w:val="24"/>
          <w:szCs w:val="24"/>
        </w:rPr>
        <w:t>)</w:t>
      </w:r>
      <w:r w:rsidR="000D3326"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(74.62±15.15 </w:t>
      </w:r>
      <w:r w:rsidRPr="00993ACB">
        <w:rPr>
          <w:rFonts w:asciiTheme="majorBidi" w:hAnsiTheme="majorBidi" w:cstheme="majorBidi"/>
          <w:sz w:val="24"/>
          <w:szCs w:val="24"/>
        </w:rPr>
        <w:t xml:space="preserve">mmHg). </w:t>
      </w:r>
      <w:r w:rsidR="003C5099" w:rsidRPr="00993ACB">
        <w:rPr>
          <w:rFonts w:asciiTheme="majorBidi" w:hAnsiTheme="majorBidi" w:cstheme="majorBidi"/>
          <w:sz w:val="24"/>
          <w:szCs w:val="24"/>
        </w:rPr>
        <w:fldChar w:fldCharType="begin" w:fldLock="1"/>
      </w:r>
      <w:r w:rsidR="009711AF" w:rsidRPr="00993ACB">
        <w:rPr>
          <w:rFonts w:asciiTheme="majorBidi" w:hAnsiTheme="majorBidi" w:cstheme="majorBidi"/>
          <w:sz w:val="24"/>
          <w:szCs w:val="24"/>
        </w:rPr>
        <w:instrText>ADDIN CSL_CITATION {"citationItems":[{"id":"ITEM-1","itemData":{"ISSN":"20082371","abstract":"Background: Patients with chronic stable angina often have a state of sympathetic hyperactivity. It is considered associated with myocardial ischemia and disappears after ischemia elimination. The aim of this study was to investigate the changes in heart rate variability parameters, a noninvasive technique for the evaluation of the autonomic nervous system activity, after successful revascularization in these patients to evaluate this theory. Methods: The patients were enrolled among those who underwent successful percutaneous coronary intervention. Short-term heart rate variability analyses of all the patients were obtained, and time-domain indices (standard deviation of normal-to-normal intervals [SDNN], standard deviation of differences of successive R-R intervals [SDSD], root-mean square differences of successive R-R intervals [rMSSD], percentage of R-R intervals differing &gt; 10 ms from the preceding one [PNN&lt;inf&gt;10&lt;/inf&gt;], percentage of R-R intervals differing &gt; 20 ms from the preceding one [PNN&lt;inf&gt;20&lt;/inf&gt;], percentage of R-R intervals differing &gt; 30 ms from the preceding one [PNN&lt;inf&gt;30&lt;/inf&gt;], percentage of R-R intervals differing &gt; 40 ms from the preceding one [PNN&lt;inf&gt;40&lt;/inf&gt;], percentage of R-R intervals differing &gt; 50 ms from the preceding one [PNN&lt;inf&gt;50&lt;/inf&gt;], percentage of R-R intervals differing &gt; 60 ms from the preceding one [PNN&lt;inf&gt;60&lt;/inf&gt;], and percentage of R-R intervals differing &gt; 70 ms from the preceding one [PNN&lt;inf&gt;70&lt;/inf&gt;]) were analyzed. All the measurements were made before and after percutaneous coronary intervention. Results: This study included 64 patients, comprising 27 men and 37 women at a mean age of 56.8 ± 9.1 years. There was a significant difference only between pre-and post-revascularization SDNN (27.5 ± 19.72 vs. 41 ± 41.4; p value = 0.013). The other parameters showed no significant differences after successful coronary intervention. Conclusion: Our data indicate that the increase in SDNN in patients with stable angina pectoris undergoing percutaneous coronary intervention seems to be prominent.","author":[{"dropping-particle":"","family":"Abrootan","given":"Saeed","non-dropping-particle":"","parse-names":false,"suffix":""},{"dropping-particle":"","family":"Yazdankhah","given":"Saeed","non-dropping-particle":"","parse-names":false,"suffix":""},{"dropping-particle":"","family":"Payami","given":"Babak","non-dropping-particle":"","parse-names":false,"suffix":""},{"dropping-particle":"","family":"Alasti","given":"Mohammad","non-dropping-particle":"","parse-names":false,"suffix":""}],"container-title":"Journal of Tehran University Heart Center","id":"ITEM-1","issue":"2","issued":{"date-parts":[["2015"]]},"title":"Changes in heart rate variability parameters after elective percutaneous coronary intervention","type":"article-journal","volume":"10"},"uris":["http://www.mendeley.com/documents/?uuid=db321fd9-bc07-3e8a-a36c-4b73058e6316"]}],"mendeley":{"formattedCitation":"(49)","manualFormatting":"Abrootan et al., (2015)","plainTextFormattedCitation":"(49)","previouslyFormattedCitation":"(49)"},"properties":{"noteIndex":0},"schema":"https://github.com/citation-style-language/schema/raw/master/csl-citation.json"}</w:instrText>
      </w:r>
      <w:r w:rsidR="003C5099" w:rsidRPr="00993ACB">
        <w:rPr>
          <w:rFonts w:asciiTheme="majorBidi" w:hAnsiTheme="majorBidi" w:cstheme="majorBidi"/>
          <w:sz w:val="24"/>
          <w:szCs w:val="24"/>
        </w:rPr>
        <w:fldChar w:fldCharType="separate"/>
      </w:r>
      <w:r w:rsidR="003C5099" w:rsidRPr="00993ACB">
        <w:rPr>
          <w:rFonts w:asciiTheme="majorBidi" w:hAnsiTheme="majorBidi" w:cstheme="majorBidi"/>
          <w:sz w:val="24"/>
          <w:szCs w:val="24"/>
        </w:rPr>
        <w:t>Abrootan et al., (2015)</w:t>
      </w:r>
      <w:r w:rsidR="003C5099" w:rsidRPr="00993ACB">
        <w:rPr>
          <w:rFonts w:asciiTheme="majorBidi" w:hAnsiTheme="majorBidi" w:cstheme="majorBidi"/>
          <w:sz w:val="24"/>
          <w:szCs w:val="24"/>
        </w:rPr>
        <w:fldChar w:fldCharType="end"/>
      </w:r>
      <w:r w:rsidRPr="00993ACB">
        <w:rPr>
          <w:rFonts w:asciiTheme="majorBidi" w:hAnsiTheme="majorBidi" w:cstheme="majorBidi"/>
          <w:sz w:val="24"/>
          <w:szCs w:val="24"/>
        </w:rPr>
        <w:t xml:space="preserve"> studied heart rate changes and variability parameters</w:t>
      </w:r>
      <w:r w:rsidRPr="006B3495">
        <w:rPr>
          <w:rFonts w:asciiTheme="majorBidi" w:hAnsiTheme="majorBidi" w:cstheme="majorBidi"/>
          <w:sz w:val="24"/>
          <w:szCs w:val="24"/>
        </w:rPr>
        <w:t xml:space="preserve"> after elective PCI, and they concluded that heart rate among PCI patients is elevated (More than 75 bpm). </w:t>
      </w:r>
      <w:r w:rsidR="00EF13B3" w:rsidRPr="006B3495">
        <w:rPr>
          <w:rFonts w:asciiTheme="majorBidi" w:hAnsiTheme="majorBidi" w:cstheme="majorBidi"/>
          <w:sz w:val="24"/>
          <w:szCs w:val="24"/>
        </w:rPr>
        <w:t xml:space="preserve">Jeon </w:t>
      </w:r>
      <w:r w:rsidR="00EF13B3"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{"citationItems":[{"id":"ITEM-1","itemData":{"DOI":"10.1097/01.hjh.0000573684.41487.3c","ISSN":"0263-6352","abstract":"Objective: In hypertensive patients, U-shaped relationship has been reported between blood pressure and future events. However, there is little information about the significance of blood pressure on the outcomes of patients with coronary artery disease who underwent revascularization. We assessed the risk of cardiovascular events according to diastolic blood pressure (DBP) at discharge in patients with acute myocardial infarction (AMI) underwent percutaneous coronary intervention (PCI). Design and method: We evaluated 10,156 patients from a nationwide registry for AMI. The DBPs at discharge were categorized into 3 discrete groups (&lt;70, 70-80 [reference], and &gt;80 mmHg). The primary outcome was a composite of all-cause death, myocardial re-infarction (MI), and re-hospitalization for heart failure. The hierarchical logistic regression was used to test association between DBP and primary outcome, with spline term for DBP to assess nonlinearity. Result(s): A total of 1,065 (10.5%) experienced primary outcome during median follow-up of 24.1 months. The nominally lowest risk for all outcomes was observed at DBP at discharge of 70 to &lt;80 mmHg. In unadjusted model, DBP was associated with primary outcome with U-shaped relationship (unadjusted hazard ratio [HR]: 0.987, 95% confidence interval [CI]: 0.981-0.993, p &lt; 0.001, p for nonlinearity = 0.002), with progressive increase in hazards of primary outcome as DBP decreased below reference. After adjustments, lower DBP (&lt;70 mmHg) was associated with higher risk for the primary outcome (adjusted HR: 1.252, 95% CI: 1.024-1.532, p = 0.028); but higher DBP (&gt;80 mmHg) did not affect the risk of primary outcome (adjusted HR: 1.085, 95% CI: 0.844-1.394, p = 0.524). A similar non-linear relationship with higher risk of events at lower DBP was found for all-cause death and re-hospitalization for heart failure, but not MI. These associations remained significant even after correction for co-variables. Conclusion(s): Compared to DBP of 70 to &lt;80 mmHg, lower DBP at discharge was associated with higher risk of adverse events in patients with AMI underwent PCI, supporting the existence of U-shaped phenomenon. This finding suggests that caution should be taken in the use of medications that can reduce DBP in patients with AMI even after coronary revascularization.","author":[{"dropping-particle":"","family":"Jeon","given":"K.","non-dropping-particle":"","parse-names":false,"suffix":""},{"dropping-particle":"","family":"Song","given":"P.S.","non-dropping-particle":"","parse-names":false,"suffix":""},{"dropping-particle":"","family":"Ahn","given":"Y.","non-dropping-particle":"","parse-names":false,"suffix":""},{"dropping-particle":"","family":"Jeong","given":"M.H.","non-dropping-particle":"","parse-names":false,"suffix":""}],"container-title":"Journal of Hypertension","id":"ITEM-1","issued":{"date-parts":[["2019"]]},"title":"RELATIONSHIP BETWEEN DIASTOLIC BLOOD PRESSURE AT DISCHARGE AND CARDIOVASCULAR OUTCOMES AFTER PERCUTANEOUS CORONARY INTERVENTION FOR ACUTE MYOCARDIAL INFARCTION","type":"article-journal","volume":"37"},"uris":["http://www.mendeley.com/documents/?uuid=6b405d89-cc46-395f-be86-f25a2681c6b2"]}],"mendeley":{"formattedCitation":"(50)","plainTextFormattedCitation":"(50)","previouslyFormattedCitation":"(50)"},"properties":{"noteIndex":0},"schema":"https://github.com/citation-style-language/schema/raw/master/csl-citation.json"}</w:instrText>
      </w:r>
      <w:r w:rsidR="00EF13B3"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(50)</w:t>
      </w:r>
      <w:r w:rsidR="00EF13B3" w:rsidRPr="006B3495">
        <w:rPr>
          <w:rFonts w:asciiTheme="majorBidi" w:hAnsiTheme="majorBidi" w:cstheme="majorBidi"/>
          <w:sz w:val="24"/>
          <w:szCs w:val="24"/>
        </w:rPr>
        <w:fldChar w:fldCharType="end"/>
      </w:r>
      <w:r w:rsidR="00C57B4D"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showed that </w:t>
      </w:r>
      <w:r w:rsidR="005B0009" w:rsidRPr="006B3495">
        <w:rPr>
          <w:rFonts w:asciiTheme="majorBidi" w:hAnsiTheme="majorBidi" w:cstheme="majorBidi"/>
          <w:sz w:val="24"/>
          <w:szCs w:val="24"/>
        </w:rPr>
        <w:t>t</w:t>
      </w:r>
      <w:r w:rsidRPr="006B3495">
        <w:rPr>
          <w:rFonts w:asciiTheme="majorBidi" w:hAnsiTheme="majorBidi" w:cstheme="majorBidi"/>
          <w:sz w:val="24"/>
          <w:szCs w:val="24"/>
        </w:rPr>
        <w:t>he nominally lowest risk for all outcomes was observed at DBP at discharge of 70 to less than 80 mmHg. Also,</w:t>
      </w:r>
      <w:r w:rsidR="00C57B4D" w:rsidRPr="006B3495">
        <w:t xml:space="preserve"> </w:t>
      </w:r>
      <w:r w:rsidR="00C57B4D" w:rsidRPr="006B3495">
        <w:rPr>
          <w:rFonts w:asciiTheme="majorBidi" w:hAnsiTheme="majorBidi" w:cstheme="majorBidi"/>
          <w:sz w:val="24"/>
          <w:szCs w:val="24"/>
        </w:rPr>
        <w:t xml:space="preserve">Konstantinou </w:t>
      </w:r>
      <w:r w:rsidR="00C57B4D"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{"citationItems":[{"id":"ITEM-1","itemData":{"DOI":"10.1111/jch.13622","ISSN":"17517176","abstract":"Arterial hypertension is a well-established cardiovascular risk factor, and blood pressure (BP) control has largely improved the prognosis of hypertensive patients. A number of studies have assessed the role of BP levels in the prognosis of patients with acute coronary syndromes. Pathophysiologic links of hypertension to acute myocardial infarction (MI) include endothelial dysfunction, autonomic nervous system dysregulation, impaired vasoreactivity, and a genetic substrate. A history of hypertension is highly prevalent among patients presenting with MI, and some, but not all, studies have associated it with a worse prognosis. Some data support that low levels of admission and in-hospital BP may indicate an increased risk for subsequent events. Risk scores used in patients with MI have, therefore, included BP levels and a history of hypertension in their variables. Of note, good long-term BP control, ideally initiated prior to discharge, should be pursued in order to improve secondary prevention.","author":[{"dropping-particle":"","family":"Konstantinou","given":"Konstantinos","non-dropping-particle":"","parse-names":false,"suffix":""},{"dropping-particle":"","family":"Tsioufis","given":"Costas","non-dropping-particle":"","parse-names":false,"suffix":""},{"dropping-particle":"","family":"Koumelli","given":"Areti","non-dropping-particle":"","parse-names":false,"suffix":""},{"dropping-particle":"","family":"Mantzouranis","given":"Manos","non-dropping-particle":"","parse-names":false,"suffix":""},{"dropping-particle":"","family":"Kasiakogias","given":"Alexandros","non-dropping-particle":"","parse-names":false,"suffix":""},{"dropping-particle":"","family":"Doumas","given":"Michalis","non-dropping-particle":"","parse-names":false,"suffix":""},{"dropping-particle":"","family":"Tousoulis","given":"Dimitris","non-dropping-particle":"","parse-names":false,"suffix":""}],"container-title":"Journal of Clinical Hypertension","id":"ITEM-1","issue":"8","issued":{"date-parts":[["2019"]]},"title":"Hypertension and patients with acute coronary syndrome: Putting blood pressure levels into perspective","type":"article","volume":"21"},"uris":["http://www.mendeley.com/documents/?uuid=c3dcacc2-f55a-36fe-b408-d3bf315cbb71"]}],"mendeley":{"formattedCitation":"(51)","plainTextFormattedCitation":"(51)","previouslyFormattedCitation":"(51)"},"properties":{"noteIndex":0},"schema":"https://github.com/citation-style-language/schema/raw/master/csl-citation.json"}</w:instrText>
      </w:r>
      <w:r w:rsidR="00C57B4D"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(51)</w:t>
      </w:r>
      <w:r w:rsidR="00C57B4D"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showed that the risk curve of </w:t>
      </w:r>
      <w:r w:rsidR="000D3326">
        <w:rPr>
          <w:rFonts w:asciiTheme="majorBidi" w:hAnsiTheme="majorBidi" w:cstheme="majorBidi"/>
          <w:sz w:val="24"/>
          <w:szCs w:val="24"/>
        </w:rPr>
        <w:t>S</w:t>
      </w:r>
      <w:r w:rsidR="000D3326" w:rsidRPr="006B3495">
        <w:rPr>
          <w:rFonts w:asciiTheme="majorBidi" w:hAnsiTheme="majorBidi" w:cstheme="majorBidi"/>
          <w:sz w:val="24"/>
          <w:szCs w:val="24"/>
        </w:rPr>
        <w:t>BP</w:t>
      </w:r>
      <w:r w:rsidRPr="006B3495">
        <w:rPr>
          <w:rFonts w:asciiTheme="majorBidi" w:hAnsiTheme="majorBidi" w:cstheme="majorBidi"/>
          <w:sz w:val="24"/>
          <w:szCs w:val="24"/>
        </w:rPr>
        <w:t xml:space="preserve"> levels is 110‐130 mm Hg, and </w:t>
      </w:r>
      <w:r w:rsidR="000D3326">
        <w:rPr>
          <w:rFonts w:asciiTheme="majorBidi" w:hAnsiTheme="majorBidi" w:cstheme="majorBidi"/>
          <w:sz w:val="24"/>
          <w:szCs w:val="24"/>
        </w:rPr>
        <w:t>D</w:t>
      </w:r>
      <w:r w:rsidRPr="006B3495">
        <w:rPr>
          <w:rFonts w:asciiTheme="majorBidi" w:hAnsiTheme="majorBidi" w:cstheme="majorBidi"/>
          <w:sz w:val="24"/>
          <w:szCs w:val="24"/>
        </w:rPr>
        <w:t xml:space="preserve">BP is 70‐90 mm Hg. Elevated SBP among PCI patients admitted due to several factors, such as pain from the cardiac event and activation of the nervous system, anxiety and stress response, and hypertension </w:t>
      </w:r>
      <w:r w:rsidR="00F81AD9"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{"citationItems":[{"id":"ITEM-1","itemData":{"DOI":"10.3389/fphys.2022.852891","ISSN":"1664042X","abstract":"Anxiety disorder is a prevalent psychiatric disease and imposes a significant influence on cardiovascular disease (CVD). Numerous evidence support that anxiety contributes to the onset and progression of various CVDs through different physiological and behavioral mechanisms. However, the exact role of nuclei and the association between the neural circuit and anxiety disorder in CVD remains unknown. Several anxiety-related nuclei, including that of the amygdala, hippocampus, bed nucleus of stria terminalis, and medial prefrontal cortex, along with the relevant neural circuit are crucial in CVD. A strong connection between these nuclei and the autonomic nervous system has been proven. Therefore, anxiety may influence CVD through these autonomic neural circuits consisting of anxiety-related nuclei and the autonomic nervous system. Neuromodulation, which can offer targeted intervention on these nuclei, may promote the development of treatment for comorbidities of CVD and anxiety disorders. The present review focuses on the association between anxiety-relevant nuclei and CVD, as well as discusses several non-invasive neuromodulations which may treat anxiety and CVD.","author":[{"dropping-particle":"","family":"Chen","given":"Xuanzhao","non-dropping-particle":"","parse-names":false,"suffix":""},{"dropping-particle":"","family":"Xu","given":"Li","non-dropping-particle":"","parse-names":false,"suffix":""},{"dropping-particle":"","family":"Li","given":"Zeyan","non-dropping-particle":"","parse-names":false,"suffix":""}],"container-title":"Frontiers in Physiology","id":"ITEM-1","issued":{"date-parts":[["2022"]]},"title":"Autonomic Neural Circuit and Intervention for Comorbidity Anxiety and Cardiovascular Disease","type":"article","volume":"13"},"uris":["http://www.mendeley.com/documents/?uuid=d2710581-30fe-3bb1-ac81-341df0268c82"]}],"mendeley":{"formattedCitation":"(52)","plainTextFormattedCitation":"(52)","previouslyFormattedCitation":"(52)"},"properties":{"noteIndex":0},"schema":"https://github.com/citation-style-language/schema/raw/master/csl-citation.json"}</w:instrText>
      </w:r>
      <w:r w:rsidR="00F81AD9"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(52)</w:t>
      </w:r>
      <w:r w:rsidR="00F81AD9"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w:t>
      </w:r>
    </w:p>
    <w:p w14:paraId="62597CC5" w14:textId="1BD46749" w:rsidR="00EC74E8" w:rsidRPr="006B3495" w:rsidRDefault="00C7664C" w:rsidP="00665AD7">
      <w:pPr>
        <w:spacing w:after="240" w:line="480" w:lineRule="auto"/>
        <w:jc w:val="both"/>
        <w:rPr>
          <w:rFonts w:asciiTheme="majorBidi" w:hAnsiTheme="majorBidi" w:cstheme="majorBidi"/>
          <w:sz w:val="24"/>
          <w:szCs w:val="24"/>
        </w:rPr>
      </w:pPr>
      <w:r>
        <w:rPr>
          <w:rFonts w:asciiTheme="majorBidi" w:hAnsiTheme="majorBidi" w:cstheme="majorBidi"/>
          <w:sz w:val="24"/>
          <w:szCs w:val="24"/>
          <w:highlight w:val="yellow"/>
        </w:rPr>
        <w:lastRenderedPageBreak/>
        <w:t xml:space="preserve">The </w:t>
      </w:r>
      <w:r w:rsidR="00033E6A" w:rsidRPr="00237C96">
        <w:rPr>
          <w:rFonts w:asciiTheme="majorBidi" w:hAnsiTheme="majorBidi" w:cstheme="majorBidi"/>
          <w:sz w:val="24"/>
          <w:szCs w:val="24"/>
          <w:highlight w:val="yellow"/>
        </w:rPr>
        <w:t>eGFR levels were within normal range, consistent with Ke (53)</w:t>
      </w:r>
      <w:r w:rsidR="00EC74E8" w:rsidRPr="00237C96">
        <w:rPr>
          <w:rFonts w:asciiTheme="majorBidi" w:hAnsiTheme="majorBidi" w:cstheme="majorBidi"/>
          <w:sz w:val="24"/>
          <w:szCs w:val="24"/>
          <w:highlight w:val="yellow"/>
        </w:rPr>
        <w:t>.</w:t>
      </w:r>
      <w:r w:rsidR="00EC74E8" w:rsidRPr="006B3495">
        <w:rPr>
          <w:rFonts w:asciiTheme="majorBidi" w:hAnsiTheme="majorBidi" w:cstheme="majorBidi"/>
          <w:sz w:val="24"/>
          <w:szCs w:val="24"/>
        </w:rPr>
        <w:t xml:space="preserve"> The researchers studied the </w:t>
      </w:r>
      <w:r>
        <w:rPr>
          <w:rFonts w:asciiTheme="majorBidi" w:hAnsiTheme="majorBidi" w:cstheme="majorBidi"/>
          <w:sz w:val="24"/>
          <w:szCs w:val="24"/>
        </w:rPr>
        <w:t>r</w:t>
      </w:r>
      <w:r w:rsidR="00EC74E8" w:rsidRPr="006B3495">
        <w:rPr>
          <w:rFonts w:asciiTheme="majorBidi" w:hAnsiTheme="majorBidi" w:cstheme="majorBidi"/>
          <w:sz w:val="24"/>
          <w:szCs w:val="24"/>
        </w:rPr>
        <w:t xml:space="preserve">isk stratification algorithm for clinical outcomes among PCI patients and showed that eGFR was 86.27 ml/kg/min; however, there was an increase in anaemia levels. </w:t>
      </w:r>
      <w:r w:rsidR="00F941A1"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{"citationItems":[{"id":"ITEM-1","itemData":{"DOI":"10.1007/s00380-020-01706-w","ISSN":"16152573","abstract":"Acute kidney injury (AKI) is common in patients undergoing percutaneous coronary intervention (PCI). One risk factor for AKI is periprocedural hemoglobin drop level (&gt; 3 g/dL); however, whether the relationship between hemoglobin drop and AKI is linear or nonlinear remains unknown. We aimed to investigate the relationship between periprocedural hemoglobin drop and AKI after PCI. We evaluated 14,273 consecutive patients undergoing PCI between September 2008 and March 2019. AKI was defined as an absolute or a relative increase in serum creatinine level of 0.3 mg/dL or 50%, respectively. Restricted cubic spline was constructed to assess the association between hemoglobin drop and AKI by logistic regression and machine learning (ML) models, which were used to predict the risk of AKI. The patients’ mean age was 68.4 ± 11.6 years; the AKI incidence was 10.5% (N = 1499). An absolute &gt; 3 g/dL or 20% relative decrease in hemoglobin level was an independent predictor of AKI incidence (odds ratio, OR [95% confidence interval, CI]: 2.24 [1.92–2.61], P &lt; 0.001; 2.35 [2.04–2.71], P &lt; 0.001, respectively). An adjusted restricted cubic spline demonstrated that absolute/relative decrease in hemoglobin was linearly associated with AKI. Logistic and ML models with absolute/relative hemoglobin changes were comparable while estimating the risk of AKI (absolute area under the curve [AUC] (logistic):0.826, AUC (ML): 0.820; relative AUC (logistic): 0.818, AUC (ML): 0.816). An absolute/relative decrease in periprocedural hemoglobin after PCI was linearly associated with AKI. Detection of a relative/absolute decrease in hemoglobin may help clinicians identify individuals as high risk for AKI after PCI.","author":[{"dropping-particle":"","family":"Kuno","given":"Toshiki","non-dropping-particle":"","parse-names":false,"suffix":""},{"dropping-particle":"","family":"Numasawa","given":"Yohei","non-dropping-particle":"","parse-names":false,"suffix":""},{"dropping-particle":"","family":"Mikami","given":"Takahisa","non-dropping-particle":"","parse-names":false,"suffix":""},{"dropping-particle":"","family":"Niimi","given":"Nozomi","non-dropping-particle":"","parse-names":false,"suffix":""},{"dropping-particle":"","family":"Sawano","given":"Mitsuaki","non-dropping-particle":"","parse-names":false,"suffix":""},{"dropping-particle":"","family":"Kodaira","given":"Masaki","non-dropping-particle":"","parse-names":false,"suffix":""},{"dropping-particle":"","family":"Suzuki","given":"Masahiro","non-dropping-particle":"","parse-names":false,"suffix":""},{"dropping-particle":"","family":"Ueno","given":"Koji","non-dropping-particle":"","parse-names":false,"suffix":""},{"dropping-particle":"","family":"Ueda","given":"Ikuko","non-dropping-particle":"","parse-names":false,"suffix":""},{"dropping-particle":"","family":"Fukuda","given":"Keiichi","non-dropping-particle":"","parse-names":false,"suffix":""},{"dropping-particle":"","family":"Kohsaka","given":"Shun","non-dropping-particle":"","parse-names":false,"suffix":""}],"container-title":"Heart and Vessels","id":"ITEM-1","issue":"3","issued":{"date-parts":[["2021"]]},"title":"Association of decreasing hemoglobin levels with the incidence of acute kidney injury after percutaneous coronary intervention: a prospective multi-center study","type":"article-journal","volume":"36"},"uris":["http://www.mendeley.com/documents/?uuid=6d2ec012-790f-3a15-bd0d-02ec8fdfd92a"]}],"mendeley":{"formattedCitation":"(54)","manualFormatting":"Kuno et al., (2021)","plainTextFormattedCitation":"(54)","previouslyFormattedCitation":"(54)"},"properties":{"noteIndex":0},"schema":"https://github.com/citation-style-language/schema/raw/master/csl-citation.json"}</w:instrText>
      </w:r>
      <w:r w:rsidR="00F941A1" w:rsidRPr="006B3495">
        <w:rPr>
          <w:rFonts w:asciiTheme="majorBidi" w:hAnsiTheme="majorBidi" w:cstheme="majorBidi"/>
          <w:sz w:val="24"/>
          <w:szCs w:val="24"/>
        </w:rPr>
        <w:fldChar w:fldCharType="separate"/>
      </w:r>
      <w:r w:rsidR="00F941A1" w:rsidRPr="006B3495">
        <w:rPr>
          <w:rFonts w:asciiTheme="majorBidi" w:hAnsiTheme="majorBidi" w:cstheme="majorBidi"/>
          <w:sz w:val="24"/>
          <w:szCs w:val="24"/>
        </w:rPr>
        <w:t>Kuno et al., (2021)</w:t>
      </w:r>
      <w:r w:rsidR="00F941A1" w:rsidRPr="006B3495">
        <w:rPr>
          <w:rFonts w:asciiTheme="majorBidi" w:hAnsiTheme="majorBidi" w:cstheme="majorBidi"/>
          <w:sz w:val="24"/>
          <w:szCs w:val="24"/>
        </w:rPr>
        <w:fldChar w:fldCharType="end"/>
      </w:r>
      <w:r w:rsidR="00EC74E8" w:rsidRPr="006B3495">
        <w:rPr>
          <w:rFonts w:asciiTheme="majorBidi" w:hAnsiTheme="majorBidi" w:cstheme="majorBidi"/>
          <w:sz w:val="24"/>
          <w:szCs w:val="24"/>
        </w:rPr>
        <w:t xml:space="preserve"> showed an association between decreasing haemoglobin levels and elevated kidney injury among PCI patients. </w:t>
      </w:r>
    </w:p>
    <w:p w14:paraId="22027BF7" w14:textId="673D0296" w:rsidR="00D10B9F"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Regarding comparing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and TRA. The current results </w:t>
      </w:r>
      <w:r w:rsidR="00D26884">
        <w:rPr>
          <w:rFonts w:asciiTheme="majorBidi" w:hAnsiTheme="majorBidi" w:cstheme="majorBidi"/>
          <w:sz w:val="24"/>
          <w:szCs w:val="24"/>
        </w:rPr>
        <w:t>demonstrate</w:t>
      </w:r>
      <w:r w:rsidRPr="006B3495">
        <w:rPr>
          <w:rFonts w:asciiTheme="majorBidi" w:hAnsiTheme="majorBidi" w:cstheme="majorBidi"/>
          <w:sz w:val="24"/>
          <w:szCs w:val="24"/>
        </w:rPr>
        <w:t xml:space="preserve"> no change in heart rate, eGFR, SBP, and </w:t>
      </w:r>
      <w:r w:rsidR="00C7664C">
        <w:rPr>
          <w:rFonts w:asciiTheme="majorBidi" w:hAnsiTheme="majorBidi" w:cstheme="majorBidi"/>
          <w:sz w:val="24"/>
          <w:szCs w:val="24"/>
        </w:rPr>
        <w:t>H</w:t>
      </w:r>
      <w:r w:rsidR="00C7664C" w:rsidRPr="006B3495">
        <w:rPr>
          <w:rFonts w:asciiTheme="majorBidi" w:hAnsiTheme="majorBidi" w:cstheme="majorBidi"/>
          <w:sz w:val="24"/>
          <w:szCs w:val="24"/>
        </w:rPr>
        <w:t>emoglobin</w:t>
      </w:r>
      <w:r w:rsidRPr="006B3495">
        <w:rPr>
          <w:rFonts w:asciiTheme="majorBidi" w:hAnsiTheme="majorBidi" w:cstheme="majorBidi"/>
          <w:sz w:val="24"/>
          <w:szCs w:val="24"/>
        </w:rPr>
        <w:t xml:space="preserve"> on admission among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compared to TRA. However, DBP on admission was significantly higher in the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than in the TRA group. Several studies agree with our study and showed that no statistically significant difference between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and compared to TRA regarding heart rate, eGFR, </w:t>
      </w:r>
      <w:r w:rsidR="000D3326">
        <w:rPr>
          <w:rFonts w:asciiTheme="majorBidi" w:hAnsiTheme="majorBidi" w:cstheme="majorBidi"/>
          <w:sz w:val="24"/>
          <w:szCs w:val="24"/>
        </w:rPr>
        <w:t>S</w:t>
      </w:r>
      <w:r w:rsidR="000D3326" w:rsidRPr="006B3495">
        <w:rPr>
          <w:rFonts w:asciiTheme="majorBidi" w:hAnsiTheme="majorBidi" w:cstheme="majorBidi"/>
          <w:sz w:val="24"/>
          <w:szCs w:val="24"/>
        </w:rPr>
        <w:t>BP</w:t>
      </w:r>
      <w:r w:rsidRPr="006B3495">
        <w:rPr>
          <w:rFonts w:asciiTheme="majorBidi" w:hAnsiTheme="majorBidi" w:cstheme="majorBidi"/>
          <w:sz w:val="24"/>
          <w:szCs w:val="24"/>
        </w:rPr>
        <w:t xml:space="preserve">, and </w:t>
      </w:r>
      <w:r w:rsidR="00C7664C">
        <w:rPr>
          <w:rFonts w:asciiTheme="majorBidi" w:hAnsiTheme="majorBidi" w:cstheme="majorBidi"/>
          <w:sz w:val="24"/>
          <w:szCs w:val="24"/>
        </w:rPr>
        <w:t>H</w:t>
      </w:r>
      <w:r w:rsidR="00C7664C" w:rsidRPr="006B3495">
        <w:rPr>
          <w:rFonts w:asciiTheme="majorBidi" w:hAnsiTheme="majorBidi" w:cstheme="majorBidi"/>
          <w:sz w:val="24"/>
          <w:szCs w:val="24"/>
        </w:rPr>
        <w:t>emoglobin</w:t>
      </w:r>
      <w:r w:rsidRPr="006B3495">
        <w:rPr>
          <w:rFonts w:asciiTheme="majorBidi" w:hAnsiTheme="majorBidi" w:cstheme="majorBidi"/>
          <w:sz w:val="24"/>
          <w:szCs w:val="24"/>
        </w:rPr>
        <w:t xml:space="preserve"> on admission while there is a statistically significant different between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compared to TRA regarding </w:t>
      </w:r>
      <w:r w:rsidR="000D3326">
        <w:rPr>
          <w:rFonts w:asciiTheme="majorBidi" w:hAnsiTheme="majorBidi" w:cstheme="majorBidi"/>
          <w:sz w:val="24"/>
          <w:szCs w:val="24"/>
        </w:rPr>
        <w:t>D</w:t>
      </w:r>
      <w:r w:rsidRPr="006B3495">
        <w:rPr>
          <w:rFonts w:asciiTheme="majorBidi" w:hAnsiTheme="majorBidi" w:cstheme="majorBidi"/>
          <w:sz w:val="24"/>
          <w:szCs w:val="24"/>
        </w:rPr>
        <w:t xml:space="preserve">BP on admission </w:t>
      </w:r>
      <w:r w:rsidR="00F55AB0"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{"citationItems":[{"id":"ITEM-1","itemData":{"DOI":"10.34172/jcvtr.2020.08","ISSN":"20086830","abstract":"Introduction: The risk of contrast-induced nephropathy (CIN) as a common and important complication of coronary procedures may be influenced by the vascular access site. We compared the risks of CIN in diagnostic or interventional coronary management between patients treated via the transradial access (TRA) and those treated via the transfemoral access (TFA). Methods: Patients undergoing invasive coronary catheterization or percutaneous coronary intervention (PCI) were enrolled. We excluded patients with congenital or structural heart disease and those with end-stage renal disease on dialysis. Based on the vascular access site used for invasive coronary catheterization, the patients were divided into 2 study groups: the TFA and the TRA. CIN was defined as an absolute (≥0.5 mg/dL) or relative (&gt;25%) increase in the baseline serum creatinine level within 48 hours following cardiac catheterization or PCI. Results:Overall,410patients(meanage=61.3±10.8years)underwentdiagnosticorinterventional coronary management: 258 were treated via the TFA approach and 152 via the TRA approach. The patients treated via the TFA had a significantly higher incidence of postprocedural CIN (15.1% vs 6.6%; P=0.01). The multivariate analysis showed that the TFA was the independent predictor of CIN (OR: 2.37, 95% CI: 1.11 to 5.10, and P=0.027). Moreover, the BARC (Bleeding Academic Research Consortium) and Mehran scores were the other independent predictors of CIN in our study. Conclusion:The risk of CIN was lower with the TRA, and the TFA was the independent predictor of CIN after the diagnostic or interventional coronary management.","author":[{"dropping-particle":"","family":"Firouzi","given":"Ata","non-dropping-particle":"","parse-names":false,"suffix":""},{"dropping-particle":"","family":"Alemzadeh-Ansari","given":"Mohammad Javad","non-dropping-particle":"","parse-names":false,"suffix":""},{"dropping-particle":"","family":"Mohammadhadi","given":"Naser","non-dropping-particle":"","parse-names":false,"suffix":""},{"dropping-particle":"","family":"Peighambari","given":"Mohammad Mehdi","non-dropping-particle":"","parse-names":false,"suffix":""},{"dropping-particle":"","family":"Zahedmehr","given":"Ali","non-dropping-particle":"","parse-names":false,"suffix":""},{"dropping-particle":"","family":"Mohebbi","given":"Bahram","non-dropping-particle":"","parse-names":false,"suffix":""},{"dropping-particle":"","family":"Kiani","given":"Reza","non-dropping-particle":"","parse-names":false,"suffix":""},{"dropping-particle":"","family":"Sanati","given":"Hamid Reza","non-dropping-particle":"","parse-names":false,"suffix":""},{"dropping-particle":"","family":"Shakerian","given":"Farshad","non-dropping-particle":"","parse-names":false,"suffix":""},{"dropping-particle":"","family":"Rashidinejad","given":"Alireza","non-dropping-particle":"","parse-names":false,"suffix":""},{"dropping-particle":"","family":"Ghadrdoost","given":"Behshid","non-dropping-particle":"","parse-names":false,"suffix":""},{"dropping-particle":"","family":"Asghari","given":"Raana","non-dropping-particle":"","parse-names":false,"suffix":""},{"dropping-particle":"","family":"Yancheshmeh","given":"Simin Shokrollahi","non-dropping-particle":"","parse-names":false,"suffix":""}],"container-title":"Journal of Cardiovascular and Thoracic Research","id":"ITEM-1","issue":"1","issued":{"date-parts":[["2020"]]},"title":"Association between the risks of contrast-induced nephropathy after diagnostic or interventional coronary management and the transradial and transfemoral access approaches","type":"article-journal","volume":"12"},"uris":["http://www.mendeley.com/documents/?uuid=33a1d66c-43d3-3841-bb80-f41b1d6c204d"]},{"id":"ITEM-2","itemData":{"DOI":"10.1016/j.jcin.2022.02.012","ISSN":"18767605","abstract":"Objectives: The aim of this study was to compare transradial access (TRA) with transfemoral access (TFA) for chronic total occlusion (CTO) percutaneous coronary intervention (PCI). Background: TRA reduces the risk for vascular access complications but may make complex PCI, such as CTO PCI, more challenging. Methods: FORT CTO (Femoral or Radial Approach in the Treatment of Coronary Chronic Total Occlusion) (NCT03265769) was a prospective, noninferiority, randomized controlled study of TRA vs TFA for CTO PCI. The primary study endpoint was procedural success, defined as technical success without any in-hospital major adverse cardiovascular events. The secondary study endpoint was major access-site complications. Results: Between 2017 and 2021, 610 of 800 patients referred for CTO PCI at 4 centers were randomized to TRA (n = 305) or TFA (n = 305). Mean J-CTO (Multicenter CTO Registry in Japan) (2.1 ± 0.1 vs 2.2 ± 0.1; P = 0.279), PROGRESS CTO (Prospective Global Registry for the Study of Chronic Total Occlusion Intervention) (1.3 ± 0.9 vs 1.1 ± 1.0; P = 0.058) and PROGRESS CTO complication (2.4 ± 1.8 vs 2.3 ± 1.8; P = 0.561) scores and use of the retrograde approach (11% vs 14%; P = 0.342) were similar in the TRA and TFA groups. TRA was noninferior to TFA for procedural success (84% vs 86%; P = 0.563) but had fewer access-site complications (2.0% vs 5.6%; P = 0.019). There was no difference between TFA and TRA in procedural duration, contrast volume, or radiation dose. COnclusions: TRA was noninferior to TFA for CTO PCI but had fewer access-site complications.","author":[{"dropping-particle":"","family":"Gorgulu","given":"Sevket","non-dropping-particle":"","parse-names":false,"suffix":""},{"dropping-particle":"","family":"Kalay","given":"Nihat","non-dropping-particle":"","parse-names":false,"suffix":""},{"dropping-particle":"","family":"Norgaz","given":"Tugrul","non-dropping-particle":"","parse-names":false,"suffix":""},{"dropping-particle":"","family":"Kocas","given":"Cuneyt","non-dropping-particle":"","parse-names":false,"suffix":""},{"dropping-particle":"","family":"Goktekin","given":"Omer","non-dropping-particle":"","parse-names":false,"suffix":""},{"dropping-particle":"","family":"Brilakis","given":"Emmanouil S.","non-dropping-particle":"","parse-names":false,"suffix":""}],"container-title":"JACC: Cardiovascular Interventions","id":"ITEM-2","issue":"8","issued":{"date-parts":[["2022"]]},"title":"Femoral or Radial Approach in Treatment of Coronary Chronic Total Occlusion: A Randomized Clinical Trial","type":"article-journal","volume":"15"},"uris":["http://www.mendeley.com/documents/?uuid=c8ccdd03-2345-346e-90d8-5c4ef9335101"]},{"id":"ITEM-3","itemData":{"DOI":"10.4236/wjcd.2023.131005","ISSN":"2164-5329","abstract":"Background: Cardiovascular Disease (CVD) is one of the leading chronic diseases in Saudi Arabia (SA) that cause disability and death. CVD predisposition risk varies according to age, gender, education, socioeconomic factors, and place of residency. In addition, CVD risk factors include physical inactivity, sedentary lifestyle, saturated fatty acid high diet, smoking, and stress. Aim: This is a systematic review study that aims to determine the effect of mindful mediation, physical activity, and diet on CVD in SA. Materials and Methods: This is a systematic electronic search method in Google scholar, PubMed, and Medline. Papers collected are papers that have been published since 2015. The search uses the following keywords: (Cardiovascular disease OR physical activity OR Physical inactivity OR meditation OR diet) AND Saudi Arabia. Data were extracted from each study through a narrative summary of each study. Results: Forty papers collected from 2015 to 2022 were included in the narrative study. Physical activity, diet, and mindful meditation are among the factors that can reduce the risk of development of CVD or severity of disease in patients with a CVD. Conclusion: This systematic review emphasized risk factors like physical inactivity, poor diet, and low level of awareness among Saudis and CVD Saudi patients. The findings show the role of physical activity, mindful meditation, and diet in reducing the onset or severity of cardiovascular disease.","author":[{"dropping-particle":"","family":"Al-Saber","given":"Arwa","non-dropping-particle":"","parse-names":false,"suffix":""},{"dropping-particle":"","family":"May","given":"Al-Nabaheen","non-dropping-particle":"","parse-names":false,"suffix":""}],"container-title":"World Journal of Cardiovascular Diseases","id":"ITEM-3","issue":"01","issued":{"date-parts":[["2023"]]},"title":"Effect of Mindful Meditation, Physical Activity, and Diet to Reduce the Risk to Develop or Reduce Severity of Cardiovascular Diseases in Saudi Arabia: A Systematic Review","type":"article-journal","volume":"13"},"uris":["http://www.mendeley.com/documents/?uuid=402fb732-d851-372b-96ed-7b44fcef2817"]},{"id":"ITEM-4","itemData":{"DOI":"10.1002/ccd.22348","ISSN":"15221946","abstract":"Background: This study compares transradial approach (TRA) aortoiliac angioplasty/stenting to the transfemoral approach (TFA). Methods: We reviewed our peripheral database for aortoiliac interventions performed between 2007 and 2009. Demographics, clinical characteristics, procedural, and lesion details were collected. The efficacy endpoints included procedural success, ankle-brachial index (ABI) improvement, and time to discharge. The safety endpoints were as follows: occurrence of intra-/periprocedural complications, 30-day MACE, and access-site complications (minor/major). The subjects were divided into two groups, TRA and TFA, and compared using appropriate statistics. Results: Twenty-seven patients had 33 lesions treated via TRA, and 41 patients had 47 lesions treated via TFA access. Baseline demographic differences between the TRA and TFA groups were similar, including mean Rutherford category (2.9 vs. 2.6, P = 0.31) and preintervention ABI (0.64 vs. 0.67, P = 0.80). There was a significantly higher percentage of total occlusions in the TRA group (27.3 vs. 8.5%, P = 0.03). Dye use (238 vs. 213 mL, P = 0.35) and fluoroscopy time (30 vs. 27 min, P = 0.60) were similar. Procedural success rate was similar (87.9 vs. 97.8%, P = 0.15), as well as the improvement in mean ABI (TRA: 0.64-0.77 and TFA: 0.67-0.85, P = 0.77). The time to discharge was significantly shorter for the TRA group (14.4 vs. 20.9 hr, P 5 0.003). There were no 30-day MACE or major access-site complications, but minor access-site complications were lower in the TRA group (0.0 vs. 7.3%, P 5 0.28), although nonsignificant. Conclusions: The TRA to aortoiliac interventions is as safe and effective as the TFA with the advantage of a lower rate of access-site complications and shorter hospitalization time. © 2009 Wiley-Liss, Inc.","author":[{"dropping-particle":"","family":"Staniloae","given":"Cezar S.","non-dropping-particle":"","parse-names":false,"suffix":""},{"dropping-particle":"","family":"Korabathina","given":"Ravikiran","non-dropping-particle":"","parse-names":false,"suffix":""},{"dropping-particle":"","family":"Yu","given":"Jennie","non-dropping-particle":"","parse-names":false,"suffix":""},{"dropping-particle":"","family":"Kurian","given":"Damian","non-dropping-particle":"","parse-names":false,"suffix":""},{"dropping-particle":"","family":"Coppola","given":"John","non-dropping-particle":"","parse-names":false,"suffix":""}],"container-title":"Catheterization and Cardiovascular Interventions","id":"ITEM-4","issue":"5","issued":{"date-parts":[["2010"]]},"title":"Safety and efficacy of transradial aortoiliac interventions","type":"article-journal","volume":"75"},"uris":["http://www.mendeley.com/documents/?uuid=7e4394d3-95bf-3de2-a36f-b4759104dd4e"]}],"mendeley":{"formattedCitation":"(45,55–57)","plainTextFormattedCitation":"(45,55–57)","previouslyFormattedCitation":"(45,55–57)"},"properties":{"noteIndex":0},"schema":"https://github.com/citation-style-language/schema/raw/master/csl-citation.json"}</w:instrText>
      </w:r>
      <w:r w:rsidR="00F55AB0"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(45,55–57)</w:t>
      </w:r>
      <w:r w:rsidR="00F55AB0" w:rsidRPr="006B3495">
        <w:rPr>
          <w:rFonts w:asciiTheme="majorBidi" w:hAnsiTheme="majorBidi" w:cstheme="majorBidi"/>
          <w:sz w:val="24"/>
          <w:szCs w:val="24"/>
        </w:rPr>
        <w:fldChar w:fldCharType="end"/>
      </w:r>
      <w:r w:rsidR="00F55AB0" w:rsidRPr="006B3495">
        <w:rPr>
          <w:rFonts w:asciiTheme="majorBidi" w:hAnsiTheme="majorBidi" w:cstheme="majorBidi"/>
          <w:sz w:val="24"/>
          <w:szCs w:val="24"/>
        </w:rPr>
        <w:t>.</w:t>
      </w:r>
    </w:p>
    <w:p w14:paraId="11D37629" w14:textId="3D6ED4B3" w:rsidR="00EC74E8" w:rsidRPr="006B3495" w:rsidRDefault="00EC74E8" w:rsidP="00A0648D">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The results revealed a higher statistically significant numbness occurrence among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than among TRA groups (p = 0.025). The results suggest that TFA might have a higher risk of </w:t>
      </w:r>
      <w:r w:rsidR="00C7664C">
        <w:rPr>
          <w:rFonts w:asciiTheme="majorBidi" w:hAnsiTheme="majorBidi" w:cstheme="majorBidi"/>
          <w:sz w:val="24"/>
          <w:szCs w:val="24"/>
        </w:rPr>
        <w:t>n</w:t>
      </w:r>
      <w:r w:rsidRPr="006B3495">
        <w:rPr>
          <w:rFonts w:asciiTheme="majorBidi" w:hAnsiTheme="majorBidi" w:cstheme="majorBidi"/>
          <w:sz w:val="24"/>
          <w:szCs w:val="24"/>
        </w:rPr>
        <w:t xml:space="preserve">umbness compared to TRA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D</w:t>
      </w:r>
      <w:r w:rsidRPr="006B3495">
        <w:rPr>
          <w:rFonts w:asciiTheme="majorBidi" w:hAnsiTheme="majorBidi" w:cstheme="majorBidi"/>
          <w:sz w:val="24"/>
          <w:szCs w:val="24"/>
        </w:rPr>
        <w:t>, influencing procedural preferences.</w:t>
      </w:r>
      <w:r w:rsidR="00146677" w:rsidRPr="006B3495">
        <w:t xml:space="preserve"> </w:t>
      </w:r>
      <w:r w:rsidR="00146677" w:rsidRPr="006B3495">
        <w:rPr>
          <w:rFonts w:asciiTheme="majorBidi" w:hAnsiTheme="majorBidi" w:cstheme="majorBidi"/>
          <w:sz w:val="24"/>
          <w:szCs w:val="24"/>
        </w:rPr>
        <w:t xml:space="preserve">Khodabandehlooie </w:t>
      </w:r>
      <w:r w:rsidR="00146677"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{"citationItems":[{"id":"ITEM-1","itemData":{"DOI":"10.4103/ijnmr.Ijnmr_467_20","ISSN":"22285504","abstract":"Background: Distal Radial Artery (DRA) is a new arterial access for coronary catheterization. Assessment of the vascular complications of this new procedure is important in the provision of nursing care to cardiac patients. The aim of this study was the nursing assessment of vascular complications of DRA in angiography and angioplasty. Materials and Methods: This qualitative longitudinal study was conducted on 315 consecutive patients who were candidates for coronary catheterization via DRA from 2017 to 2020 in three hospitals in Tehran, Iran. Patients who had palpable DRA and were capable and willing to consent to inclusion in the study were evaluated. Moreover, patients whose DRA access failed, and those who had previously undergone coronary artery bypass graft were excluded from the study. Vascular complications were assessed on the day of the procedure and about 1 month later. Results: After the procedure, 29 cases of ecchymosis, 8 cases of hematoma, and 1 case of arteriovenous fistula in the DRA were observed. We did not observe any major vascular complications. Conclusions: Nursing assessment of the snuffbox area indicated that this approach is a safe and convenient technique for cardiac catheterization with few minor complications.","author":[{"dropping-particle":"","family":"Khodabandehlooie","given":"Sara","non-dropping-particle":"","parse-names":false,"suffix":""},{"dropping-particle":"","family":"Saleh","given":"Davood","non-dropping-particle":"","parse-names":false,"suffix":""},{"dropping-particle":"","family":"Hosseini","given":"Meimanat","non-dropping-particle":"","parse-names":false,"suffix":""}],"container-title":"Iranian Journal of Nursing and Midwifery Research","id":"ITEM-1","issue":"3","issued":{"date-parts":[["2023"]]},"title":"Nursing assessment of vascular complications after cardiac catheterization through the distal radial artery","type":"article-journal","volume":"28"},"uris":["http://www.mendeley.com/documents/?uuid=29a659f4-ccc2-3e83-b6fc-8671bc3774e7"]}],"mendeley":{"formattedCitation":"(58)","plainTextFormattedCitation":"(58)","previouslyFormattedCitation":"(58)"},"properties":{"noteIndex":0},"schema":"https://github.com/citation-style-language/schema/raw/master/csl-citation.json"}</w:instrText>
      </w:r>
      <w:r w:rsidR="00146677"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(58)</w:t>
      </w:r>
      <w:r w:rsidR="00146677" w:rsidRPr="006B3495">
        <w:rPr>
          <w:rFonts w:asciiTheme="majorBidi" w:hAnsiTheme="majorBidi" w:cstheme="majorBidi"/>
          <w:sz w:val="24"/>
          <w:szCs w:val="24"/>
        </w:rPr>
        <w:fldChar w:fldCharType="end"/>
      </w:r>
      <w:r w:rsidR="00146677"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 &amp;</w:t>
      </w:r>
      <w:r w:rsidR="00146677" w:rsidRPr="006B3495">
        <w:rPr>
          <w:rFonts w:asciiTheme="majorBidi" w:hAnsiTheme="majorBidi" w:cstheme="majorBidi"/>
          <w:sz w:val="24"/>
          <w:szCs w:val="24"/>
        </w:rPr>
        <w:t xml:space="preserve"> Unger </w:t>
      </w:r>
      <w:r w:rsidR="00146677"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{"citationItems":[{"id":"ITEM-1","itemData":{"DOI":"10.1002/9781119117810.ch8","author":[{"dropping-particle":"","family":"Unger","given":"Steven A.","non-dropping-particle":"","parse-names":false,"suffix":""},{"dropping-particle":"","family":"Kucia","given":"Angela M.","non-dropping-particle":"","parse-names":false,"suffix":""}],"container-title":"Cardiac Care","edition":"2","id":"ITEM-1","issued":{"date-parts":[["2022","8","26"]]},"page":"76-102","publisher":"Wiley","title":"Diagnostic Procedures","type":"chapter"},"uris":["http://www.mendeley.com/documents/?uuid=5a19d756-4c43-3c4a-9e23-f0d586cbb5a2"]}],"mendeley":{"formattedCitation":"(59)","plainTextFormattedCitation":"(59)","previouslyFormattedCitation":"(59)"},"properties":{"noteIndex":0},"schema":"https://github.com/citation-style-language/schema/raw/master/csl-citation.json"}</w:instrText>
      </w:r>
      <w:r w:rsidR="00146677"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(59)</w:t>
      </w:r>
      <w:r w:rsidR="00146677"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pointed out that PCI can cause complications such as oozing common at the catheter insertion site, patient, and </w:t>
      </w:r>
      <w:r w:rsidR="00C7664C">
        <w:rPr>
          <w:rFonts w:asciiTheme="majorBidi" w:hAnsiTheme="majorBidi" w:cstheme="majorBidi"/>
          <w:sz w:val="24"/>
          <w:szCs w:val="24"/>
        </w:rPr>
        <w:t>n</w:t>
      </w:r>
      <w:r w:rsidRPr="006B3495">
        <w:rPr>
          <w:rFonts w:asciiTheme="majorBidi" w:hAnsiTheme="majorBidi" w:cstheme="majorBidi"/>
          <w:sz w:val="24"/>
          <w:szCs w:val="24"/>
        </w:rPr>
        <w:t xml:space="preserve">umbness. </w:t>
      </w:r>
      <w:r w:rsidR="005921A1" w:rsidRPr="006B3495">
        <w:rPr>
          <w:rFonts w:asciiTheme="majorBidi" w:hAnsiTheme="majorBidi" w:cstheme="majorBidi"/>
          <w:sz w:val="24"/>
          <w:szCs w:val="24"/>
        </w:rPr>
        <w:t>The same study corroborates</w:t>
      </w:r>
      <w:r w:rsidR="00723DD8" w:rsidRPr="006B3495">
        <w:rPr>
          <w:rFonts w:asciiTheme="majorBidi" w:hAnsiTheme="majorBidi" w:cstheme="majorBidi"/>
          <w:sz w:val="24"/>
          <w:szCs w:val="24"/>
        </w:rPr>
        <w:t xml:space="preserve"> Rana </w:t>
      </w:r>
      <w:r w:rsidR="00723DD8"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{"citationItems":[{"id":"ITEM-1","itemData":{"DOI":"10.1016/j.ihj.2021.04.006","ISSN":"22133763","abstract":"Arterial access site complications are the important predictor of successful percutaneous coronary interventions (PCI). We prospectively studied 722 consecutive PCI patients for access site complications. A total of 303 trans-femoral access (TFA) patients who had suture based vascular closure devices (VCD) were compared with 419 transradial access (TRA) patients. Incidence of hematoma was more in TFA (2.3% vs 0.23%, p 0.01). Median ambulation time (4 h vs 1 h, p &lt; 0.01) was significantly higher in TFA. In conclusion, TRA had fewer access site complications like haematoma, compared to TFA with VCD. TRA also resulted in earlier ambulation and discharge, compared to TFA with VCD.","author":[{"dropping-particle":"","family":"Rana","given":"Naresh","non-dropping-particle":"","parse-names":false,"suffix":""},{"dropping-particle":"","family":"Vijayvergiya","given":"Rajesh","non-dropping-particle":"","parse-names":false,"suffix":""},{"dropping-particle":"","family":"Kasinadhuni","given":"Ganesh","non-dropping-particle":"","parse-names":false,"suffix":""},{"dropping-particle":"","family":"Khanal","given":"Suraj","non-dropping-particle":"","parse-names":false,"suffix":""},{"dropping-particle":"","family":"Panda","given":"Prashant","non-dropping-particle":"","parse-names":false,"suffix":""}],"container-title":"Indian Heart Journal","id":"ITEM-1","issue":"3","issued":{"date-parts":[["2021"]]},"title":"Comparison of radial versus femoral access using hemostatic devices following percutaneous coronary intervention","type":"article-journal","volume":"73"},"uris":["http://www.mendeley.com/documents/?uuid=64defa42-5ccf-3b38-bf72-4692dd3ea9bf"]}],"mendeley":{"formattedCitation":"(18)","plainTextFormattedCitation":"(18)","previouslyFormattedCitation":"(18)"},"properties":{"noteIndex":0},"schema":"https://github.com/citation-style-language/schema/raw/master/csl-citation.json"}</w:instrText>
      </w:r>
      <w:r w:rsidR="00723DD8"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(18)</w:t>
      </w:r>
      <w:r w:rsidR="00723DD8" w:rsidRPr="006B3495">
        <w:rPr>
          <w:rFonts w:asciiTheme="majorBidi" w:hAnsiTheme="majorBidi" w:cstheme="majorBidi"/>
          <w:sz w:val="24"/>
          <w:szCs w:val="24"/>
        </w:rPr>
        <w:fldChar w:fldCharType="end"/>
      </w:r>
      <w:r w:rsidR="005921A1" w:rsidRPr="006B3495">
        <w:rPr>
          <w:rFonts w:asciiTheme="majorBidi" w:hAnsiTheme="majorBidi" w:cstheme="majorBidi"/>
          <w:sz w:val="24"/>
          <w:szCs w:val="24"/>
        </w:rPr>
        <w:t xml:space="preserve">, indicating that the primary complications at the access site were minor, including oozing. The occurrence of hematoma was greater with TFA than with TRA (p 0.01), and these findings align with existing literature. The incidence of major vascular complications in this study was 2.3%, compared to 0.23% for TFA and TRA, respectively, indicating a lower rate than reported in other studies. </w:t>
      </w:r>
      <w:r w:rsidRPr="006B3495">
        <w:rPr>
          <w:rFonts w:asciiTheme="majorBidi" w:hAnsiTheme="majorBidi" w:cstheme="majorBidi"/>
          <w:sz w:val="24"/>
          <w:szCs w:val="24"/>
        </w:rPr>
        <w:t xml:space="preserve">The results clearly show a higher statistically significant discomfort after TRA compared to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(p = 0.014). The results </w:t>
      </w:r>
      <w:r w:rsidR="00D26884">
        <w:rPr>
          <w:rFonts w:asciiTheme="majorBidi" w:hAnsiTheme="majorBidi" w:cstheme="majorBidi"/>
          <w:sz w:val="24"/>
          <w:szCs w:val="24"/>
        </w:rPr>
        <w:t>confirms</w:t>
      </w:r>
      <w:r w:rsidRPr="006B3495">
        <w:rPr>
          <w:rFonts w:asciiTheme="majorBidi" w:hAnsiTheme="majorBidi" w:cstheme="majorBidi"/>
          <w:sz w:val="24"/>
          <w:szCs w:val="24"/>
        </w:rPr>
        <w:t xml:space="preserve"> that TRA might lead </w:t>
      </w:r>
      <w:r w:rsidRPr="006B3495">
        <w:rPr>
          <w:rFonts w:asciiTheme="majorBidi" w:hAnsiTheme="majorBidi" w:cstheme="majorBidi"/>
          <w:sz w:val="24"/>
          <w:szCs w:val="24"/>
        </w:rPr>
        <w:lastRenderedPageBreak/>
        <w:t xml:space="preserve">to more discomfort. The current study agrees with </w:t>
      </w:r>
      <w:r w:rsidR="00E721F2" w:rsidRPr="006B3495">
        <w:rPr>
          <w:rFonts w:asciiTheme="majorBidi" w:hAnsiTheme="majorBidi" w:cstheme="majorBidi"/>
          <w:sz w:val="24"/>
          <w:szCs w:val="24"/>
        </w:rPr>
        <w:t xml:space="preserve">Al-Saber </w:t>
      </w:r>
      <w:r w:rsidR="00E721F2"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{"citationItems":[{"id":"ITEM-1","itemData":{"DOI":"10.4236/wjcd.2023.131005","ISSN":"2164-5329","abstract":"Background: Cardiovascular Disease (CVD) is one of the leading chronic diseases in Saudi Arabia (SA) that cause disability and death. CVD predisposition risk varies according to age, gender, education, socioeconomic factors, and place of residency. In addition, CVD risk factors include physical inactivity, sedentary lifestyle, saturated fatty acid high diet, smoking, and stress. Aim: This is a systematic review study that aims to determine the effect of mindful mediation, physical activity, and diet on CVD in SA. Materials and Methods: This is a systematic electronic search method in Google scholar, PubMed, and Medline. Papers collected are papers that have been published since 2015. The search uses the following keywords: (Cardiovascular disease OR physical activity OR Physical inactivity OR meditation OR diet) AND Saudi Arabia. Data were extracted from each study through a narrative summary of each study. Results: Forty papers collected from 2015 to 2022 were included in the narrative study. Physical activity, diet, and mindful meditation are among the factors that can reduce the risk of development of CVD or severity of disease in patients with a CVD. Conclusion: This systematic review emphasized risk factors like physical inactivity, poor diet, and low level of awareness among Saudis and CVD Saudi patients. The findings show the role of physical activity, mindful meditation, and diet in reducing the onset or severity of cardiovascular disease.","author":[{"dropping-particle":"","family":"Al-Saber","given":"Arwa","non-dropping-particle":"","parse-names":false,"suffix":""},{"dropping-particle":"","family":"May","given":"Al-Nabaheen","non-dropping-particle":"","parse-names":false,"suffix":""}],"container-title":"World Journal of Cardiovascular Diseases","id":"ITEM-1","issue":"01","issued":{"date-parts":[["2023"]]},"title":"Effect of Mindful Meditation, Physical Activity, and Diet to Reduce the Risk to Develop or Reduce Severity of Cardiovascular Diseases in Saudi Arabia: A Systematic Review","type":"article-journal","volume":"13"},"uris":["http://www.mendeley.com/documents/?uuid=402fb732-d851-372b-96ed-7b44fcef2817"]}],"mendeley":{"formattedCitation":"(57)","plainTextFormattedCitation":"(57)","previouslyFormattedCitation":"(57)"},"properties":{"noteIndex":0},"schema":"https://github.com/citation-style-language/schema/raw/master/csl-citation.json"}</w:instrText>
      </w:r>
      <w:r w:rsidR="00E721F2"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(57)</w:t>
      </w:r>
      <w:r w:rsidR="00E721F2" w:rsidRPr="006B3495">
        <w:rPr>
          <w:rFonts w:asciiTheme="majorBidi" w:hAnsiTheme="majorBidi" w:cstheme="majorBidi"/>
          <w:sz w:val="24"/>
          <w:szCs w:val="24"/>
        </w:rPr>
        <w:fldChar w:fldCharType="end"/>
      </w:r>
      <w:r w:rsidR="003F005D"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who studied comparative complications between the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and TRA groups and showed similar results. The researchers showed that TRA may inherently cause more discomfort because impacting clinical decision-making, procedural factors, and anatomical. The table shows significantly lower soreness incidence in TRA compared to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(p = 0.006). TRA was shown to lower soreness post-procedure, indicating potential benefits over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in terms of patient comfort. Th</w:t>
      </w:r>
      <w:r w:rsidR="00A0648D" w:rsidRPr="006B3495">
        <w:rPr>
          <w:rFonts w:asciiTheme="majorBidi" w:hAnsiTheme="majorBidi" w:cstheme="majorBidi"/>
          <w:sz w:val="24"/>
          <w:szCs w:val="24"/>
        </w:rPr>
        <w:t>e</w:t>
      </w:r>
      <w:r w:rsidRPr="006B3495">
        <w:rPr>
          <w:rFonts w:asciiTheme="majorBidi" w:hAnsiTheme="majorBidi" w:cstheme="majorBidi"/>
          <w:sz w:val="24"/>
          <w:szCs w:val="24"/>
        </w:rPr>
        <w:t xml:space="preserve"> results align with the findings of</w:t>
      </w:r>
      <w:r w:rsidR="008D25AA" w:rsidRPr="006B3495">
        <w:rPr>
          <w:rFonts w:asciiTheme="majorBidi" w:hAnsiTheme="majorBidi" w:cstheme="majorBidi"/>
          <w:sz w:val="24"/>
          <w:szCs w:val="24"/>
        </w:rPr>
        <w:t xml:space="preserve"> Mason </w:t>
      </w:r>
      <w:r w:rsidR="008D25AA"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{"citationItems":[{"id":"ITEM-1","itemData":{"DOI":"10.1161/HCV.0000000000000035","ISSN":"19417632","abstract":"Transradial artery access for percutaneous coronary intervention is associated with lower bleeding and vascular complications than transfemoral artery access, especially in patients with acute coronary syndromes. A growing body of evidence supports adoption of transradial artery access to improve acute coronary syndrome-related outcomes, to improve healthcare quality, and to reduce cost. The purpose of this scientific statement is to propose and support a “radial-first” strategy in the United States for patients with acute coronary syndromes. This document also provides an update to previously published statements on transradial artery access technique and best practices, particularly as they relate to the management of patients with acute coronary syndromes.","author":[{"dropping-particle":"","family":"Mason","given":"Peter J.","non-dropping-particle":"","parse-names":false,"suffix":""},{"dropping-particle":"","family":"Shah","given":"Binita","non-dropping-particle":"","parse-names":false,"suffix":""},{"dropping-particle":"","family":"Tamis-Holland","given":"Jacqueline E.","non-dropping-particle":"","parse-names":false,"suffix":""},{"dropping-particle":"","family":"Bittl","given":"John A.","non-dropping-particle":"","parse-names":false,"suffix":""},{"dropping-particle":"","family":"Cohen","given":"Mauricio G.","non-dropping-particle":"","parse-names":false,"suffix":""},{"dropping-particle":"","family":"Safirstein","given":"Jordan","non-dropping-particle":"","parse-names":false,"suffix":""},{"dropping-particle":"","family":"Drachman","given":"Douglas E.","non-dropping-particle":"","parse-names":false,"suffix":""},{"dropping-particle":"","family":"Valle","given":"Javier A.","non-dropping-particle":"","parse-names":false,"suffix":""},{"dropping-particle":"","family":"Rhodes","given":"Denise","non-dropping-particle":"","parse-names":false,"suffix":""},{"dropping-particle":"","family":"Gilchrist","given":"Ian C.","non-dropping-particle":"","parse-names":false,"suffix":""}],"container-title":"Circulation: Cardiovascular Interventions","id":"ITEM-1","issue":"9","issued":{"date-parts":[["2018"]]},"title":"An update on radial artery access and best practices for transradial coronary angiography and intervention in acute coronary syndrome: A scientific statement from the American Heart Association","type":"article","volume":"11"},"uris":["http://www.mendeley.com/documents/?uuid=6a7e2227-dacb-3778-9265-58c828d992fe"]}],"mendeley":{"formattedCitation":"(60)","plainTextFormattedCitation":"(60)","previouslyFormattedCitation":"(60)"},"properties":{"noteIndex":0},"schema":"https://github.com/citation-style-language/schema/raw/master/csl-citation.json"}</w:instrText>
      </w:r>
      <w:r w:rsidR="008D25AA"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(60)</w:t>
      </w:r>
      <w:r w:rsidR="008D25AA"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which showed decreased soreness incidence in TRA compared to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(p &lt;0.001) in patients undergoing PCI. The authors showed that this can be attributed to the lowering invasive nature of TRA, involving the more superficial radial artery, which reduces trauma and soreness.</w:t>
      </w:r>
    </w:p>
    <w:p w14:paraId="7868C7C0" w14:textId="60EDDFFE"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Additionally, TRA facilitates quicker post-procedural mobility, reduces complications like hematomas and bleeding, and enhances patient comfort and operator expertise, reducing post-procedural soreness. The </w:t>
      </w:r>
      <w:r w:rsidR="00C7664C">
        <w:rPr>
          <w:rFonts w:asciiTheme="majorBidi" w:hAnsiTheme="majorBidi" w:cstheme="majorBidi"/>
          <w:sz w:val="24"/>
          <w:szCs w:val="24"/>
        </w:rPr>
        <w:t>results</w:t>
      </w:r>
      <w:r w:rsidRPr="006B3495">
        <w:rPr>
          <w:rFonts w:asciiTheme="majorBidi" w:hAnsiTheme="majorBidi" w:cstheme="majorBidi"/>
          <w:sz w:val="24"/>
          <w:szCs w:val="24"/>
        </w:rPr>
        <w:t xml:space="preserve"> </w:t>
      </w:r>
      <w:r w:rsidR="002F0F3E" w:rsidRPr="006B3495">
        <w:rPr>
          <w:rFonts w:asciiTheme="majorBidi" w:hAnsiTheme="majorBidi" w:cstheme="majorBidi"/>
          <w:sz w:val="24"/>
          <w:szCs w:val="24"/>
        </w:rPr>
        <w:t>indicate</w:t>
      </w:r>
      <w:r w:rsidRPr="006B3495">
        <w:rPr>
          <w:rFonts w:asciiTheme="majorBidi" w:hAnsiTheme="majorBidi" w:cstheme="majorBidi"/>
          <w:sz w:val="24"/>
          <w:szCs w:val="24"/>
        </w:rPr>
        <w:t xml:space="preserve"> statistically significant arterial occlusion rates in TRA compared to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(p = 0.008), suggesting TFA may elevate the risk of this complication post-procedure. Similar to</w:t>
      </w:r>
      <w:r w:rsidR="00204375" w:rsidRPr="006B3495">
        <w:rPr>
          <w:rFonts w:asciiTheme="majorBidi" w:hAnsiTheme="majorBidi" w:cstheme="majorBidi"/>
          <w:sz w:val="24"/>
          <w:szCs w:val="24"/>
        </w:rPr>
        <w:t xml:space="preserve"> Gorgulu </w:t>
      </w:r>
      <w:r w:rsidR="00204375"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{"citationItems":[{"id":"ITEM-1","itemData":{"DOI":"10.1016/j.jcin.2022.02.012","ISSN":"18767605","abstract":"Objectives: The aim of this study was to compare transradial access (TRA) with transfemoral access (TFA) for chronic total occlusion (CTO) percutaneous coronary intervention (PCI). Background: TRA reduces the risk for vascular access complications but may make complex PCI, such as CTO PCI, more challenging. Methods: FORT CTO (Femoral or Radial Approach in the Treatment of Coronary Chronic Total Occlusion) (NCT03265769) was a prospective, noninferiority, randomized controlled study of TRA vs TFA for CTO PCI. The primary study endpoint was procedural success, defined as technical success without any in-hospital major adverse cardiovascular events. The secondary study endpoint was major access-site complications. Results: Between 2017 and 2021, 610 of 800 patients referred for CTO PCI at 4 centers were randomized to TRA (n = 305) or TFA (n = 305). Mean J-CTO (Multicenter CTO Registry in Japan) (2.1 ± 0.1 vs 2.2 ± 0.1; P = 0.279), PROGRESS CTO (Prospective Global Registry for the Study of Chronic Total Occlusion Intervention) (1.3 ± 0.9 vs 1.1 ± 1.0; P = 0.058) and PROGRESS CTO complication (2.4 ± 1.8 vs 2.3 ± 1.8; P = 0.561) scores and use of the retrograde approach (11% vs 14%; P = 0.342) were similar in the TRA and TFA groups. TRA was noninferior to TFA for procedural success (84% vs 86%; P = 0.563) but had fewer access-site complications (2.0% vs 5.6%; P = 0.019). There was no difference between TFA and TRA in procedural duration, contrast volume, or radiation dose. COnclusions: TRA was noninferior to TFA for CTO PCI but had fewer access-site complications.","author":[{"dropping-particle":"","family":"Gorgulu","given":"Sevket","non-dropping-particle":"","parse-names":false,"suffix":""},{"dropping-particle":"","family":"Kalay","given":"Nihat","non-dropping-particle":"","parse-names":false,"suffix":""},{"dropping-particle":"","family":"Norgaz","given":"Tugrul","non-dropping-particle":"","parse-names":false,"suffix":""},{"dropping-particle":"","family":"Kocas","given":"Cuneyt","non-dropping-particle":"","parse-names":false,"suffix":""},{"dropping-particle":"","family":"Goktekin","given":"Omer","non-dropping-particle":"","parse-names":false,"suffix":""},{"dropping-particle":"","family":"Brilakis","given":"Emmanouil S.","non-dropping-particle":"","parse-names":false,"suffix":""}],"container-title":"JACC: Cardiovascular Interventions","id":"ITEM-1","issue":"8","issued":{"date-parts":[["2022"]]},"title":"Femoral or Radial Approach in Treatment of Coronary Chronic Total Occlusion: A Randomized Clinical Trial","type":"article-journal","volume":"15"},"uris":["http://www.mendeley.com/documents/?uuid=c8ccdd03-2345-346e-90d8-5c4ef9335101"]}],"mendeley":{"formattedCitation":"(56)","plainTextFormattedCitation":"(56)","previouslyFormattedCitation":"(56)"},"properties":{"noteIndex":0},"schema":"https://github.com/citation-style-language/schema/raw/master/csl-citation.json"}</w:instrText>
      </w:r>
      <w:r w:rsidR="00204375"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(56)</w:t>
      </w:r>
      <w:r w:rsidR="00204375"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the researchers indicate that statistically significant arterial occlusion rates in TRA compared to TFA in patients undergoing PCI, and </w:t>
      </w:r>
      <w:r w:rsidR="0074662C" w:rsidRPr="006B3495">
        <w:rPr>
          <w:rFonts w:asciiTheme="majorBidi" w:hAnsiTheme="majorBidi" w:cstheme="majorBidi"/>
          <w:sz w:val="24"/>
          <w:szCs w:val="24"/>
        </w:rPr>
        <w:t>they suggested that the TRA is linked to a decreased incidence of vascular complications</w:t>
      </w:r>
      <w:r w:rsidRPr="006B3495">
        <w:rPr>
          <w:rFonts w:asciiTheme="majorBidi" w:hAnsiTheme="majorBidi" w:cstheme="majorBidi"/>
          <w:sz w:val="24"/>
          <w:szCs w:val="24"/>
        </w:rPr>
        <w:t>. TRA tends to cause less trauma to the arterial wall and has a smaller access site, reducing the risk of occlusion compared to the TFA.</w:t>
      </w:r>
    </w:p>
    <w:p w14:paraId="66C40E2E" w14:textId="226CCCDD"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The </w:t>
      </w:r>
      <w:r w:rsidR="00191ABF" w:rsidRPr="006B3495">
        <w:rPr>
          <w:rFonts w:asciiTheme="majorBidi" w:hAnsiTheme="majorBidi" w:cstheme="majorBidi"/>
          <w:sz w:val="24"/>
          <w:szCs w:val="24"/>
        </w:rPr>
        <w:t>findings</w:t>
      </w:r>
      <w:r w:rsidRPr="006B3495">
        <w:rPr>
          <w:rFonts w:asciiTheme="majorBidi" w:hAnsiTheme="majorBidi" w:cstheme="majorBidi"/>
          <w:sz w:val="24"/>
          <w:szCs w:val="24"/>
        </w:rPr>
        <w:t xml:space="preserve"> </w:t>
      </w:r>
      <w:r w:rsidR="00191ABF" w:rsidRPr="006B3495">
        <w:rPr>
          <w:rFonts w:asciiTheme="majorBidi" w:hAnsiTheme="majorBidi" w:cstheme="majorBidi"/>
          <w:sz w:val="24"/>
          <w:szCs w:val="24"/>
        </w:rPr>
        <w:t>display</w:t>
      </w:r>
      <w:r w:rsidRPr="006B3495">
        <w:rPr>
          <w:rFonts w:asciiTheme="majorBidi" w:hAnsiTheme="majorBidi" w:cstheme="majorBidi"/>
          <w:sz w:val="24"/>
          <w:szCs w:val="24"/>
        </w:rPr>
        <w:t xml:space="preserve"> a </w:t>
      </w:r>
      <w:r w:rsidR="00191ABF" w:rsidRPr="006B3495">
        <w:rPr>
          <w:rFonts w:asciiTheme="majorBidi" w:hAnsiTheme="majorBidi" w:cstheme="majorBidi"/>
          <w:sz w:val="24"/>
          <w:szCs w:val="24"/>
        </w:rPr>
        <w:t>meaningfully</w:t>
      </w:r>
      <w:r w:rsidRPr="006B3495">
        <w:rPr>
          <w:rFonts w:asciiTheme="majorBidi" w:hAnsiTheme="majorBidi" w:cstheme="majorBidi"/>
          <w:sz w:val="24"/>
          <w:szCs w:val="24"/>
        </w:rPr>
        <w:t xml:space="preserve"> higher incidence of </w:t>
      </w:r>
      <w:r w:rsidR="00806212" w:rsidRPr="00806212">
        <w:rPr>
          <w:rFonts w:asciiTheme="majorBidi" w:hAnsiTheme="majorBidi" w:cstheme="majorBidi"/>
          <w:sz w:val="24"/>
          <w:szCs w:val="24"/>
        </w:rPr>
        <w:t>arteriovenous fistula</w:t>
      </w:r>
      <w:r w:rsidRPr="006B3495">
        <w:rPr>
          <w:rFonts w:asciiTheme="majorBidi" w:hAnsiTheme="majorBidi" w:cstheme="majorBidi"/>
          <w:sz w:val="24"/>
          <w:szCs w:val="24"/>
        </w:rPr>
        <w:t xml:space="preserve"> in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compared to TRA (p = 0.001). The current results agree with </w:t>
      </w:r>
      <w:r w:rsidR="00E0238F" w:rsidRPr="006B3495">
        <w:rPr>
          <w:rFonts w:asciiTheme="majorBidi" w:hAnsiTheme="majorBidi" w:cstheme="majorBidi"/>
          <w:sz w:val="24"/>
          <w:szCs w:val="24"/>
        </w:rPr>
        <w:t xml:space="preserve">Bianchini </w:t>
      </w:r>
      <w:r w:rsidR="00E0238F"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{"citationItems":[{"id":"ITEM-1","itemData":{"DOI":"10.1002/ccd.30947","ISSN":"1522726X","abstract":"The introduction of transradial access for percutaneous coronary diagnostic and interventional procedures has led to a decrease in access site complications. The aim of this paper is to propose a combined stepwise technical approach where real time ultrasound (“echo-first” approach) can be used to select the best vascular access and, together with angiography, to manage the potential obstacles that may occur during transradial procedures. In each section, we summarize some tips and tricks based on both our experience and current literature that can be easily implemented in daily practice to increase the success of transradial procedures.","author":[{"dropping-particle":"","family":"Bianchini","given":"Francesco","non-dropping-particle":"","parse-names":false,"suffix":""},{"dropping-particle":"","family":"Lombardi","given":"Marco","non-dropping-particle":"","parse-names":false,"suffix":""},{"dropping-particle":"","family":"Ricchiuto","given":"Alfredo","non-dropping-particle":"","parse-names":false,"suffix":""},{"dropping-particle":"","family":"Paraggio","given":"Lazzaro","non-dropping-particle":"","parse-names":false,"suffix":""},{"dropping-particle":"","family":"Aurigemma","given":"Cristina","non-dropping-particle":"","parse-names":false,"suffix":""},{"dropping-particle":"","family":"Romagnoli","given":"Enrico","non-dropping-particle":"","parse-names":false,"suffix":""},{"dropping-particle":"","family":"Trani","given":"Carlo","non-dropping-particle":"","parse-names":false,"suffix":""},{"dropping-particle":"","family":"Burzotta","given":"Francesco","non-dropping-particle":"","parse-names":false,"suffix":""}],"container-title":"Catheterization and Cardiovascular Interventions","id":"ITEM-1","issue":"3","issued":{"date-parts":[["2024"]]},"title":"Combined ultrasound and angiographic guidance to facilitate transradial access procedures","type":"article-journal","volume":"103"},"uris":["http://www.mendeley.com/documents/?uuid=32b26d42-2664-39aa-ac61-f1ca0977db79"]}],"mendeley":{"formattedCitation":"(61)","plainTextFormattedCitation":"(61)","previouslyFormattedCitation":"(61)"},"properties":{"noteIndex":0},"schema":"https://github.com/citation-style-language/schema/raw/master/csl-citation.json"}</w:instrText>
      </w:r>
      <w:r w:rsidR="00E0238F"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(61)</w:t>
      </w:r>
      <w:r w:rsidR="00E0238F" w:rsidRPr="006B3495">
        <w:rPr>
          <w:rFonts w:asciiTheme="majorBidi" w:hAnsiTheme="majorBidi" w:cstheme="majorBidi"/>
          <w:sz w:val="24"/>
          <w:szCs w:val="24"/>
        </w:rPr>
        <w:fldChar w:fldCharType="end"/>
      </w:r>
      <w:r w:rsidR="00E0238F"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and </w:t>
      </w:r>
      <w:r w:rsidR="00E0238F" w:rsidRPr="006B3495">
        <w:rPr>
          <w:rFonts w:asciiTheme="majorBidi" w:hAnsiTheme="majorBidi" w:cstheme="majorBidi"/>
          <w:sz w:val="24"/>
          <w:szCs w:val="24"/>
        </w:rPr>
        <w:t xml:space="preserve">Unger </w:t>
      </w:r>
      <w:r w:rsidR="00E0238F"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{"citationItems":[{"id":"ITEM-1","itemData":{"DOI":"10.1002/9781119117810.ch8","author":[{"dropping-particle":"","family":"Unger","given":"Steven A.","non-dropping-particle":"","parse-names":false,"suffix":""},{"dropping-particle":"","family":"Kucia","given":"Angela M.","non-dropping-particle":"","parse-names":false,"suffix":""}],"container-title":"Cardiac Care","edition":"2","id":"ITEM-1","issued":{"date-parts":[["2022","8","26"]]},"page":"76-102","publisher":"Wiley","title":"Diagnostic Procedures","type":"chapter"},"uris":["http://www.mendeley.com/documents/?uuid=5a19d756-4c43-3c4a-9e23-f0d586cbb5a2"]}],"mendeley":{"formattedCitation":"(59)","plainTextFormattedCitation":"(59)","previouslyFormattedCitation":"(59)"},"properties":{"noteIndex":0},"schema":"https://github.com/citation-style-language/schema/raw/master/csl-citation.json"}</w:instrText>
      </w:r>
      <w:r w:rsidR="00E0238F"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(59)</w:t>
      </w:r>
      <w:r w:rsidR="00E0238F" w:rsidRPr="006B3495">
        <w:rPr>
          <w:rFonts w:asciiTheme="majorBidi" w:hAnsiTheme="majorBidi" w:cstheme="majorBidi"/>
          <w:sz w:val="24"/>
          <w:szCs w:val="24"/>
        </w:rPr>
        <w:fldChar w:fldCharType="end"/>
      </w:r>
      <w:r w:rsidR="00E0238F"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which showed that TFA increases the risk of this complication post-procedure. The researchers showed higher arteriovenous fistula incidence in the TFA </w:t>
      </w:r>
      <w:r w:rsidRPr="006B3495">
        <w:rPr>
          <w:rFonts w:asciiTheme="majorBidi" w:hAnsiTheme="majorBidi" w:cstheme="majorBidi"/>
          <w:sz w:val="24"/>
          <w:szCs w:val="24"/>
        </w:rPr>
        <w:lastRenderedPageBreak/>
        <w:t xml:space="preserve">versus TRA because of anatomical proximity, larger vessels, higher pressure gradients, and procedural complexity in TFA.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the occurrence of compartment syndrome is higher among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groups than TRA groups (p = 0.000).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that TFA poses a higher risk of compartment syndrome compared to TRA following the procedure.</w:t>
      </w:r>
    </w:p>
    <w:p w14:paraId="0A60D740" w14:textId="72C7F848"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Similar to the conclusions drawn by</w:t>
      </w:r>
      <w:r w:rsidR="0084341B" w:rsidRPr="006B3495">
        <w:t xml:space="preserve"> </w:t>
      </w:r>
      <w:r w:rsidR="0084341B" w:rsidRPr="006B3495">
        <w:rPr>
          <w:rFonts w:asciiTheme="majorBidi" w:hAnsiTheme="majorBidi" w:cstheme="majorBidi"/>
          <w:sz w:val="24"/>
          <w:szCs w:val="24"/>
        </w:rPr>
        <w:t xml:space="preserve">Khodabandehlooie </w:t>
      </w:r>
      <w:r w:rsidR="0084341B"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{"citationItems":[{"id":"ITEM-1","itemData":{"DOI":"10.4103/ijnmr.Ijnmr_467_20","ISSN":"22285504","abstract":"Background: Distal Radial Artery (DRA) is a new arterial access for coronary catheterization. Assessment of the vascular complications of this new procedure is important in the provision of nursing care to cardiac patients. The aim of this study was the nursing assessment of vascular complications of DRA in angiography and angioplasty. Materials and Methods: This qualitative longitudinal study was conducted on 315 consecutive patients who were candidates for coronary catheterization via DRA from 2017 to 2020 in three hospitals in Tehran, Iran. Patients who had palpable DRA and were capable and willing to consent to inclusion in the study were evaluated. Moreover, patients whose DRA access failed, and those who had previously undergone coronary artery bypass graft were excluded from the study. Vascular complications were assessed on the day of the procedure and about 1 month later. Results: After the procedure, 29 cases of ecchymosis, 8 cases of hematoma, and 1 case of arteriovenous fistula in the DRA were observed. We did not observe any major vascular complications. Conclusions: Nursing assessment of the snuffbox area indicated that this approach is a safe and convenient technique for cardiac catheterization with few minor complications.","author":[{"dropping-particle":"","family":"Khodabandehlooie","given":"Sara","non-dropping-particle":"","parse-names":false,"suffix":""},{"dropping-particle":"","family":"Saleh","given":"Davood","non-dropping-particle":"","parse-names":false,"suffix":""},{"dropping-particle":"","family":"Hosseini","given":"Meimanat","non-dropping-particle":"","parse-names":false,"suffix":""}],"container-title":"Iranian Journal of Nursing and Midwifery Research","id":"ITEM-1","issue":"3","issued":{"date-parts":[["2023"]]},"title":"Nursing assessment of vascular complications after cardiac catheterization through the distal radial artery","type":"article-journal","volume":"28"},"uris":["http://www.mendeley.com/documents/?uuid=29a659f4-ccc2-3e83-b6fc-8671bc3774e7"]}],"mendeley":{"formattedCitation":"(58)","plainTextFormattedCitation":"(58)","previouslyFormattedCitation":"(58)"},"properties":{"noteIndex":0},"schema":"https://github.com/citation-style-language/schema/raw/master/csl-citation.json"}</w:instrText>
      </w:r>
      <w:r w:rsidR="0084341B"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(58)</w:t>
      </w:r>
      <w:r w:rsidR="0084341B"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and </w:t>
      </w:r>
      <w:r w:rsidR="0084341B" w:rsidRPr="006B3495">
        <w:rPr>
          <w:rFonts w:asciiTheme="majorBidi" w:hAnsiTheme="majorBidi" w:cstheme="majorBidi"/>
          <w:sz w:val="24"/>
          <w:szCs w:val="24"/>
        </w:rPr>
        <w:t xml:space="preserve">Li </w:t>
      </w:r>
      <w:r w:rsidR="0084341B"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{"citationItems":[{"id":"ITEM-1","itemData":{"DOI":"10.1136/neurintsurg-2020-015992","ISSN":"17598486","abstract":"Background Currently, there are no large-scale studies in the neurointerventional literature comparing safety between transradial (TRA) and transfemoral (TFA) approaches for flow diversion procedures. This study aims to assess complication rates in a large multicenter registry for TRA versus TFA flow diversion. Methods We retrospectively analyzed flow diversion cases for cerebral aneurysms from 14 institutions from 2010 to 2019. Pooled analysis of proportions was calculated using weighted analysis with 95% CI to account for results from multiple centers. Access site complication rate and overall complication rate were compared between the two approaches. Results A total of 2,285 patients who underwent flow diversion were analyzed, with 134 (5.86%) treated with TRA and 2151 (94.14%) via TFA. The two groups shared similar patient and aneurysm characteristics. Crossover from TRA to TFA was documented in 12 (8.63%) patients. There were no access site complications in the TRA group. There was a significantly higher access site complication rate in the TFA cohort as compared with TRA (2.48%, 95% CI 2.40% to 2.57%, vs 0%; p=0.039). One death resulted from a femoral access site complication. The overall complications rate was also higher in the TFA group (9.02%, 95% CI 8.15% to 9.89%) compared with the TRA group (3.73%, 95% CI 3.13% to 4.28%; p=0.035). Conclusion TRA may be a safer approach for flow diversion to treat cerebral aneurysms at a wide range of locations. Both access site complication rate and overall complication rate were lower for TRA flow diversion compared with TFA in this large series.","author":[{"dropping-particle":"","family":"Li","given":"Yangchun","non-dropping-particle":"","parse-names":false,"suffix":""},{"dropping-particle":"","family":"Chen","given":"Stephanie H.","non-dropping-particle":"","parse-names":false,"suffix":""},{"dropping-particle":"","family":"Spiotta","given":"Alejandro M.","non-dropping-particle":"","parse-names":false,"suffix":""},{"dropping-particle":"","family":"Jabbour","given":"Pascal","non-dropping-particle":"","parse-names":false,"suffix":""},{"dropping-particle":"","family":"Levitt","given":"Michael R.","non-dropping-particle":"","parse-names":false,"suffix":""},{"dropping-particle":"","family":"Kan","given":"Peter","non-dropping-particle":"","parse-names":false,"suffix":""},{"dropping-particle":"","family":"Griessenauer","given":"Christoph J.","non-dropping-particle":"","parse-names":false,"suffix":""},{"dropping-particle":"","family":"Arthur","given":"Adam S.","non-dropping-particle":"","parse-names":false,"suffix":""},{"dropping-particle":"","family":"Osbun","given":"Joshua W.","non-dropping-particle":"","parse-names":false,"suffix":""},{"dropping-particle":"","family":"Park","given":"Min S.","non-dropping-particle":"","parse-names":false,"suffix":""},{"dropping-particle":"","family":"Chalouhi","given":"Nohra","non-dropping-particle":"","parse-names":false,"suffix":""},{"dropping-particle":"","family":"Sweid","given":"Ahmad","non-dropping-particle":"","parse-names":false,"suffix":""},{"dropping-particle":"","family":"Wolfe","given":"Stacey Q.","non-dropping-particle":"","parse-names":false,"suffix":""},{"dropping-particle":"","family":"Fargen","given":"Kyle M.","non-dropping-particle":"","parse-names":false,"suffix":""},{"dropping-particle":"","family":"Dumont","given":"Aaron S.","non-dropping-particle":"","parse-names":false,"suffix":""},{"dropping-particle":"","family":"Dumont","given":"Travis M.","non-dropping-particle":"","parse-names":false,"suffix":""},{"dropping-particle":"","family":"Brunet","given":"Marie Christine","non-dropping-particle":"","parse-names":false,"suffix":""},{"dropping-particle":"","family":"Sur","given":"Samir","non-dropping-particle":"","parse-names":false,"suffix":""},{"dropping-particle":"","family":"Luther","given":"Evan","non-dropping-particle":"","parse-names":false,"suffix":""},{"dropping-particle":"","family":"Strickland","given":"Allison","non-dropping-particle":"","parse-names":false,"suffix":""},{"dropping-particle":"","family":"Yavagal","given":"Dileep R.","non-dropping-particle":"","parse-names":false,"suffix":""},{"dropping-particle":"","family":"Peterson","given":"Eric C.","non-dropping-particle":"","parse-names":false,"suffix":""},{"dropping-particle":"","family":"Schirmer","given":"Clemens M.","non-dropping-particle":"","parse-names":false,"suffix":""},{"dropping-particle":"","family":"Goren","given":"Oded","non-dropping-particle":"","parse-names":false,"suffix":""},{"dropping-particle":"","family":"Dalal","given":"Shamsher","non-dropping-particle":"","parse-names":false,"suffix":""},{"dropping-particle":"","family":"Weiner","given":"Gregory","non-dropping-particle":"","parse-names":false,"suffix":""},{"dropping-particle":"","family":"Rosengart","given":"Axel","non-dropping-particle":"","parse-names":false,"suffix":""},{"dropping-particle":"","family":"Raper","given":"Daniel","non-dropping-particle":"","parse-names":false,"suffix":""},{"dropping-particle":"","family":"Chen","given":"Ching Jen","non-dropping-particle":"","parse-names":false,"suffix":""},{"dropping-particle":"","family":"Amenta","given":"Peter","non-dropping-particle":"","parse-names":false,"suffix":""},{"dropping-particle":"","family":"Scullen","given":"Tyler","non-dropping-particle":"","parse-names":false,"suffix":""},{"dropping-particle":"","family":"Kelly","given":"Cory Michael","non-dropping-particle":"","parse-names":false,"suffix":""},{"dropping-particle":"","family":"Young","given":"Christopher","non-dropping-particle":"","parse-names":false,"suffix":""},{"dropping-particle":"","family":"Nahhas","given":"Michael","non-dropping-particle":"","parse-names":false,"suffix":""},{"dropping-particle":"","family":"Almallouhi","given":"Eyad","non-dropping-particle":"","parse-names":false,"suffix":""},{"dropping-particle":"","family":"Gunasekaran","given":"Arunprasad","non-dropping-particle":"","parse-names":false,"suffix":""},{"dropping-particle":"","family":"Pai","given":"Suhas","non-dropping-particle":"","parse-names":false,"suffix":""},{"dropping-particle":"","family":"Lanzino","given":"Giuseppe","non-dropping-particle":"","parse-names":false,"suffix":""},{"dropping-particle":"","family":"Brinjikji","given":"Waleed","non-dropping-particle":"","parse-names":false,"suffix":""},{"dropping-particle":"","family":"Abbasi","given":"Mehdi","non-dropping-particle":"","parse-names":false,"suffix":""},{"dropping-particle":"","family":"Dornbos","given":"David","non-dropping-particle":"","parse-names":false,"suffix":""},{"dropping-particle":"","family":"Goyal","given":"Nitin","non-dropping-particle":"","parse-names":false,"suffix":""},{"dropping-particle":"","family":"Peterson","given":"Jeremy","non-dropping-particle":"","parse-names":false,"suffix":""},{"dropping-particle":"","family":"El-Ghanem","given":"Mohammad H.","non-dropping-particle":"","parse-names":false,"suffix":""},{"dropping-particle":"","family":"Starke","given":"Robert M.","non-dropping-particle":"","parse-names":false,"suffix":""}],"container-title":"Journal of NeuroInterventional Surgery","id":"ITEM-1","issue":"1","issued":{"date-parts":[["2021"]]},"title":"Lower complication rates associated with transradial versus transfemoral flow diverting stent placement","type":"article-journal","volume":"13"},"uris":["http://www.mendeley.com/documents/?uuid=6d40ef64-00ec-3b7a-b7ac-2b70ec1a6c2b"]}],"mendeley":{"formattedCitation":"(62)","plainTextFormattedCitation":"(62)","previouslyFormattedCitation":"(62)"},"properties":{"noteIndex":0},"schema":"https://github.com/citation-style-language/schema/raw/master/csl-citation.json"}</w:instrText>
      </w:r>
      <w:r w:rsidR="0084341B"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(62)</w:t>
      </w:r>
      <w:r w:rsidR="0084341B"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The highlights attributed to TFA's deeper vessel location, proximity to muscle compartments, and potential for significant bleeding and post-procedural immobility complications. The table shows a significant difference in infection rates between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and TRA groups (p &lt; 0.001). This suggests TFA may elevate the risk of infection compared to TRA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post-procedure. Our findings align with previous research by</w:t>
      </w:r>
      <w:r w:rsidR="002A444F" w:rsidRPr="006B3495">
        <w:rPr>
          <w:rFonts w:asciiTheme="majorBidi" w:hAnsiTheme="majorBidi" w:cstheme="majorBidi"/>
          <w:sz w:val="24"/>
          <w:szCs w:val="24"/>
        </w:rPr>
        <w:t xml:space="preserve"> Schartz </w:t>
      </w:r>
      <w:r w:rsidR="002A444F"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{"citationItems":[{"id":"ITEM-1","itemData":{"DOI":"10.1136/neurintsurg-2021-018032","ISSN":"17598486","abstract":"Background Transradial access (TRA) has gained increased usage among neurointerventionalists. However, the overall safety profile of access site complications (ASCs) and non-access site complications (NASCs) of TRA versus transfemoral access (TFA) for neuroendovascular procedures remains unclear. Methods A systematic literature review and meta-analysis using a random effects model was conducted to investigate the pooled odds ratios (OR) of ASCs and NASCs. Randomized, case–control, and cohort studies comparing access-related complications were analyzed. An assessment of study heterogeneity and publication bias was also completed. Results Seventeen comparative studies met the inclusion criteria for final analysis. Overall, there was a composite ASC rate of 1.8% (49/2767) versus 3.2% (168/5222) for TRA and TFA, respectively (P&lt;0.001). TRA was associated with a lower odds of ASC compared with TFA (OR 0.42; 95% CI 0.25 to 0.68, P&lt;0.001, I2=31%). There was significantly lower odds of complications within the intervention and diagnostic subgroups. For NASC, TRA had a lower composite incidence of complications than TFA at 1.2% (31/2586) versus 4.2% (207/4909), P&lt;0.001). However, on meta-analysis, we found no significant difference overall between TRA and TFA for NASCs (OR 0.79; 95% CI 0.51 to 1.22, P=0.28, I2=0%), which was also the case on subgroup analysis. Conclusion On meta-analysis, the current literature indicates that TRA is associated with a lower incidence of ASCs compared with TFA, but is not associated with a lower rate of NASCs.","author":[{"dropping-particle":"","family":"Schartz","given":"Derrek","non-dropping-particle":"","parse-names":false,"suffix":""},{"dropping-particle":"","family":"Akkipeddi","given":"Sajal Medha K.","non-dropping-particle":"","parse-names":false,"suffix":""},{"dropping-particle":"","family":"Ellens","given":"Nathaniel","non-dropping-particle":"","parse-names":false,"suffix":""},{"dropping-particle":"","family":"Rahmani","given":"Redi","non-dropping-particle":"","parse-names":false,"suffix":""},{"dropping-particle":"","family":"Kohli","given":"Gurkirat Singh","non-dropping-particle":"","parse-names":false,"suffix":""},{"dropping-particle":"","family":"Bruckel","given":"Jeffrey","non-dropping-particle":"","parse-names":false,"suffix":""},{"dropping-particle":"","family":"Caplan","given":"Justin M.","non-dropping-particle":"","parse-names":false,"suffix":""},{"dropping-particle":"","family":"Mattingly","given":"Thomas K.","non-dropping-particle":"","parse-names":false,"suffix":""},{"dropping-particle":"","family":"Bhalla","given":"Tarun","non-dropping-particle":"","parse-names":false,"suffix":""},{"dropping-particle":"","family":"Bender","given":"Matthew T.","non-dropping-particle":"","parse-names":false,"suffix":""}],"container-title":"Journal of NeuroInterventional Surgery","id":"ITEM-1","issue":"8","issued":{"date-parts":[["2022"]]},"title":"Complications of transradial versus transfemoral access for neuroendovascular procedures: a meta-analysis","type":"article-journal","volume":"14"},"uris":["http://www.mendeley.com/documents/?uuid=dbc30ae6-42eb-3f72-adf5-c9f2aa9a9710"]}],"mendeley":{"formattedCitation":"(63)","plainTextFormattedCitation":"(63)","previouslyFormattedCitation":"(63)"},"properties":{"noteIndex":0},"schema":"https://github.com/citation-style-language/schema/raw/master/csl-citation.json"}</w:instrText>
      </w:r>
      <w:r w:rsidR="002A444F"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(63)</w:t>
      </w:r>
      <w:r w:rsidR="002A444F"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which also demonstrated the same results. The authors highlight varying procedural complexities, site characteristics, and patient care implications, underscoring the need for meticulous consideration of vascular access routes to mitigate infection risks. The results illustrated a significantly higher risk of leg ischemia in the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compared to the TRA group (p &lt; 0.001). The results concluded that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carries a greater risk of leg ischemia post-procedure than TRA. Our study corroborates earlier findings from </w:t>
      </w:r>
      <w:r w:rsidR="000D6F22" w:rsidRPr="006B3495">
        <w:rPr>
          <w:rFonts w:asciiTheme="majorBidi" w:hAnsiTheme="majorBidi" w:cstheme="majorBidi"/>
          <w:sz w:val="24"/>
          <w:szCs w:val="24"/>
        </w:rPr>
        <w:t xml:space="preserve">Schartz </w:t>
      </w:r>
      <w:r w:rsidR="000D6F22"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{"citationItems":[{"id":"ITEM-1","itemData":{"DOI":"10.1136/neurintsurg-2021-018032","ISSN":"17598486","abstract":"Background Transradial access (TRA) has gained increased usage among neurointerventionalists. However, the overall safety profile of access site complications (ASCs) and non-access site complications (NASCs) of TRA versus transfemoral access (TFA) for neuroendovascular procedures remains unclear. Methods A systematic literature review and meta-analysis using a random effects model was conducted to investigate the pooled odds ratios (OR) of ASCs and NASCs. Randomized, case–control, and cohort studies comparing access-related complications were analyzed. An assessment of study heterogeneity and publication bias was also completed. Results Seventeen comparative studies met the inclusion criteria for final analysis. Overall, there was a composite ASC rate of 1.8% (49/2767) versus 3.2% (168/5222) for TRA and TFA, respectively (P&lt;0.001). TRA was associated with a lower odds of ASC compared with TFA (OR 0.42; 95% CI 0.25 to 0.68, P&lt;0.001, I2=31%). There was significantly lower odds of complications within the intervention and diagnostic subgroups. For NASC, TRA had a lower composite incidence of complications than TFA at 1.2% (31/2586) versus 4.2% (207/4909), P&lt;0.001). However, on meta-analysis, we found no significant difference overall between TRA and TFA for NASCs (OR 0.79; 95% CI 0.51 to 1.22, P=0.28, I2=0%), which was also the case on subgroup analysis. Conclusion On meta-analysis, the current literature indicates that TRA is associated with a lower incidence of ASCs compared with TFA, but is not associated with a lower rate of NASCs.","author":[{"dropping-particle":"","family":"Schartz","given":"Derrek","non-dropping-particle":"","parse-names":false,"suffix":""},{"dropping-particle":"","family":"Akkipeddi","given":"Sajal Medha K.","non-dropping-particle":"","parse-names":false,"suffix":""},{"dropping-particle":"","family":"Ellens","given":"Nathaniel","non-dropping-particle":"","parse-names":false,"suffix":""},{"dropping-particle":"","family":"Rahmani","given":"Redi","non-dropping-particle":"","parse-names":false,"suffix":""},{"dropping-particle":"","family":"Kohli","given":"Gurkirat Singh","non-dropping-particle":"","parse-names":false,"suffix":""},{"dropping-particle":"","family":"Bruckel","given":"Jeffrey","non-dropping-particle":"","parse-names":false,"suffix":""},{"dropping-particle":"","family":"Caplan","given":"Justin M.","non-dropping-particle":"","parse-names":false,"suffix":""},{"dropping-particle":"","family":"Mattingly","given":"Thomas K.","non-dropping-particle":"","parse-names":false,"suffix":""},{"dropping-particle":"","family":"Bhalla","given":"Tarun","non-dropping-particle":"","parse-names":false,"suffix":""},{"dropping-particle":"","family":"Bender","given":"Matthew T.","non-dropping-particle":"","parse-names":false,"suffix":""}],"container-title":"Journal of NeuroInterventional Surgery","id":"ITEM-1","issue":"8","issued":{"date-parts":[["2022"]]},"title":"Complications of transradial versus transfemoral access for neuroendovascular procedures: a meta-analysis","type":"article-journal","volume":"14"},"uris":["http://www.mendeley.com/documents/?uuid=dbc30ae6-42eb-3f72-adf5-c9f2aa9a9710"]}],"mendeley":{"formattedCitation":"(63)","plainTextFormattedCitation":"(63)","previouslyFormattedCitation":"(63)"},"properties":{"noteIndex":0},"schema":"https://github.com/citation-style-language/schema/raw/master/csl-citation.json"}</w:instrText>
      </w:r>
      <w:r w:rsidR="000D6F22"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(63)</w:t>
      </w:r>
      <w:r w:rsidR="000D6F22" w:rsidRPr="006B3495">
        <w:rPr>
          <w:rFonts w:asciiTheme="majorBidi" w:hAnsiTheme="majorBidi" w:cstheme="majorBidi"/>
          <w:sz w:val="24"/>
          <w:szCs w:val="24"/>
        </w:rPr>
        <w:fldChar w:fldCharType="end"/>
      </w:r>
      <w:r w:rsidR="005B04A4" w:rsidRPr="006B3495">
        <w:rPr>
          <w:rFonts w:asciiTheme="majorBidi" w:hAnsiTheme="majorBidi" w:cstheme="majorBidi"/>
          <w:sz w:val="24"/>
          <w:szCs w:val="24"/>
        </w:rPr>
        <w:t xml:space="preserve"> </w:t>
      </w:r>
      <w:r w:rsidRPr="006B3495">
        <w:rPr>
          <w:rFonts w:asciiTheme="majorBidi" w:hAnsiTheme="majorBidi" w:cstheme="majorBidi"/>
          <w:sz w:val="24"/>
          <w:szCs w:val="24"/>
        </w:rPr>
        <w:t>and</w:t>
      </w:r>
      <w:r w:rsidR="000D6F22" w:rsidRPr="006B3495">
        <w:rPr>
          <w:rFonts w:asciiTheme="majorBidi" w:hAnsiTheme="majorBidi" w:cstheme="majorBidi"/>
          <w:sz w:val="24"/>
          <w:szCs w:val="24"/>
        </w:rPr>
        <w:t xml:space="preserve"> Rao </w:t>
      </w:r>
      <w:r w:rsidR="000D6F22"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10.1016/j.jacc.2013.08.700","ISSN":"15583597","author":[{"dropping-particle":"V.","family":"Rao","given":"Sunil","non-dropping-particle":"","parse-names":false,"suffix":""},{"dropping-particle":"","family":"Turi","given":"Zoltan G.","non-dropping-particle":"","parse-names":false,"suffix":""},{"dropping-particle":"","family":"Wong","given":"S. Chiu","non-dropping-particle":"","parse-names":false,"suffix":""},{"dropping-particle":"","family":"Brener","given":"Sorin J.","non-dropping-particle":"","parse-names":false,"suffix":""},{"dropping-particle":"","family":"Stone","given":"Gregg W.","non-dropping-particle":"","parse-names":false,"suffix":""}],"container-title":"Journal of the American College of Cardiology","id":"ITEM-1","issue":"17 SUPPL","issued":{"date-parts":[["2013"]]},"page":"S11-S20","publisher":"Elsevier","title":"Radial versus femoral access","type":"article-journal","volume":"62"},"uris":["http://www.mendeley.com/documents/?uuid=f96eb13f-9c07-45d5-af74-9cd8507e7201"]}],"mendeley":{"formattedCitation":"(64)","plainTextFormattedCitation":"(64)","previouslyFormattedCitation":"(64)"},"properties":{"noteIndex":0},"schema":"https://github.com/citation-style-language/schema/raw/master/csl-citation.json"}</w:instrText>
      </w:r>
      <w:r w:rsidR="000D6F22"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(64)</w:t>
      </w:r>
      <w:r w:rsidR="000D6F22"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regarding the significantly higher risk of leg ischemia in the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compared to the TRA group is attributed to the larger vessel size and deeper access site in TFA, which increase the likelihood of vascular complications such as reduced blood flow and ischemia following the procedure. The results show a significant difference in the incidence of pseudoaneurysm between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and TRA groups (p &lt; 0.001). This indicates that TRA may effectively prevent pseudoaneurysm compared to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post-procedure. </w:t>
      </w:r>
      <w:r w:rsidR="00CF1ECF" w:rsidRPr="006B3495">
        <w:rPr>
          <w:rFonts w:asciiTheme="majorBidi" w:hAnsiTheme="majorBidi" w:cstheme="majorBidi"/>
          <w:sz w:val="24"/>
          <w:szCs w:val="24"/>
        </w:rPr>
        <w:t xml:space="preserve">Senguttuvan </w:t>
      </w:r>
      <w:r w:rsidR="00CF1ECF"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{"citationItems":[{"id":"ITEM-1","itemData":{"DOI":"10.1371/journal.pone.0266709","ISSN":"19326203","abstract":"Introduction Trans-radial approach (TRA) is recommended over trans-femoral approach (TFA) in patients with acute coronary syndrome (ACS) undergoing percutaneous coronary intervention (PCI). We intended to study the effect of access on all-cause mortality. Methods and results We searched PubMed and EMBASE for randomized studies on patients with ACS undergoing PCI. The primary outcome was all-cause mortality at 30-days. The secondary outcomes included in-hospital mortality, major adverse cardiac or cerebrovascular event (MACE) as defined by the study, net adverse clinical event (NACE), non-fatal myocardial infarction, non-fatal stroke, stent thrombosis, study-defined major bleeding, and minor bleeding, vascular complications, hematoma, pseudoaneurysm, non-access site bleeding, need for transfusion, access site cross-over, contrast volume, procedure duration, and hospital stay duration. We studied 20,122 ACS patients, including 10,037 and 10,085 patients undergoing trans-radial and trans-femoral approaches, respectively. We found mortality benefit in patients with ACS for the trans-radial approach [(1.7% vs. 2.3%; RR: 0.75; 95% CI: 0.62–0.91; P = 0.004; I2 = 0%). Out of 10,465 patients with STEMI, 5,189 patients had TRA and 5,276 had TFA procedures. A similar benefit was observed in patients with STEMI alone [(2.3% vs. 3.3%; RR: 0.71; 95% CI: 0.56–0.90; P = 0.004; I2 = 0%). We observed reduced MACE, NACE, major bleeding, vascular complications, and pseudoaneurysms. No difference in re-infarction, stroke, and serious bleeding requiring blood transfusions were noted. We noticed a small decrease in contrast volume(ml) {mean difference (95% CI): −4.6 [−8.5 to −0.7]}, small but significantly increase in procedural time {mean difference (95% CI) 1.2 [0.1 to 2.3]}and fluoroscopy time {mean difference (95% CI) 0.8 [0.3 to1.4] min} in the trans-radial group. Conclusion TRA has significantly reduced 30-day all-cause mortality among patients undergoing PCI for ACS. TRA should be the preferred vascular access in patients with ACS.","author":[{"dropping-particle":"","family":"Senguttuvan","given":"Nagendra Boopathy","non-dropping-particle":"","parse-names":false,"suffix":""},{"dropping-particle":"","family":"Reddy","given":"Pothireddy M.K.","non-dropping-particle":"","parse-names":false,"suffix":""},{"dropping-particle":"","family":"Shankar","given":"Punati Hari","non-dropping-particle":"","parse-names":false,"suffix":""},{"dropping-particle":"","family":"Abdulkader","given":"Rizwan Suliankatchi","non-dropping-particle":"","parse-names":false,"suffix":""},{"dropping-particle":"","family":"Yallanki","given":"Hanumath Prasad","non-dropping-particle":"","parse-names":false,"suffix":""},{"dropping-particle":"","family":"Kumar","given":"Ashish","non-dropping-particle":"","parse-names":false,"suffix":""},{"dropping-particle":"","family":"Majmundar","given":"Monil","non-dropping-particle":"","parse-names":false,"suffix":""},{"dropping-particle":"","family":"Ramalingam","given":"Vadivelu","non-dropping-particle":"","parse-names":false,"suffix":""},{"dropping-particle":"","family":"Rajendran","given":"Ravindran","non-dropping-particle":"","parse-names":false,"suffix":""},{"dropping-particle":"","family":"Bhoopalan","given":"Kesavamoorthy","non-dropping-particle":"","parse-names":false,"suffix":""},{"dropping-particle":"","family":"Kaliyamoorthy","given":"Dhamodharan","non-dropping-particle":"","parse-names":false,"suffix":""},{"dropping-particle":"","family":"Muralidharan","given":"T. R.","non-dropping-particle":"","parse-names":false,"suffix":""},{"dropping-particle":"","family":"Kalra","given":"Ankur","non-dropping-particle":"","parse-names":false,"suffix":""},{"dropping-particle":"","family":"Jayaraj","given":"Ramamoorthi","non-dropping-particle":"","parse-names":false,"suffix":""},{"dropping-particle":"","family":"Ramakrishnan","given":"Sivasubramanian","non-dropping-particle":"","parse-names":false,"suffix":""},{"dropping-particle":"","family":"Daggubati","given":"Ramesh","non-dropping-particle":"","parse-names":false,"suffix":""},{"dropping-particle":"","family":"Thanikachalam","given":"Sadagopan","non-dropping-particle":"","parse-names":false,"suffix":""},{"dropping-particle":"","family":"Seth","given":"Ashok","non-dropping-particle":"","parse-names":false,"suffix":""},{"dropping-particle":"","family":"Bahl","given":"Vinay Kumar","non-dropping-particle":"","parse-names":false,"suffix":""}],"container-title":"PLoS ONE","id":"ITEM-1","issue":"4 April","issued":{"date-parts":[["2022"]]},"title":"Trans-radial approach versus trans-femoral approach in patients with acute coronary syndrome undergoing percutaneous coronary intervention: An updated meta-analysis of randomized controlled trials","type":"article-journal","volume":"17"},"uris":["http://www.mendeley.com/documents/?uuid=9f4232b1-0438-32fe-ab4c-28ab8bc31c2e"]}],"mendeley":{"formattedCitation":"(65)","plainTextFormattedCitation":"(65)","previouslyFormattedCitation":"(65)"},"properties":{"noteIndex":0},"schema":"https://github.com/citation-style-language/schema/raw/master/csl-citation.json"}</w:instrText>
      </w:r>
      <w:r w:rsidR="00CF1ECF"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(65)</w:t>
      </w:r>
      <w:r w:rsidR="00CF1ECF" w:rsidRPr="006B3495">
        <w:rPr>
          <w:rFonts w:asciiTheme="majorBidi" w:hAnsiTheme="majorBidi" w:cstheme="majorBidi"/>
          <w:sz w:val="24"/>
          <w:szCs w:val="24"/>
        </w:rPr>
        <w:fldChar w:fldCharType="end"/>
      </w:r>
      <w:r w:rsidR="00CF1ECF"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reveal a significant difference in pseudoaneurysm incidence between the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and </w:t>
      </w:r>
      <w:r w:rsidRPr="006B3495">
        <w:rPr>
          <w:rFonts w:asciiTheme="majorBidi" w:hAnsiTheme="majorBidi" w:cstheme="majorBidi"/>
          <w:sz w:val="24"/>
          <w:szCs w:val="24"/>
        </w:rPr>
        <w:lastRenderedPageBreak/>
        <w:t xml:space="preserve">TRA groups (p &lt; 0.001), suggesting TRA's potential superiority in preventing pseudoaneurysms compared to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post-procedure. Also, the current study agrees with</w:t>
      </w:r>
      <w:r w:rsidR="00E721F2" w:rsidRPr="006B3495">
        <w:rPr>
          <w:rFonts w:asciiTheme="majorBidi" w:hAnsiTheme="majorBidi" w:cstheme="majorBidi"/>
          <w:sz w:val="24"/>
          <w:szCs w:val="24"/>
        </w:rPr>
        <w:t xml:space="preserve"> Al-Saber </w:t>
      </w:r>
      <w:r w:rsidR="00E721F2"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{"citationItems":[{"id":"ITEM-1","itemData":{"DOI":"10.4236/wjcd.2023.131005","ISSN":"2164-5329","abstract":"Background: Cardiovascular Disease (CVD) is one of the leading chronic diseases in Saudi Arabia (SA) that cause disability and death. CVD predisposition risk varies according to age, gender, education, socioeconomic factors, and place of residency. In addition, CVD risk factors include physical inactivity, sedentary lifestyle, saturated fatty acid high diet, smoking, and stress. Aim: This is a systematic review study that aims to determine the effect of mindful mediation, physical activity, and diet on CVD in SA. Materials and Methods: This is a systematic electronic search method in Google scholar, PubMed, and Medline. Papers collected are papers that have been published since 2015. The search uses the following keywords: (Cardiovascular disease OR physical activity OR Physical inactivity OR meditation OR diet) AND Saudi Arabia. Data were extracted from each study through a narrative summary of each study. Results: Forty papers collected from 2015 to 2022 were included in the narrative study. Physical activity, diet, and mindful meditation are among the factors that can reduce the risk of development of CVD or severity of disease in patients with a CVD. Conclusion: This systematic review emphasized risk factors like physical inactivity, poor diet, and low level of awareness among Saudis and CVD Saudi patients. The findings show the role of physical activity, mindful meditation, and diet in reducing the onset or severity of cardiovascular disease.","author":[{"dropping-particle":"","family":"Al-Saber","given":"Arwa","non-dropping-particle":"","parse-names":false,"suffix":""},{"dropping-particle":"","family":"May","given":"Al-Nabaheen","non-dropping-particle":"","parse-names":false,"suffix":""}],"container-title":"World Journal of Cardiovascular Diseases","id":"ITEM-1","issue":"01","issued":{"date-parts":[["2023"]]},"title":"Effect of Mindful Meditation, Physical Activity, and Diet to Reduce the Risk to Develop or Reduce Severity of Cardiovascular Diseases in Saudi Arabia: A Systematic Review","type":"article-journal","volume":"13"},"uris":["http://www.mendeley.com/documents/?uuid=402fb732-d851-372b-96ed-7b44fcef2817"]}],"mendeley":{"formattedCitation":"(57)","plainTextFormattedCitation":"(57)","previouslyFormattedCitation":"(57)"},"properties":{"noteIndex":0},"schema":"https://github.com/citation-style-language/schema/raw/master/csl-citation.json"}</w:instrText>
      </w:r>
      <w:r w:rsidR="00E721F2"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(57)</w:t>
      </w:r>
      <w:r w:rsidR="00E721F2" w:rsidRPr="006B3495">
        <w:rPr>
          <w:rFonts w:asciiTheme="majorBidi" w:hAnsiTheme="majorBidi" w:cstheme="majorBidi"/>
          <w:sz w:val="24"/>
          <w:szCs w:val="24"/>
        </w:rPr>
        <w:fldChar w:fldCharType="end"/>
      </w:r>
      <w:r w:rsidR="00E721F2"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who studied comparative complications between the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and TRA groups and showed similar results.</w:t>
      </w:r>
    </w:p>
    <w:p w14:paraId="402E723D" w14:textId="258360CE" w:rsidR="00EC74E8" w:rsidRPr="006B3495" w:rsidRDefault="00EC74E8" w:rsidP="00665AD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The results indicate the highest complications were accessed site pain followed by patient discomfort</w:t>
      </w:r>
      <w:r w:rsidR="00C7664C" w:rsidRPr="006B3495">
        <w:rPr>
          <w:rFonts w:asciiTheme="majorBidi" w:hAnsiTheme="majorBidi" w:cstheme="majorBidi"/>
          <w:sz w:val="24"/>
          <w:szCs w:val="24"/>
        </w:rPr>
        <w:t xml:space="preserve">, numbness, oozing, </w:t>
      </w:r>
      <w:r w:rsidRPr="006B3495">
        <w:rPr>
          <w:rFonts w:asciiTheme="majorBidi" w:hAnsiTheme="majorBidi" w:cstheme="majorBidi"/>
          <w:sz w:val="24"/>
          <w:szCs w:val="24"/>
        </w:rPr>
        <w:t xml:space="preserve">hematoma, spasms, arterial occlusion, soreness, adjacent nerve injury or the need for vascular surgical repair, infection, bleeding, compartment syndrome, leg ischemia, </w:t>
      </w:r>
      <w:r w:rsidR="00806212" w:rsidRPr="00806212">
        <w:rPr>
          <w:rFonts w:asciiTheme="majorBidi" w:hAnsiTheme="majorBidi" w:cstheme="majorBidi"/>
          <w:sz w:val="24"/>
          <w:szCs w:val="24"/>
        </w:rPr>
        <w:t>arteriovenous fistula</w:t>
      </w:r>
      <w:r w:rsidRPr="006B3495">
        <w:rPr>
          <w:rFonts w:asciiTheme="majorBidi" w:hAnsiTheme="majorBidi" w:cstheme="majorBidi"/>
          <w:sz w:val="24"/>
          <w:szCs w:val="24"/>
        </w:rPr>
        <w:t xml:space="preserve">, pseudoaneurysm, and the lowest complication was </w:t>
      </w:r>
      <w:r w:rsidR="00B80E02">
        <w:rPr>
          <w:rFonts w:asciiTheme="majorBidi" w:hAnsiTheme="majorBidi" w:cstheme="majorBidi"/>
          <w:sz w:val="24"/>
          <w:szCs w:val="24"/>
        </w:rPr>
        <w:t xml:space="preserve">upper </w:t>
      </w:r>
      <w:r w:rsidRPr="006B3495">
        <w:rPr>
          <w:rFonts w:asciiTheme="majorBidi" w:hAnsiTheme="majorBidi" w:cstheme="majorBidi"/>
          <w:sz w:val="24"/>
          <w:szCs w:val="24"/>
        </w:rPr>
        <w:t>limb ischemia.</w:t>
      </w:r>
      <w:r w:rsidR="00F42B60" w:rsidRPr="006B3495">
        <w:rPr>
          <w:rFonts w:asciiTheme="majorBidi" w:hAnsiTheme="majorBidi" w:cstheme="majorBidi"/>
          <w:sz w:val="24"/>
          <w:szCs w:val="24"/>
        </w:rPr>
        <w:t xml:space="preserve"> Khodabandehlooie </w:t>
      </w:r>
      <w:r w:rsidR="00F42B60"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{"citationItems":[{"id":"ITEM-1","itemData":{"DOI":"10.4103/ijnmr.Ijnmr_467_20","ISSN":"22285504","abstract":"Background: Distal Radial Artery (DRA) is a new arterial access for coronary catheterization. Assessment of the vascular complications of this new procedure is important in the provision of nursing care to cardiac patients. The aim of this study was the nursing assessment of vascular complications of DRA in angiography and angioplasty. Materials and Methods: This qualitative longitudinal study was conducted on 315 consecutive patients who were candidates for coronary catheterization via DRA from 2017 to 2020 in three hospitals in Tehran, Iran. Patients who had palpable DRA and were capable and willing to consent to inclusion in the study were evaluated. Moreover, patients whose DRA access failed, and those who had previously undergone coronary artery bypass graft were excluded from the study. Vascular complications were assessed on the day of the procedure and about 1 month later. Results: After the procedure, 29 cases of ecchymosis, 8 cases of hematoma, and 1 case of arteriovenous fistula in the DRA were observed. We did not observe any major vascular complications. Conclusions: Nursing assessment of the snuffbox area indicated that this approach is a safe and convenient technique for cardiac catheterization with few minor complications.","author":[{"dropping-particle":"","family":"Khodabandehlooie","given":"Sara","non-dropping-particle":"","parse-names":false,"suffix":""},{"dropping-particle":"","family":"Saleh","given":"Davood","non-dropping-particle":"","parse-names":false,"suffix":""},{"dropping-particle":"","family":"Hosseini","given":"Meimanat","non-dropping-particle":"","parse-names":false,"suffix":""}],"container-title":"Iranian Journal of Nursing and Midwifery Research","id":"ITEM-1","issue":"3","issued":{"date-parts":[["2023"]]},"title":"Nursing assessment of vascular complications after cardiac catheterization through the distal radial artery","type":"article-journal","volume":"28"},"uris":["http://www.mendeley.com/documents/?uuid=29a659f4-ccc2-3e83-b6fc-8671bc3774e7"]}],"mendeley":{"formattedCitation":"(58)","plainTextFormattedCitation":"(58)","previouslyFormattedCitation":"(58)"},"properties":{"noteIndex":0},"schema":"https://github.com/citation-style-language/schema/raw/master/csl-citation.json"}</w:instrText>
      </w:r>
      <w:r w:rsidR="00F42B60"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(58)</w:t>
      </w:r>
      <w:r w:rsidR="00F42B60"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and</w:t>
      </w:r>
      <w:r w:rsidR="00F42B60" w:rsidRPr="006B3495">
        <w:rPr>
          <w:rFonts w:asciiTheme="majorBidi" w:hAnsiTheme="majorBidi" w:cstheme="majorBidi"/>
          <w:sz w:val="24"/>
          <w:szCs w:val="24"/>
        </w:rPr>
        <w:t xml:space="preserve"> Unger </w:t>
      </w:r>
      <w:r w:rsidR="00F42B60"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{"citationItems":[{"id":"ITEM-1","itemData":{"DOI":"10.1002/9781119117810.ch8","author":[{"dropping-particle":"","family":"Unger","given":"Steven A.","non-dropping-particle":"","parse-names":false,"suffix":""},{"dropping-particle":"","family":"Kucia","given":"Angela M.","non-dropping-particle":"","parse-names":false,"suffix":""}],"container-title":"Cardiac Care","edition":"2","id":"ITEM-1","issued":{"date-parts":[["2022","8","26"]]},"page":"76-102","publisher":"Wiley","title":"Diagnostic Procedures","type":"chapter"},"uris":["http://www.mendeley.com/documents/?uuid=5a19d756-4c43-3c4a-9e23-f0d586cbb5a2"]}],"mendeley":{"formattedCitation":"(59)","plainTextFormattedCitation":"(59)","previouslyFormattedCitation":"(59)"},"properties":{"noteIndex":0},"schema":"https://github.com/citation-style-language/schema/raw/master/csl-citation.json"}</w:instrText>
      </w:r>
      <w:r w:rsidR="00F42B60"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(59)</w:t>
      </w:r>
      <w:r w:rsidR="00F42B60" w:rsidRPr="006B3495">
        <w:rPr>
          <w:rFonts w:asciiTheme="majorBidi" w:hAnsiTheme="majorBidi" w:cstheme="majorBidi"/>
          <w:sz w:val="24"/>
          <w:szCs w:val="24"/>
        </w:rPr>
        <w:fldChar w:fldCharType="end"/>
      </w:r>
      <w:r w:rsidRPr="006B3495">
        <w:rPr>
          <w:rFonts w:asciiTheme="majorBidi" w:hAnsiTheme="majorBidi" w:cstheme="majorBidi"/>
          <w:sz w:val="24"/>
          <w:szCs w:val="24"/>
        </w:rPr>
        <w:t xml:space="preserve"> pointed out that PCI can cause complications such as common </w:t>
      </w:r>
      <w:r w:rsidR="00D55B3A" w:rsidRPr="006B3495">
        <w:rPr>
          <w:rFonts w:asciiTheme="majorBidi" w:hAnsiTheme="majorBidi" w:cstheme="majorBidi"/>
          <w:sz w:val="24"/>
          <w:szCs w:val="24"/>
        </w:rPr>
        <w:t>oozing</w:t>
      </w:r>
      <w:r w:rsidRPr="006B3495">
        <w:rPr>
          <w:rFonts w:asciiTheme="majorBidi" w:hAnsiTheme="majorBidi" w:cstheme="majorBidi"/>
          <w:sz w:val="24"/>
          <w:szCs w:val="24"/>
        </w:rPr>
        <w:t xml:space="preserve"> at the catheter insertion site, patient discomfort, and </w:t>
      </w:r>
      <w:r w:rsidR="00C7664C">
        <w:rPr>
          <w:rFonts w:asciiTheme="majorBidi" w:hAnsiTheme="majorBidi" w:cstheme="majorBidi"/>
          <w:sz w:val="24"/>
          <w:szCs w:val="24"/>
        </w:rPr>
        <w:t>n</w:t>
      </w:r>
      <w:r w:rsidRPr="006B3495">
        <w:rPr>
          <w:rFonts w:asciiTheme="majorBidi" w:hAnsiTheme="majorBidi" w:cstheme="majorBidi"/>
          <w:sz w:val="24"/>
          <w:szCs w:val="24"/>
        </w:rPr>
        <w:t xml:space="preserve">umbness. </w:t>
      </w:r>
      <w:r w:rsidR="00D55B3A" w:rsidRPr="006B3495">
        <w:rPr>
          <w:rFonts w:asciiTheme="majorBidi" w:hAnsiTheme="majorBidi" w:cstheme="majorBidi"/>
          <w:sz w:val="24"/>
          <w:szCs w:val="24"/>
          <w:highlight w:val="yellow"/>
        </w:rPr>
        <w:t>However</w:t>
      </w:r>
      <w:r w:rsidRPr="006B3495">
        <w:rPr>
          <w:rFonts w:asciiTheme="majorBidi" w:hAnsiTheme="majorBidi" w:cstheme="majorBidi"/>
          <w:sz w:val="24"/>
          <w:szCs w:val="24"/>
          <w:highlight w:val="yellow"/>
        </w:rPr>
        <w:t>,</w:t>
      </w:r>
      <w:r w:rsidRPr="006B3495">
        <w:rPr>
          <w:rFonts w:asciiTheme="majorBidi" w:hAnsiTheme="majorBidi" w:cstheme="majorBidi"/>
          <w:sz w:val="24"/>
          <w:szCs w:val="24"/>
        </w:rPr>
        <w:t xml:space="preserve"> blood leakage under the skin causes hematomas and possible occurrences of arterial occlusion, soreness, vascular spasms, and infection.</w:t>
      </w:r>
    </w:p>
    <w:p w14:paraId="50E16CA5" w14:textId="7E0FBBE1" w:rsidR="00EC74E8" w:rsidRDefault="00EC74E8" w:rsidP="001D44FC">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The results demonstrated that comparison of the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and TRA groups. The results indicate that access site pain was approximately the same among the two groups. The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the highest statistical significance in complications among the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compared to the TRA group for </w:t>
      </w:r>
      <w:r w:rsidR="00C7664C">
        <w:rPr>
          <w:rFonts w:asciiTheme="majorBidi" w:hAnsiTheme="majorBidi" w:cstheme="majorBidi"/>
          <w:sz w:val="24"/>
          <w:szCs w:val="24"/>
        </w:rPr>
        <w:t>n</w:t>
      </w:r>
      <w:r w:rsidRPr="006B3495">
        <w:rPr>
          <w:rFonts w:asciiTheme="majorBidi" w:hAnsiTheme="majorBidi" w:cstheme="majorBidi"/>
          <w:sz w:val="24"/>
          <w:szCs w:val="24"/>
        </w:rPr>
        <w:t xml:space="preserve">umbness, soreness, arterial occlusion, </w:t>
      </w:r>
      <w:r w:rsidR="00806212" w:rsidRPr="00806212">
        <w:rPr>
          <w:rFonts w:asciiTheme="majorBidi" w:hAnsiTheme="majorBidi" w:cstheme="majorBidi"/>
          <w:sz w:val="24"/>
          <w:szCs w:val="24"/>
        </w:rPr>
        <w:t>arteriovenous fistula</w:t>
      </w:r>
      <w:r w:rsidRPr="006B3495">
        <w:rPr>
          <w:rFonts w:asciiTheme="majorBidi" w:hAnsiTheme="majorBidi" w:cstheme="majorBidi"/>
          <w:sz w:val="24"/>
          <w:szCs w:val="24"/>
        </w:rPr>
        <w:t xml:space="preserve">, compartment syndrome, infection, leg ischemia, and pseudoaneurysm. In contrast, </w:t>
      </w:r>
      <w:r w:rsidR="0007580B" w:rsidRPr="006B3495">
        <w:rPr>
          <w:rFonts w:asciiTheme="majorBidi" w:hAnsiTheme="majorBidi" w:cstheme="majorBidi"/>
          <w:sz w:val="24"/>
          <w:szCs w:val="24"/>
        </w:rPr>
        <w:t>the</w:t>
      </w:r>
      <w:r w:rsidRPr="006B3495">
        <w:rPr>
          <w:rFonts w:asciiTheme="majorBidi" w:hAnsiTheme="majorBidi" w:cstheme="majorBidi"/>
          <w:sz w:val="24"/>
          <w:szCs w:val="24"/>
        </w:rPr>
        <w:t xml:space="preserve"> current </w:t>
      </w:r>
      <w:r w:rsidR="00A27220">
        <w:rPr>
          <w:rFonts w:asciiTheme="majorBidi" w:hAnsiTheme="majorBidi" w:cstheme="majorBidi"/>
          <w:sz w:val="24"/>
          <w:szCs w:val="24"/>
        </w:rPr>
        <w:t>results showed</w:t>
      </w:r>
      <w:r w:rsidR="00D26884" w:rsidRPr="006B3495">
        <w:rPr>
          <w:rFonts w:asciiTheme="majorBidi" w:hAnsiTheme="majorBidi" w:cstheme="majorBidi"/>
          <w:sz w:val="24"/>
          <w:szCs w:val="24"/>
        </w:rPr>
        <w:t xml:space="preserve"> </w:t>
      </w:r>
      <w:r w:rsidRPr="006B3495">
        <w:rPr>
          <w:rFonts w:asciiTheme="majorBidi" w:hAnsiTheme="majorBidi" w:cstheme="majorBidi"/>
          <w:sz w:val="24"/>
          <w:szCs w:val="24"/>
        </w:rPr>
        <w:t>t</w:t>
      </w:r>
      <w:r w:rsidRPr="001D44FC">
        <w:rPr>
          <w:rFonts w:asciiTheme="majorBidi" w:hAnsiTheme="majorBidi" w:cstheme="majorBidi"/>
          <w:color w:val="FF0000"/>
          <w:sz w:val="24"/>
          <w:szCs w:val="24"/>
        </w:rPr>
        <w:t>he significant complications amon</w:t>
      </w:r>
      <w:r w:rsidRPr="006B3495">
        <w:rPr>
          <w:rFonts w:asciiTheme="majorBidi" w:hAnsiTheme="majorBidi" w:cstheme="majorBidi"/>
          <w:sz w:val="24"/>
          <w:szCs w:val="24"/>
        </w:rPr>
        <w:t xml:space="preserve">g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compared to the TRA group for patient discomfort, while no statistically significant difference among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compared to the TRA group regarding access site pain, </w:t>
      </w:r>
      <w:r w:rsidR="00C7664C">
        <w:rPr>
          <w:rFonts w:asciiTheme="majorBidi" w:hAnsiTheme="majorBidi" w:cstheme="majorBidi"/>
          <w:sz w:val="24"/>
          <w:szCs w:val="24"/>
        </w:rPr>
        <w:t>o</w:t>
      </w:r>
      <w:r w:rsidRPr="006B3495">
        <w:rPr>
          <w:rFonts w:asciiTheme="majorBidi" w:hAnsiTheme="majorBidi" w:cstheme="majorBidi"/>
          <w:sz w:val="24"/>
          <w:szCs w:val="24"/>
        </w:rPr>
        <w:t xml:space="preserve">ozing, spasms, bleeding, hematoma, adjacent nerve injury or the need for vascular surgical repair, </w:t>
      </w:r>
      <w:r w:rsidR="00B80E02">
        <w:rPr>
          <w:rFonts w:asciiTheme="majorBidi" w:hAnsiTheme="majorBidi" w:cstheme="majorBidi"/>
          <w:sz w:val="24"/>
          <w:szCs w:val="24"/>
        </w:rPr>
        <w:t>upper l</w:t>
      </w:r>
      <w:r w:rsidRPr="006B3495">
        <w:rPr>
          <w:rFonts w:asciiTheme="majorBidi" w:hAnsiTheme="majorBidi" w:cstheme="majorBidi"/>
          <w:sz w:val="24"/>
          <w:szCs w:val="24"/>
        </w:rPr>
        <w:t xml:space="preserve">imb ischemia and another complication. The current study agrees with </w:t>
      </w:r>
      <w:r w:rsidR="00E721F2" w:rsidRPr="006B3495">
        <w:rPr>
          <w:rFonts w:asciiTheme="majorBidi" w:hAnsiTheme="majorBidi" w:cstheme="majorBidi"/>
          <w:sz w:val="24"/>
          <w:szCs w:val="24"/>
        </w:rPr>
        <w:t xml:space="preserve">Al-Saber </w:t>
      </w:r>
      <w:bookmarkStart w:id="101" w:name="_Hlk199729828"/>
      <w:r w:rsidR="00E721F2" w:rsidRPr="006B3495">
        <w:rPr>
          <w:rFonts w:asciiTheme="majorBidi" w:hAnsiTheme="majorBidi" w:cstheme="majorBidi"/>
          <w:sz w:val="24"/>
          <w:szCs w:val="24"/>
        </w:rPr>
        <w:fldChar w:fldCharType="begin" w:fldLock="1"/>
      </w:r>
      <w:r w:rsidR="009711AF" w:rsidRPr="006B3495">
        <w:rPr>
          <w:rFonts w:asciiTheme="majorBidi" w:hAnsiTheme="majorBidi" w:cstheme="majorBidi"/>
          <w:sz w:val="24"/>
          <w:szCs w:val="24"/>
        </w:rPr>
        <w:instrText>ADDIN CSL_CITATION {"citationItems":[{"id":"ITEM-1","itemData":{"DOI":"10.4236/wjcd.2023.131005","ISSN":"2164-5329","abstract":"Background: Cardiovascular Disease (CVD) is one of the leading chronic diseases in Saudi Arabia (SA) that cause disability and death. CVD predisposition risk varies according to age, gender, education, socioeconomic factors, and place of residency. In addition, CVD risk factors include physical inactivity, sedentary lifestyle, saturated fatty acid high diet, smoking, and stress. Aim: This is a systematic review study that aims to determine the effect of mindful mediation, physical activity, and diet on CVD in SA. Materials and Methods: This is a systematic electronic search method in Google scholar, PubMed, and Medline. Papers collected are papers that have been published since 2015. The search uses the following keywords: (Cardiovascular disease OR physical activity OR Physical inactivity OR meditation OR diet) AND Saudi Arabia. Data were extracted from each study through a narrative summary of each study. Results: Forty papers collected from 2015 to 2022 were included in the narrative study. Physical activity, diet, and mindful meditation are among the factors that can reduce the risk of development of CVD or severity of disease in patients with a CVD. Conclusion: This systematic review emphasized risk factors like physical inactivity, poor diet, and low level of awareness among Saudis and CVD Saudi patients. The findings show the role of physical activity, mindful meditation, and diet in reducing the onset or severity of cardiovascular disease.","author":[{"dropping-particle":"","family":"Al-Saber","given":"Arwa","non-dropping-particle":"","parse-names":false,"suffix":""},{"dropping-particle":"","family":"May","given":"Al-Nabaheen","non-dropping-particle":"","parse-names":false,"suffix":""}],"container-title":"World Journal of Cardiovascular Diseases","id":"ITEM-1","issue":"01","issued":{"date-parts":[["2023"]]},"title":"Effect of Mindful Meditation, Physical Activity, and Diet to Reduce the Risk to Develop or Reduce Severity of Cardiovascular Diseases in Saudi Arabia: A Systematic Review","type":"article-journal","volume":"13"},"uris":["http://www.mendeley.com/documents/?uuid=402fb732-d851-372b-96ed-7b44fcef2817"]}],"mendeley":{"formattedCitation":"(57)","plainTextFormattedCitation":"(57)","previouslyFormattedCitation":"(57)"},"properties":{"noteIndex":0},"schema":"https://github.com/citation-style-language/schema/raw/master/csl-citation.json"}</w:instrText>
      </w:r>
      <w:r w:rsidR="00E721F2" w:rsidRPr="006B3495">
        <w:rPr>
          <w:rFonts w:asciiTheme="majorBidi" w:hAnsiTheme="majorBidi" w:cstheme="majorBidi"/>
          <w:sz w:val="24"/>
          <w:szCs w:val="24"/>
        </w:rPr>
        <w:fldChar w:fldCharType="separate"/>
      </w:r>
      <w:r w:rsidR="009711AF" w:rsidRPr="006B3495">
        <w:rPr>
          <w:rFonts w:asciiTheme="majorBidi" w:hAnsiTheme="majorBidi" w:cstheme="majorBidi"/>
          <w:sz w:val="24"/>
          <w:szCs w:val="24"/>
        </w:rPr>
        <w:t>(57)</w:t>
      </w:r>
      <w:r w:rsidR="00E721F2" w:rsidRPr="006B3495">
        <w:rPr>
          <w:rFonts w:asciiTheme="majorBidi" w:hAnsiTheme="majorBidi" w:cstheme="majorBidi"/>
          <w:sz w:val="24"/>
          <w:szCs w:val="24"/>
        </w:rPr>
        <w:fldChar w:fldCharType="end"/>
      </w:r>
      <w:bookmarkEnd w:id="101"/>
      <w:r w:rsidR="00E721F2" w:rsidRPr="006B3495">
        <w:rPr>
          <w:rFonts w:asciiTheme="majorBidi" w:hAnsiTheme="majorBidi" w:cstheme="majorBidi"/>
          <w:sz w:val="24"/>
          <w:szCs w:val="24"/>
        </w:rPr>
        <w:t xml:space="preserve"> </w:t>
      </w:r>
      <w:r w:rsidRPr="006B3495">
        <w:rPr>
          <w:rFonts w:asciiTheme="majorBidi" w:hAnsiTheme="majorBidi" w:cstheme="majorBidi"/>
          <w:sz w:val="24"/>
          <w:szCs w:val="24"/>
        </w:rPr>
        <w:t xml:space="preserve">who studied </w:t>
      </w:r>
      <w:r w:rsidR="00E721F2" w:rsidRPr="006B3495">
        <w:rPr>
          <w:rFonts w:asciiTheme="majorBidi" w:hAnsiTheme="majorBidi" w:cstheme="majorBidi"/>
          <w:sz w:val="24"/>
          <w:szCs w:val="24"/>
        </w:rPr>
        <w:t>c</w:t>
      </w:r>
      <w:r w:rsidRPr="006B3495">
        <w:rPr>
          <w:rFonts w:asciiTheme="majorBidi" w:hAnsiTheme="majorBidi" w:cstheme="majorBidi"/>
          <w:sz w:val="24"/>
          <w:szCs w:val="24"/>
        </w:rPr>
        <w:t xml:space="preserve">omparative complications between the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and TRA groups and showed similar results.</w:t>
      </w:r>
    </w:p>
    <w:p w14:paraId="3F5036BA" w14:textId="77777777" w:rsidR="00425B15" w:rsidRPr="006B3495" w:rsidRDefault="00425B15" w:rsidP="00425B15">
      <w:pPr>
        <w:pStyle w:val="a"/>
        <w:numPr>
          <w:ilvl w:val="1"/>
          <w:numId w:val="2"/>
        </w:numPr>
      </w:pPr>
      <w:bookmarkStart w:id="102" w:name="_Toc212871539"/>
      <w:r w:rsidRPr="006B3495">
        <w:lastRenderedPageBreak/>
        <w:t>Strength points</w:t>
      </w:r>
      <w:bookmarkEnd w:id="102"/>
    </w:p>
    <w:p w14:paraId="0350625A" w14:textId="77777777" w:rsidR="00425B15" w:rsidRPr="006B3495" w:rsidRDefault="00425B15" w:rsidP="00425B15">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A number of </w:t>
      </w:r>
      <w:bookmarkStart w:id="103" w:name="_Hlk169251643"/>
      <w:r w:rsidRPr="006B3495">
        <w:rPr>
          <w:rFonts w:asciiTheme="majorBidi" w:hAnsiTheme="majorBidi" w:cstheme="majorBidi"/>
          <w:sz w:val="24"/>
          <w:szCs w:val="24"/>
        </w:rPr>
        <w:t xml:space="preserve">strength points </w:t>
      </w:r>
      <w:bookmarkEnd w:id="103"/>
      <w:r w:rsidRPr="006B3495">
        <w:rPr>
          <w:rFonts w:asciiTheme="majorBidi" w:hAnsiTheme="majorBidi" w:cstheme="majorBidi"/>
          <w:sz w:val="24"/>
          <w:szCs w:val="24"/>
        </w:rPr>
        <w:t>could be attributed to this study. The strength points were:</w:t>
      </w:r>
    </w:p>
    <w:p w14:paraId="3DD9D5EF" w14:textId="77777777" w:rsidR="00425B15" w:rsidRPr="006B3495" w:rsidRDefault="00425B15" w:rsidP="00425B15">
      <w:pPr>
        <w:pStyle w:val="ListParagraph"/>
        <w:numPr>
          <w:ilvl w:val="0"/>
          <w:numId w:val="10"/>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This research was the first comparison of the use of TRA and Angio-Seal VIP (TFA WTH VCD) among patients who underwent PCI in Palestine. Little evidence exists on postinterventional complications when TRA and Angio-Seal VIP are used for patients who undergo PCI. The findings of this study could add to the existing literature in the field.</w:t>
      </w:r>
    </w:p>
    <w:p w14:paraId="68F1175A" w14:textId="77777777" w:rsidR="00425B15" w:rsidRPr="006B3495" w:rsidRDefault="00425B15" w:rsidP="00425B15">
      <w:pPr>
        <w:pStyle w:val="ListParagraph"/>
        <w:numPr>
          <w:ilvl w:val="0"/>
          <w:numId w:val="10"/>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Different post</w:t>
      </w:r>
      <w:r>
        <w:rPr>
          <w:rFonts w:asciiTheme="majorBidi" w:hAnsiTheme="majorBidi" w:cstheme="majorBidi"/>
          <w:sz w:val="24"/>
          <w:szCs w:val="24"/>
        </w:rPr>
        <w:t xml:space="preserve"> </w:t>
      </w:r>
      <w:r w:rsidRPr="006B3495">
        <w:rPr>
          <w:rFonts w:asciiTheme="majorBidi" w:hAnsiTheme="majorBidi" w:cstheme="majorBidi"/>
          <w:sz w:val="24"/>
          <w:szCs w:val="24"/>
        </w:rPr>
        <w:t>interventional complications were compared when TRA and Angio-Seal VIP were used. Globally, the findings of this study are informative to clinicians, nurses, and healthcare planners for patients scheduled for PCI.</w:t>
      </w:r>
    </w:p>
    <w:p w14:paraId="0419CD43" w14:textId="77777777" w:rsidR="00425B15" w:rsidRPr="006B3495" w:rsidRDefault="00425B15" w:rsidP="00425B15">
      <w:pPr>
        <w:pStyle w:val="ListParagraph"/>
        <w:numPr>
          <w:ilvl w:val="0"/>
          <w:numId w:val="10"/>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Addresses a significant evidence gap due to the limited data available for the Palestinian population, ensuring that PCI practices are adapted to the specific clinical and demographic features of local patients. The findings will enhance patient safety, optimize resource utilization, and improve clinical outcomes, with broader implications for similar healthcare contexts worldwide.</w:t>
      </w:r>
    </w:p>
    <w:p w14:paraId="6CE43697" w14:textId="77777777" w:rsidR="00425B15" w:rsidRPr="006B3495" w:rsidRDefault="00425B15" w:rsidP="00425B15">
      <w:pPr>
        <w:pStyle w:val="a"/>
        <w:numPr>
          <w:ilvl w:val="1"/>
          <w:numId w:val="2"/>
        </w:numPr>
      </w:pPr>
      <w:bookmarkStart w:id="104" w:name="_Toc212871540"/>
      <w:r w:rsidRPr="006B3495">
        <w:t>Limitations</w:t>
      </w:r>
      <w:bookmarkEnd w:id="104"/>
    </w:p>
    <w:p w14:paraId="0A0F21FD" w14:textId="77777777" w:rsidR="00425B15" w:rsidRPr="006B3495" w:rsidRDefault="00425B15" w:rsidP="00425B15">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The study has a number of limitations. These limitations include:</w:t>
      </w:r>
    </w:p>
    <w:p w14:paraId="0197A661" w14:textId="77777777" w:rsidR="00425B15" w:rsidRPr="006B3495" w:rsidRDefault="00425B15" w:rsidP="00425B15">
      <w:pPr>
        <w:pStyle w:val="ListParagraph"/>
        <w:numPr>
          <w:ilvl w:val="0"/>
          <w:numId w:val="7"/>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Although a commonly used formula, the sample size was relatively small. Using a larger sample size could have generated more reliable data and identified more complications that could be analysed and compared. </w:t>
      </w:r>
    </w:p>
    <w:p w14:paraId="31D684F2" w14:textId="77777777" w:rsidR="00425B15" w:rsidRPr="006B3495" w:rsidRDefault="00425B15" w:rsidP="00425B15">
      <w:pPr>
        <w:pStyle w:val="ListParagraph"/>
        <w:numPr>
          <w:ilvl w:val="0"/>
          <w:numId w:val="7"/>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The study was conducted in only a single center. Compared to multicenter studies, single-center studies might produce less generalizable findings. </w:t>
      </w:r>
    </w:p>
    <w:p w14:paraId="0DB70A1D" w14:textId="77777777" w:rsidR="00425B15" w:rsidRPr="006B3495" w:rsidRDefault="00425B15" w:rsidP="00425B15">
      <w:pPr>
        <w:pStyle w:val="ListParagraph"/>
        <w:numPr>
          <w:ilvl w:val="0"/>
          <w:numId w:val="7"/>
        </w:num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lastRenderedPageBreak/>
        <w:t>In this study, one type of VCDs was used. Comparison of different VCDs could have generated more interesting and informative results.</w:t>
      </w:r>
    </w:p>
    <w:p w14:paraId="7311D1A7" w14:textId="77777777" w:rsidR="00EC74E8" w:rsidRPr="006B3495" w:rsidRDefault="00EC74E8" w:rsidP="00A11B6B">
      <w:pPr>
        <w:pStyle w:val="a"/>
        <w:numPr>
          <w:ilvl w:val="1"/>
          <w:numId w:val="2"/>
        </w:numPr>
      </w:pPr>
      <w:bookmarkStart w:id="105" w:name="_Toc212871541"/>
      <w:r w:rsidRPr="006B3495">
        <w:t>Conclusion</w:t>
      </w:r>
      <w:bookmarkEnd w:id="105"/>
    </w:p>
    <w:p w14:paraId="3EB72497" w14:textId="4CC73D2F" w:rsidR="00274603" w:rsidRPr="006B3495" w:rsidRDefault="00274603" w:rsidP="00A72477">
      <w:pPr>
        <w:spacing w:after="240" w:line="480" w:lineRule="auto"/>
        <w:jc w:val="both"/>
        <w:rPr>
          <w:rFonts w:asciiTheme="majorBidi" w:hAnsiTheme="majorBidi" w:cstheme="majorBidi"/>
          <w:sz w:val="24"/>
          <w:szCs w:val="24"/>
        </w:rPr>
      </w:pPr>
      <w:r w:rsidRPr="006B3495">
        <w:rPr>
          <w:rFonts w:asciiTheme="majorBidi" w:hAnsiTheme="majorBidi" w:cstheme="majorBidi"/>
          <w:sz w:val="24"/>
          <w:szCs w:val="24"/>
        </w:rPr>
        <w:t xml:space="preserve">The results demonstrated that the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group had significantly higher rates of</w:t>
      </w:r>
      <w:r w:rsidR="00A72477">
        <w:rPr>
          <w:rFonts w:asciiTheme="majorBidi" w:hAnsiTheme="majorBidi" w:cstheme="majorBidi"/>
          <w:sz w:val="24"/>
          <w:szCs w:val="24"/>
        </w:rPr>
        <w:t xml:space="preserve"> </w:t>
      </w:r>
      <w:r w:rsidR="00A72477" w:rsidRPr="00A72477">
        <w:rPr>
          <w:rFonts w:asciiTheme="majorBidi" w:hAnsiTheme="majorBidi" w:cstheme="majorBidi"/>
          <w:sz w:val="24"/>
          <w:szCs w:val="24"/>
          <w:highlight w:val="yellow"/>
        </w:rPr>
        <w:t>female</w:t>
      </w:r>
      <w:r w:rsidRPr="006B3495">
        <w:rPr>
          <w:rFonts w:asciiTheme="majorBidi" w:hAnsiTheme="majorBidi" w:cstheme="majorBidi"/>
          <w:sz w:val="24"/>
          <w:szCs w:val="24"/>
        </w:rPr>
        <w:t xml:space="preserve"> </w:t>
      </w:r>
      <w:r w:rsidR="00141B30" w:rsidRPr="006B3495">
        <w:rPr>
          <w:rFonts w:asciiTheme="majorBidi" w:hAnsiTheme="majorBidi" w:cstheme="majorBidi"/>
          <w:sz w:val="24"/>
          <w:szCs w:val="24"/>
        </w:rPr>
        <w:t>gender</w:t>
      </w:r>
      <w:r w:rsidRPr="006B3495">
        <w:rPr>
          <w:rFonts w:asciiTheme="majorBidi" w:hAnsiTheme="majorBidi" w:cstheme="majorBidi"/>
          <w:sz w:val="24"/>
          <w:szCs w:val="24"/>
        </w:rPr>
        <w:t>, MI diagnosis, and smoking compared to the TRA group, while hypertension</w:t>
      </w:r>
      <w:r w:rsidR="00A72477">
        <w:rPr>
          <w:rFonts w:asciiTheme="majorBidi" w:hAnsiTheme="majorBidi" w:cstheme="majorBidi"/>
          <w:sz w:val="24"/>
          <w:szCs w:val="24"/>
        </w:rPr>
        <w:t xml:space="preserve"> and </w:t>
      </w:r>
      <w:r w:rsidR="00A72477" w:rsidRPr="00A72477">
        <w:rPr>
          <w:rFonts w:asciiTheme="majorBidi" w:hAnsiTheme="majorBidi" w:cstheme="majorBidi"/>
          <w:sz w:val="24"/>
          <w:szCs w:val="24"/>
          <w:highlight w:val="yellow"/>
        </w:rPr>
        <w:t>male gender</w:t>
      </w:r>
      <w:r w:rsidR="00A72477">
        <w:rPr>
          <w:rFonts w:asciiTheme="majorBidi" w:hAnsiTheme="majorBidi" w:cstheme="majorBidi"/>
          <w:sz w:val="24"/>
          <w:szCs w:val="24"/>
        </w:rPr>
        <w:t xml:space="preserve"> </w:t>
      </w:r>
      <w:r w:rsidRPr="006B3495">
        <w:rPr>
          <w:rFonts w:asciiTheme="majorBidi" w:hAnsiTheme="majorBidi" w:cstheme="majorBidi"/>
          <w:sz w:val="24"/>
          <w:szCs w:val="24"/>
        </w:rPr>
        <w:t xml:space="preserve">was more prevalent in the TRA group. No significant differences were observed between the groups in terms of age, employment status, dyslipidemia, family history of CAD, diabetes, previous CABG or PCI, or the use of GPI and IABP. The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group also had significantly longer times to ambulation and hospital discharge, but shorter time to hemostasis. D</w:t>
      </w:r>
      <w:r w:rsidR="000D3326">
        <w:rPr>
          <w:rFonts w:asciiTheme="majorBidi" w:hAnsiTheme="majorBidi" w:cstheme="majorBidi"/>
          <w:sz w:val="24"/>
          <w:szCs w:val="24"/>
        </w:rPr>
        <w:t>BP</w:t>
      </w:r>
      <w:r w:rsidRPr="006B3495">
        <w:rPr>
          <w:rFonts w:asciiTheme="majorBidi" w:hAnsiTheme="majorBidi" w:cstheme="majorBidi"/>
          <w:sz w:val="24"/>
          <w:szCs w:val="24"/>
        </w:rPr>
        <w:t xml:space="preserve"> was higher in this group, whereas heart rate, </w:t>
      </w:r>
      <w:r w:rsidR="000D3326">
        <w:rPr>
          <w:rFonts w:asciiTheme="majorBidi" w:hAnsiTheme="majorBidi" w:cstheme="majorBidi"/>
          <w:sz w:val="24"/>
          <w:szCs w:val="24"/>
        </w:rPr>
        <w:t>S</w:t>
      </w:r>
      <w:r w:rsidRPr="006B3495">
        <w:rPr>
          <w:rFonts w:asciiTheme="majorBidi" w:hAnsiTheme="majorBidi" w:cstheme="majorBidi"/>
          <w:sz w:val="24"/>
          <w:szCs w:val="24"/>
        </w:rPr>
        <w:t xml:space="preserve">BP, and eGFR did not differ significantly. Additionally, the TFA with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t xml:space="preserve">group showed significantly higher rates of complications such as numbness, soreness, arterial occlusion, arteriovenous fistula, compartment syndrome, infection, leg ischemia, and pseudoaneurysm, though they reported less overall discomfort. Other access site complications, including site pain, oozing, spasms, hematoma, nerve injury, vascular surgical repair, and </w:t>
      </w:r>
      <w:r w:rsidR="00B80E02">
        <w:rPr>
          <w:rFonts w:asciiTheme="majorBidi" w:hAnsiTheme="majorBidi" w:cstheme="majorBidi"/>
          <w:sz w:val="24"/>
          <w:szCs w:val="24"/>
        </w:rPr>
        <w:t xml:space="preserve">upper </w:t>
      </w:r>
      <w:r w:rsidRPr="006B3495">
        <w:rPr>
          <w:rFonts w:asciiTheme="majorBidi" w:hAnsiTheme="majorBidi" w:cstheme="majorBidi"/>
          <w:sz w:val="24"/>
          <w:szCs w:val="24"/>
        </w:rPr>
        <w:t>limb ischemia, showed no significant differences between the two groups.</w:t>
      </w:r>
    </w:p>
    <w:p w14:paraId="75D83086" w14:textId="77777777" w:rsidR="00EC74E8" w:rsidRPr="006B3495" w:rsidRDefault="00EC74E8" w:rsidP="00A11B6B">
      <w:pPr>
        <w:pStyle w:val="a"/>
        <w:numPr>
          <w:ilvl w:val="1"/>
          <w:numId w:val="2"/>
        </w:numPr>
      </w:pPr>
      <w:bookmarkStart w:id="106" w:name="_Toc212871542"/>
      <w:r w:rsidRPr="006B3495">
        <w:t>Recommendations</w:t>
      </w:r>
      <w:bookmarkEnd w:id="106"/>
    </w:p>
    <w:p w14:paraId="1AA4E35E" w14:textId="14E05B4C" w:rsidR="003F5821" w:rsidRPr="006B3495" w:rsidRDefault="00EC74E8" w:rsidP="003F5821">
      <w:pPr>
        <w:spacing w:after="240" w:line="480" w:lineRule="auto"/>
        <w:jc w:val="both"/>
        <w:rPr>
          <w:rFonts w:asciiTheme="majorBidi" w:hAnsiTheme="majorBidi" w:cstheme="majorBidi"/>
          <w:sz w:val="24"/>
          <w:szCs w:val="24"/>
        </w:rPr>
      </w:pPr>
      <w:bookmarkStart w:id="107" w:name="_Hlk103247033"/>
      <w:r w:rsidRPr="006B3495">
        <w:rPr>
          <w:rFonts w:asciiTheme="majorBidi" w:hAnsiTheme="majorBidi" w:cstheme="majorBidi"/>
          <w:sz w:val="24"/>
          <w:szCs w:val="24"/>
        </w:rPr>
        <w:t xml:space="preserve">The patients' monitoring of symptoms must be rapid, and all complications, such as pain, </w:t>
      </w:r>
      <w:r w:rsidR="000304C8">
        <w:rPr>
          <w:rFonts w:asciiTheme="majorBidi" w:hAnsiTheme="majorBidi" w:cstheme="majorBidi"/>
          <w:sz w:val="24"/>
          <w:szCs w:val="24"/>
        </w:rPr>
        <w:t>n</w:t>
      </w:r>
      <w:r w:rsidRPr="006B3495">
        <w:rPr>
          <w:rFonts w:asciiTheme="majorBidi" w:hAnsiTheme="majorBidi" w:cstheme="majorBidi"/>
          <w:sz w:val="24"/>
          <w:szCs w:val="24"/>
        </w:rPr>
        <w:t xml:space="preserve">umbness, or discomfort, must be reported to doctors as soon as possible. Following guideline instructions to lower complications, several recommendations can be made for policymakers. First, they should enhance training programs for the medical team in the CCU department to ensure all staff are skilled in both TFA and TRA techniques. Second, they should improve the team's skills in patient data collection and analysis from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 xml:space="preserve">D </w:t>
      </w:r>
      <w:r w:rsidRPr="006B3495">
        <w:rPr>
          <w:rFonts w:asciiTheme="majorBidi" w:hAnsiTheme="majorBidi" w:cstheme="majorBidi"/>
          <w:sz w:val="24"/>
          <w:szCs w:val="24"/>
        </w:rPr>
        <w:lastRenderedPageBreak/>
        <w:t>procedures. These improvements will help continually enhance patient outcomes and support future research, such as longitudinal studies investigating the long-term outcomes and complications of TFA and TRA in CVD patients. Also, explore novel techniques and devices that lower complications and enhance recovery times and prognosis.</w:t>
      </w:r>
      <w:bookmarkEnd w:id="107"/>
    </w:p>
    <w:p w14:paraId="2BB3A65C" w14:textId="77777777" w:rsidR="00A54DF6" w:rsidRPr="006B3495" w:rsidRDefault="00A54DF6">
      <w:pPr>
        <w:rPr>
          <w:rFonts w:asciiTheme="majorBidi" w:eastAsia="Times New Roman" w:hAnsiTheme="majorBidi" w:cstheme="majorBidi"/>
          <w:b/>
          <w:bCs/>
          <w:sz w:val="28"/>
          <w:szCs w:val="28"/>
        </w:rPr>
      </w:pPr>
      <w:r w:rsidRPr="006B3495">
        <w:rPr>
          <w:rFonts w:asciiTheme="majorBidi" w:eastAsia="Times New Roman" w:hAnsiTheme="majorBidi" w:cstheme="majorBidi"/>
          <w:b/>
          <w:bCs/>
          <w:sz w:val="28"/>
          <w:szCs w:val="28"/>
        </w:rPr>
        <w:br w:type="page"/>
      </w:r>
    </w:p>
    <w:p w14:paraId="748793FB" w14:textId="5C184FA0" w:rsidR="008B0B53" w:rsidRPr="006B3495" w:rsidRDefault="008B0B53" w:rsidP="003F5821">
      <w:pPr>
        <w:spacing w:after="240" w:line="480" w:lineRule="auto"/>
        <w:jc w:val="both"/>
        <w:rPr>
          <w:rFonts w:asciiTheme="majorBidi" w:hAnsiTheme="majorBidi" w:cstheme="majorBidi"/>
          <w:sz w:val="24"/>
          <w:szCs w:val="24"/>
        </w:rPr>
      </w:pPr>
      <w:r w:rsidRPr="006B3495">
        <w:rPr>
          <w:rFonts w:asciiTheme="majorBidi" w:eastAsia="Times New Roman" w:hAnsiTheme="majorBidi" w:cstheme="majorBidi"/>
          <w:b/>
          <w:bCs/>
          <w:sz w:val="28"/>
          <w:szCs w:val="28"/>
        </w:rPr>
        <w:lastRenderedPageBreak/>
        <w:t>References</w:t>
      </w:r>
    </w:p>
    <w:p w14:paraId="423348E3"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1. </w:t>
      </w:r>
      <w:r w:rsidRPr="00932445">
        <w:rPr>
          <w:rFonts w:asciiTheme="majorBidi" w:hAnsiTheme="majorBidi" w:cstheme="majorBidi"/>
          <w:sz w:val="24"/>
          <w:szCs w:val="24"/>
        </w:rPr>
        <w:tab/>
        <w:t>WHO. Cardiovascular diseases [Internet]. The World Health Organization. 2019. Available from: https://www.who.int/health-topics/cardiovascular-diseases#tab=tab_1</w:t>
      </w:r>
    </w:p>
    <w:p w14:paraId="448013A4"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2. </w:t>
      </w:r>
      <w:r w:rsidRPr="00932445">
        <w:rPr>
          <w:rFonts w:asciiTheme="majorBidi" w:hAnsiTheme="majorBidi" w:cstheme="majorBidi"/>
          <w:sz w:val="24"/>
          <w:szCs w:val="24"/>
        </w:rPr>
        <w:tab/>
        <w:t>Bertrand OF, Bélisle P, Joyal D, Costerousse O, Rao S V., Jolly SS, et al. Comparison of transradial and femoral approaches for percutaneous coronary interventions: A systematic review and hierarchical Bayesian meta-analysis. Am Heart J. 2012;163(4):</w:t>
      </w:r>
      <w:r w:rsidRPr="00932445">
        <w:rPr>
          <w:rFonts w:asciiTheme="majorBidi" w:hAnsiTheme="majorBidi" w:cstheme="majorBidi"/>
          <w:sz w:val="24"/>
          <w:szCs w:val="24"/>
          <w:highlight w:val="yellow"/>
        </w:rPr>
        <w:t>632–48.</w:t>
      </w:r>
      <w:r w:rsidRPr="00932445">
        <w:rPr>
          <w:rFonts w:asciiTheme="majorBidi" w:hAnsiTheme="majorBidi" w:cstheme="majorBidi"/>
          <w:sz w:val="24"/>
          <w:szCs w:val="24"/>
        </w:rPr>
        <w:t xml:space="preserve"> </w:t>
      </w:r>
    </w:p>
    <w:p w14:paraId="007E58FE"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3. </w:t>
      </w:r>
      <w:r w:rsidRPr="00932445">
        <w:rPr>
          <w:rFonts w:asciiTheme="majorBidi" w:hAnsiTheme="majorBidi" w:cstheme="majorBidi"/>
          <w:sz w:val="24"/>
          <w:szCs w:val="24"/>
        </w:rPr>
        <w:tab/>
        <w:t>Jolly SS, Yusuf S, Cairns J, Niemelä K, Xavier D, Widimsky P, et al. Radial versus femoral access for coronary angiography and intervention in patients with acute coronary syndromes (RIVAL): A randomised, parallel group, multicentre trial. Lancet. 2011;377(9775)</w:t>
      </w:r>
      <w:r w:rsidRPr="00932445">
        <w:rPr>
          <w:rFonts w:asciiTheme="majorBidi" w:hAnsiTheme="majorBidi" w:cstheme="majorBidi"/>
          <w:sz w:val="24"/>
          <w:szCs w:val="24"/>
          <w:highlight w:val="yellow"/>
        </w:rPr>
        <w:t>:1409-20.</w:t>
      </w:r>
      <w:r w:rsidRPr="00932445">
        <w:rPr>
          <w:rFonts w:asciiTheme="majorBidi" w:hAnsiTheme="majorBidi" w:cstheme="majorBidi"/>
          <w:sz w:val="24"/>
          <w:szCs w:val="24"/>
        </w:rPr>
        <w:t xml:space="preserve"> </w:t>
      </w:r>
    </w:p>
    <w:p w14:paraId="0A28B6A8"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4. </w:t>
      </w:r>
      <w:r w:rsidRPr="00932445">
        <w:rPr>
          <w:rFonts w:asciiTheme="majorBidi" w:hAnsiTheme="majorBidi" w:cstheme="majorBidi"/>
          <w:sz w:val="24"/>
          <w:szCs w:val="24"/>
        </w:rPr>
        <w:tab/>
        <w:t>Jolly SS, Amlani S, Hamon M, Yusuf S, Mehta SR. Radial versus femoral access for coronary angiography or intervention and the impact on major bleeding and ischemic events: A systematic review and meta-analysis of randomised trials. Am Heart J. 2009;157(1)</w:t>
      </w:r>
      <w:r w:rsidRPr="00932445">
        <w:rPr>
          <w:rFonts w:asciiTheme="majorBidi" w:hAnsiTheme="majorBidi" w:cstheme="majorBidi"/>
          <w:sz w:val="24"/>
          <w:szCs w:val="24"/>
          <w:highlight w:val="yellow"/>
        </w:rPr>
        <w:t>: 132-40.</w:t>
      </w:r>
      <w:r w:rsidRPr="00932445">
        <w:rPr>
          <w:rFonts w:asciiTheme="majorBidi" w:hAnsiTheme="majorBidi" w:cstheme="majorBidi"/>
          <w:sz w:val="24"/>
          <w:szCs w:val="24"/>
        </w:rPr>
        <w:t xml:space="preserve"> </w:t>
      </w:r>
    </w:p>
    <w:p w14:paraId="56F40F37"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5. </w:t>
      </w:r>
      <w:r w:rsidRPr="00932445">
        <w:rPr>
          <w:rFonts w:asciiTheme="majorBidi" w:hAnsiTheme="majorBidi" w:cstheme="majorBidi"/>
          <w:sz w:val="24"/>
          <w:szCs w:val="24"/>
        </w:rPr>
        <w:tab/>
        <w:t xml:space="preserve">Kiemeneij F, Laarman GJ, Odekerken D, Slagboom T, Van Der Wieken R. A randomised comparison of percutaneous transluminal coronary angioplasty by the radial, brachial and femoral approaches: The access study. J Am Coll Cardiol. 1997;29(6): </w:t>
      </w:r>
      <w:r w:rsidRPr="00932445">
        <w:rPr>
          <w:rFonts w:asciiTheme="majorBidi" w:hAnsiTheme="majorBidi" w:cstheme="majorBidi"/>
          <w:sz w:val="24"/>
          <w:szCs w:val="24"/>
          <w:highlight w:val="yellow"/>
        </w:rPr>
        <w:t>1269-1275.</w:t>
      </w:r>
      <w:r w:rsidRPr="00932445">
        <w:rPr>
          <w:rFonts w:asciiTheme="majorBidi" w:hAnsiTheme="majorBidi" w:cstheme="majorBidi"/>
          <w:sz w:val="24"/>
          <w:szCs w:val="24"/>
        </w:rPr>
        <w:t xml:space="preserve"> </w:t>
      </w:r>
    </w:p>
    <w:p w14:paraId="6BF8A18F"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6. </w:t>
      </w:r>
      <w:r w:rsidRPr="00932445">
        <w:rPr>
          <w:rFonts w:asciiTheme="majorBidi" w:hAnsiTheme="majorBidi" w:cstheme="majorBidi"/>
          <w:sz w:val="24"/>
          <w:szCs w:val="24"/>
        </w:rPr>
        <w:tab/>
        <w:t xml:space="preserve">Behnes M, Ünsal M, Hoffmann U, Fastner C, El-Battrawy I, Lang S, et al. Design and rationale of the femoral closure versus radial compression devices related to percutaneous coronary interventions (FERARI) study. Clin Med Insights Cardiol. 2015;9 (1179-5468): </w:t>
      </w:r>
      <w:r w:rsidRPr="00932445">
        <w:rPr>
          <w:rFonts w:asciiTheme="majorBidi" w:hAnsiTheme="majorBidi" w:cstheme="majorBidi"/>
          <w:sz w:val="24"/>
          <w:szCs w:val="24"/>
          <w:highlight w:val="yellow"/>
        </w:rPr>
        <w:t>97-103.</w:t>
      </w:r>
      <w:r w:rsidRPr="00932445">
        <w:rPr>
          <w:rFonts w:asciiTheme="majorBidi" w:hAnsiTheme="majorBidi" w:cstheme="majorBidi"/>
          <w:sz w:val="24"/>
          <w:szCs w:val="24"/>
        </w:rPr>
        <w:t xml:space="preserve"> </w:t>
      </w:r>
    </w:p>
    <w:p w14:paraId="3C5AD4C0"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lang w:val="sv-SE"/>
        </w:rPr>
        <w:t xml:space="preserve">7. </w:t>
      </w:r>
      <w:r w:rsidRPr="00932445">
        <w:rPr>
          <w:rFonts w:asciiTheme="majorBidi" w:hAnsiTheme="majorBidi" w:cstheme="majorBidi"/>
          <w:sz w:val="24"/>
          <w:szCs w:val="24"/>
          <w:lang w:val="sv-SE"/>
        </w:rPr>
        <w:tab/>
        <w:t xml:space="preserve">Kuipers G, Delewi R, Velders XL, Vis MM, Van Der Schaaf RJ, Koch KT, et al. </w:t>
      </w:r>
      <w:r w:rsidRPr="00932445">
        <w:rPr>
          <w:rFonts w:asciiTheme="majorBidi" w:hAnsiTheme="majorBidi" w:cstheme="majorBidi"/>
          <w:sz w:val="24"/>
          <w:szCs w:val="24"/>
        </w:rPr>
        <w:t>Radiation exposure during percutaneous coronary interventions and coronary angiograms performed by the radial compared with the femoral route. JACC Cardiovasc Interv. 2012;5(7)</w:t>
      </w:r>
      <w:r w:rsidRPr="00932445">
        <w:rPr>
          <w:rFonts w:asciiTheme="majorBidi" w:hAnsiTheme="majorBidi" w:cstheme="majorBidi"/>
          <w:sz w:val="24"/>
          <w:szCs w:val="24"/>
          <w:highlight w:val="yellow"/>
        </w:rPr>
        <w:t>:752-7.</w:t>
      </w:r>
      <w:r w:rsidRPr="00932445">
        <w:rPr>
          <w:rFonts w:asciiTheme="majorBidi" w:hAnsiTheme="majorBidi" w:cstheme="majorBidi"/>
          <w:sz w:val="24"/>
          <w:szCs w:val="24"/>
        </w:rPr>
        <w:t xml:space="preserve"> </w:t>
      </w:r>
    </w:p>
    <w:p w14:paraId="03A08F83"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8. </w:t>
      </w:r>
      <w:r w:rsidRPr="00932445">
        <w:rPr>
          <w:rFonts w:asciiTheme="majorBidi" w:hAnsiTheme="majorBidi" w:cstheme="majorBidi"/>
          <w:sz w:val="24"/>
          <w:szCs w:val="24"/>
        </w:rPr>
        <w:tab/>
        <w:t xml:space="preserve">Agostoni P, Biondi-Zoccai GGL, De Benedictis ML, Rigattieri S, Turri M, Anselmi M, et al. Radial versus femoral approach for percutaneous coronary </w:t>
      </w:r>
      <w:r w:rsidRPr="00932445">
        <w:rPr>
          <w:rFonts w:asciiTheme="majorBidi" w:hAnsiTheme="majorBidi" w:cstheme="majorBidi"/>
          <w:sz w:val="24"/>
          <w:szCs w:val="24"/>
        </w:rPr>
        <w:lastRenderedPageBreak/>
        <w:t>diagnostic and interventional procedures: Systematic overview and meta-analysis of randomised trials. J Am Coll Cardiol. 2004;44(2)</w:t>
      </w:r>
      <w:r w:rsidRPr="00932445">
        <w:rPr>
          <w:rFonts w:asciiTheme="majorBidi" w:hAnsiTheme="majorBidi" w:cstheme="majorBidi"/>
          <w:sz w:val="24"/>
          <w:szCs w:val="24"/>
          <w:highlight w:val="yellow"/>
        </w:rPr>
        <w:t>:349-56.</w:t>
      </w:r>
      <w:r w:rsidRPr="00932445">
        <w:rPr>
          <w:rFonts w:asciiTheme="majorBidi" w:hAnsiTheme="majorBidi" w:cstheme="majorBidi"/>
          <w:sz w:val="24"/>
          <w:szCs w:val="24"/>
        </w:rPr>
        <w:t xml:space="preserve"> </w:t>
      </w:r>
    </w:p>
    <w:p w14:paraId="41AE4C30"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9. </w:t>
      </w:r>
      <w:r w:rsidRPr="00932445">
        <w:rPr>
          <w:rFonts w:asciiTheme="majorBidi" w:hAnsiTheme="majorBidi" w:cstheme="majorBidi"/>
          <w:sz w:val="24"/>
          <w:szCs w:val="24"/>
        </w:rPr>
        <w:tab/>
        <w:t xml:space="preserve">Rao S V., Bernat I, Bertrand OF. Remaining challenges and opportunities for improvement in percutaneous transradial coronary procedures. </w:t>
      </w:r>
      <w:r w:rsidRPr="00932445">
        <w:rPr>
          <w:rFonts w:asciiTheme="majorBidi" w:hAnsiTheme="majorBidi" w:cstheme="majorBidi"/>
          <w:sz w:val="24"/>
          <w:szCs w:val="24"/>
          <w:highlight w:val="yellow"/>
        </w:rPr>
        <w:t>European Heart Journal. 2012; 33(20):</w:t>
      </w:r>
      <w:r w:rsidRPr="00932445">
        <w:rPr>
          <w:rFonts w:asciiTheme="majorBidi" w:hAnsiTheme="majorBidi" w:cstheme="majorBidi"/>
          <w:color w:val="2A2A2A"/>
          <w:sz w:val="26"/>
          <w:szCs w:val="26"/>
          <w:highlight w:val="yellow"/>
          <w:shd w:val="clear" w:color="auto" w:fill="FFFFFF"/>
        </w:rPr>
        <w:t xml:space="preserve"> </w:t>
      </w:r>
      <w:r w:rsidRPr="00932445">
        <w:rPr>
          <w:rFonts w:asciiTheme="majorBidi" w:hAnsiTheme="majorBidi" w:cstheme="majorBidi"/>
          <w:sz w:val="24"/>
          <w:szCs w:val="24"/>
          <w:highlight w:val="yellow"/>
        </w:rPr>
        <w:t>2521–2526.</w:t>
      </w:r>
      <w:r w:rsidRPr="00932445">
        <w:rPr>
          <w:rFonts w:asciiTheme="majorBidi" w:hAnsiTheme="majorBidi" w:cstheme="majorBidi"/>
          <w:sz w:val="24"/>
          <w:szCs w:val="24"/>
        </w:rPr>
        <w:t xml:space="preserve"> </w:t>
      </w:r>
    </w:p>
    <w:p w14:paraId="56AD9EBC"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10. </w:t>
      </w:r>
      <w:r w:rsidRPr="00932445">
        <w:rPr>
          <w:rFonts w:asciiTheme="majorBidi" w:hAnsiTheme="majorBidi" w:cstheme="majorBidi"/>
          <w:sz w:val="24"/>
          <w:szCs w:val="24"/>
        </w:rPr>
        <w:tab/>
        <w:t xml:space="preserve">Schwartz BG, Burstein S, Economides C, Kloner RA, Shavelle DM, Mayeda GS. Review of vascular closure devices. </w:t>
      </w:r>
      <w:r w:rsidRPr="00932445">
        <w:rPr>
          <w:rFonts w:asciiTheme="majorBidi" w:hAnsiTheme="majorBidi" w:cstheme="majorBidi"/>
          <w:sz w:val="24"/>
          <w:szCs w:val="24"/>
          <w:highlight w:val="yellow"/>
        </w:rPr>
        <w:t>Journal of Invasive Cardiology. 2011;22(12):</w:t>
      </w:r>
      <w:r w:rsidRPr="00932445">
        <w:rPr>
          <w:rFonts w:asciiTheme="majorBidi" w:hAnsiTheme="majorBidi" w:cstheme="majorBidi"/>
          <w:color w:val="494949"/>
          <w:sz w:val="21"/>
          <w:szCs w:val="21"/>
          <w:highlight w:val="yellow"/>
          <w:shd w:val="clear" w:color="auto" w:fill="FFFFFF"/>
        </w:rPr>
        <w:t xml:space="preserve"> </w:t>
      </w:r>
      <w:r w:rsidRPr="00932445">
        <w:rPr>
          <w:rFonts w:asciiTheme="majorBidi" w:hAnsiTheme="majorBidi" w:cstheme="majorBidi"/>
          <w:sz w:val="24"/>
          <w:szCs w:val="24"/>
          <w:highlight w:val="yellow"/>
        </w:rPr>
        <w:t>599-607.</w:t>
      </w:r>
      <w:r w:rsidRPr="00932445">
        <w:rPr>
          <w:rFonts w:asciiTheme="majorBidi" w:hAnsiTheme="majorBidi" w:cstheme="majorBidi"/>
          <w:sz w:val="24"/>
          <w:szCs w:val="24"/>
        </w:rPr>
        <w:t xml:space="preserve"> </w:t>
      </w:r>
    </w:p>
    <w:p w14:paraId="5DAF6F35"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11. </w:t>
      </w:r>
      <w:r w:rsidRPr="00932445">
        <w:rPr>
          <w:rFonts w:asciiTheme="majorBidi" w:hAnsiTheme="majorBidi" w:cstheme="majorBidi"/>
          <w:sz w:val="24"/>
          <w:szCs w:val="24"/>
        </w:rPr>
        <w:tab/>
        <w:t xml:space="preserve">Neto SA, de Freitas JO, Berti SL, Costa JR, </w:t>
      </w:r>
      <w:proofErr w:type="spellStart"/>
      <w:r w:rsidRPr="00932445">
        <w:rPr>
          <w:rFonts w:asciiTheme="majorBidi" w:hAnsiTheme="majorBidi" w:cstheme="majorBidi"/>
          <w:sz w:val="24"/>
          <w:szCs w:val="24"/>
        </w:rPr>
        <w:t>Zbeid</w:t>
      </w:r>
      <w:proofErr w:type="spellEnd"/>
      <w:r w:rsidRPr="00932445">
        <w:rPr>
          <w:rFonts w:asciiTheme="majorBidi" w:hAnsiTheme="majorBidi" w:cstheme="majorBidi"/>
          <w:sz w:val="24"/>
          <w:szCs w:val="24"/>
        </w:rPr>
        <w:t xml:space="preserve"> JAL. Comparison of conventional compressive dressings vs. wristband devices after catheterization by radial approach. Rev Bras Cardiol Invasiva (English Ed. 2015;23(4):</w:t>
      </w:r>
      <w:r w:rsidRPr="00932445">
        <w:rPr>
          <w:rFonts w:asciiTheme="majorBidi" w:hAnsiTheme="majorBidi" w:cstheme="majorBidi"/>
          <w:sz w:val="24"/>
          <w:szCs w:val="24"/>
          <w:highlight w:val="yellow"/>
        </w:rPr>
        <w:t>271-275.</w:t>
      </w:r>
    </w:p>
    <w:p w14:paraId="2E4A2716"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12. </w:t>
      </w:r>
      <w:r w:rsidRPr="00932445">
        <w:rPr>
          <w:rFonts w:asciiTheme="majorBidi" w:hAnsiTheme="majorBidi" w:cstheme="majorBidi"/>
          <w:sz w:val="24"/>
          <w:szCs w:val="24"/>
        </w:rPr>
        <w:tab/>
        <w:t>The Cardiology Advisor. Vascular Closure Devices. [Internet]. The Cardiology Advisor Website. 2019 [cited 2021 Dec 5]. Available from: https://www.thecardiologyadvisor.com/home/decision-support-in-medicine/cardiology/vascular-closure-devices/</w:t>
      </w:r>
    </w:p>
    <w:p w14:paraId="6DCA40DE"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13. </w:t>
      </w:r>
      <w:r w:rsidRPr="00932445">
        <w:rPr>
          <w:rFonts w:asciiTheme="majorBidi" w:hAnsiTheme="majorBidi" w:cstheme="majorBidi"/>
          <w:sz w:val="24"/>
          <w:szCs w:val="24"/>
        </w:rPr>
        <w:tab/>
        <w:t>Nardin M, Verdoia M, Barbieri L, Schaffer A, Suryapranata H, De Luca G. Radial vs Femoral Approach in Acute Coronary Syndromes: A Meta- Analysis of Randomised Trials. Curr Vasc Pharmacol. 2017;16(1):</w:t>
      </w:r>
      <w:r w:rsidRPr="00932445">
        <w:rPr>
          <w:rFonts w:asciiTheme="majorBidi" w:hAnsiTheme="majorBidi" w:cstheme="majorBidi"/>
          <w:sz w:val="24"/>
          <w:szCs w:val="24"/>
          <w:highlight w:val="yellow"/>
        </w:rPr>
        <w:t>79-92.</w:t>
      </w:r>
      <w:r w:rsidRPr="00932445">
        <w:rPr>
          <w:rFonts w:asciiTheme="majorBidi" w:hAnsiTheme="majorBidi" w:cstheme="majorBidi"/>
          <w:sz w:val="24"/>
          <w:szCs w:val="24"/>
        </w:rPr>
        <w:t xml:space="preserve"> </w:t>
      </w:r>
    </w:p>
    <w:p w14:paraId="0327889A"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14. </w:t>
      </w:r>
      <w:r w:rsidRPr="00932445">
        <w:rPr>
          <w:rFonts w:asciiTheme="majorBidi" w:hAnsiTheme="majorBidi" w:cstheme="majorBidi"/>
          <w:sz w:val="24"/>
          <w:szCs w:val="24"/>
        </w:rPr>
        <w:tab/>
        <w:t>Téblick A, Vanderbruggen W, Vandendriessche T, Bosmans J, Haine SEF, Miljoen H, et al. Comparison of radial access versus femoral access with the use of a vascular closure device for the prevention of vascular complications and mortality after percutaneous coronary intervention. Acta Cardiol. 2018;73(3):</w:t>
      </w:r>
      <w:r w:rsidRPr="00932445">
        <w:rPr>
          <w:rFonts w:asciiTheme="majorBidi" w:hAnsiTheme="majorBidi" w:cstheme="majorBidi"/>
          <w:sz w:val="24"/>
          <w:szCs w:val="24"/>
          <w:highlight w:val="yellow"/>
        </w:rPr>
        <w:t>241-247.</w:t>
      </w:r>
      <w:r w:rsidRPr="00932445">
        <w:rPr>
          <w:rFonts w:asciiTheme="majorBidi" w:hAnsiTheme="majorBidi" w:cstheme="majorBidi"/>
          <w:sz w:val="24"/>
          <w:szCs w:val="24"/>
        </w:rPr>
        <w:t xml:space="preserve"> </w:t>
      </w:r>
    </w:p>
    <w:p w14:paraId="1EB02A7A"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15. </w:t>
      </w:r>
      <w:r w:rsidRPr="00932445">
        <w:rPr>
          <w:rFonts w:asciiTheme="majorBidi" w:hAnsiTheme="majorBidi" w:cstheme="majorBidi"/>
          <w:sz w:val="24"/>
          <w:szCs w:val="24"/>
        </w:rPr>
        <w:tab/>
        <w:t xml:space="preserve">Pasala TKR, Turi ZG. Revisiting Femoral vs. Radial access—do vascular closure devices level the playing </w:t>
      </w:r>
      <w:proofErr w:type="gramStart"/>
      <w:r w:rsidRPr="00932445">
        <w:rPr>
          <w:rFonts w:asciiTheme="majorBidi" w:hAnsiTheme="majorBidi" w:cstheme="majorBidi"/>
          <w:sz w:val="24"/>
          <w:szCs w:val="24"/>
        </w:rPr>
        <w:t>field?.</w:t>
      </w:r>
      <w:proofErr w:type="gramEnd"/>
      <w:r w:rsidRPr="00932445">
        <w:rPr>
          <w:rFonts w:asciiTheme="majorBidi" w:hAnsiTheme="majorBidi" w:cstheme="majorBidi"/>
          <w:sz w:val="24"/>
          <w:szCs w:val="24"/>
        </w:rPr>
        <w:t xml:space="preserve"> </w:t>
      </w:r>
      <w:r w:rsidRPr="00932445">
        <w:rPr>
          <w:rFonts w:asciiTheme="majorBidi" w:hAnsiTheme="majorBidi" w:cstheme="majorBidi"/>
          <w:sz w:val="24"/>
          <w:szCs w:val="24"/>
          <w:highlight w:val="yellow"/>
        </w:rPr>
        <w:t>Catheterization and Cardiovascular Interventions.  2017;89(6):</w:t>
      </w:r>
      <w:r w:rsidRPr="00932445">
        <w:rPr>
          <w:rFonts w:asciiTheme="majorBidi" w:hAnsiTheme="majorBidi" w:cstheme="majorBidi"/>
          <w:color w:val="5B616B"/>
          <w:highlight w:val="yellow"/>
          <w:shd w:val="clear" w:color="auto" w:fill="FFFFFF"/>
        </w:rPr>
        <w:t xml:space="preserve"> </w:t>
      </w:r>
      <w:r w:rsidRPr="00932445">
        <w:rPr>
          <w:rFonts w:asciiTheme="majorBidi" w:hAnsiTheme="majorBidi" w:cstheme="majorBidi"/>
          <w:sz w:val="24"/>
          <w:szCs w:val="24"/>
          <w:highlight w:val="yellow"/>
        </w:rPr>
        <w:t>982-983.</w:t>
      </w:r>
      <w:r w:rsidRPr="00932445">
        <w:rPr>
          <w:rFonts w:asciiTheme="majorBidi" w:hAnsiTheme="majorBidi" w:cstheme="majorBidi"/>
          <w:sz w:val="24"/>
          <w:szCs w:val="24"/>
        </w:rPr>
        <w:t xml:space="preserve"> </w:t>
      </w:r>
    </w:p>
    <w:p w14:paraId="675A5C71"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16. </w:t>
      </w:r>
      <w:r w:rsidRPr="00932445">
        <w:rPr>
          <w:rFonts w:asciiTheme="majorBidi" w:hAnsiTheme="majorBidi" w:cstheme="majorBidi"/>
          <w:sz w:val="24"/>
          <w:szCs w:val="24"/>
        </w:rPr>
        <w:tab/>
        <w:t xml:space="preserve">Rigattieri S, Sciahbasi A, Ratib K, Alonzo A, Cox N, Chodór P, et al. Comparison between radial approach and femoral approach with vascular closure devices on the occurrence of access-site complications and periprocedural bleeding after percutaneous coronary procedures: A systematic review and meta-analysis. </w:t>
      </w:r>
      <w:r w:rsidRPr="00932445">
        <w:rPr>
          <w:rFonts w:asciiTheme="majorBidi" w:hAnsiTheme="majorBidi" w:cstheme="majorBidi"/>
          <w:sz w:val="24"/>
          <w:szCs w:val="24"/>
          <w:highlight w:val="yellow"/>
        </w:rPr>
        <w:t>Journal of Invasive Cardiology. 2016;28(12):473-479.</w:t>
      </w:r>
    </w:p>
    <w:p w14:paraId="10994EE5"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lastRenderedPageBreak/>
        <w:t xml:space="preserve">17. </w:t>
      </w:r>
      <w:r w:rsidRPr="00932445">
        <w:rPr>
          <w:rFonts w:asciiTheme="majorBidi" w:hAnsiTheme="majorBidi" w:cstheme="majorBidi"/>
          <w:sz w:val="24"/>
          <w:szCs w:val="24"/>
        </w:rPr>
        <w:tab/>
        <w:t xml:space="preserve">Blake SR, Shahzad A, Aggarwal SK, Kumar A, Khan A, Stables RH. Radial versus femoral vascular access in ST-elevation myocardial infarction: Are the results of femoral operators unfairly represented in observational </w:t>
      </w:r>
      <w:proofErr w:type="gramStart"/>
      <w:r w:rsidRPr="00932445">
        <w:rPr>
          <w:rFonts w:asciiTheme="majorBidi" w:hAnsiTheme="majorBidi" w:cstheme="majorBidi"/>
          <w:sz w:val="24"/>
          <w:szCs w:val="24"/>
        </w:rPr>
        <w:t>research?.</w:t>
      </w:r>
      <w:proofErr w:type="gramEnd"/>
      <w:r w:rsidRPr="00932445">
        <w:rPr>
          <w:rFonts w:asciiTheme="majorBidi" w:hAnsiTheme="majorBidi" w:cstheme="majorBidi"/>
          <w:sz w:val="24"/>
          <w:szCs w:val="24"/>
        </w:rPr>
        <w:t xml:space="preserve"> Am Heart J. 2019;210(1):</w:t>
      </w:r>
      <w:r w:rsidRPr="00932445">
        <w:rPr>
          <w:rFonts w:asciiTheme="majorBidi" w:hAnsiTheme="majorBidi" w:cstheme="majorBidi"/>
          <w:sz w:val="24"/>
          <w:szCs w:val="24"/>
          <w:highlight w:val="yellow"/>
        </w:rPr>
        <w:t>81-87.</w:t>
      </w:r>
      <w:r w:rsidRPr="00932445">
        <w:rPr>
          <w:rFonts w:asciiTheme="majorBidi" w:hAnsiTheme="majorBidi" w:cstheme="majorBidi"/>
          <w:sz w:val="24"/>
          <w:szCs w:val="24"/>
        </w:rPr>
        <w:t xml:space="preserve"> </w:t>
      </w:r>
    </w:p>
    <w:p w14:paraId="6474539F"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18. </w:t>
      </w:r>
      <w:r w:rsidRPr="00932445">
        <w:rPr>
          <w:rFonts w:asciiTheme="majorBidi" w:hAnsiTheme="majorBidi" w:cstheme="majorBidi"/>
          <w:sz w:val="24"/>
          <w:szCs w:val="24"/>
        </w:rPr>
        <w:tab/>
        <w:t>Rana N, Vijayvergiya R, Kasinadhuni G, Khanal S, Panda P. Comparison of radial versus femoral access using hemostatic devices following percutaneous coronary intervention. Indian Heart J. 2021;73(3):</w:t>
      </w:r>
      <w:r w:rsidRPr="00932445">
        <w:rPr>
          <w:rFonts w:asciiTheme="majorBidi" w:hAnsiTheme="majorBidi" w:cstheme="majorBidi"/>
          <w:sz w:val="24"/>
          <w:szCs w:val="24"/>
          <w:highlight w:val="yellow"/>
        </w:rPr>
        <w:t>382-384.</w:t>
      </w:r>
      <w:r w:rsidRPr="00932445">
        <w:rPr>
          <w:rFonts w:asciiTheme="majorBidi" w:hAnsiTheme="majorBidi" w:cstheme="majorBidi"/>
          <w:sz w:val="24"/>
          <w:szCs w:val="24"/>
        </w:rPr>
        <w:t xml:space="preserve"> </w:t>
      </w:r>
    </w:p>
    <w:p w14:paraId="5DB8EFF3"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19. </w:t>
      </w:r>
      <w:r w:rsidRPr="00932445">
        <w:rPr>
          <w:rFonts w:asciiTheme="majorBidi" w:hAnsiTheme="majorBidi" w:cstheme="majorBidi"/>
          <w:sz w:val="24"/>
          <w:szCs w:val="24"/>
        </w:rPr>
        <w:tab/>
        <w:t>Cizman Z, Ciszak T, Camacho J, Gilliland C, Kies D. Comparison of radial and femoral artery access for interventional oncology. J Vasc Interv Radiol. 2016;27(3</w:t>
      </w:r>
      <w:proofErr w:type="gramStart"/>
      <w:r w:rsidRPr="00932445">
        <w:rPr>
          <w:rFonts w:asciiTheme="majorBidi" w:hAnsiTheme="majorBidi" w:cstheme="majorBidi"/>
          <w:sz w:val="24"/>
          <w:szCs w:val="24"/>
        </w:rPr>
        <w:t>):</w:t>
      </w:r>
      <w:r w:rsidRPr="00932445">
        <w:rPr>
          <w:rFonts w:asciiTheme="majorBidi" w:hAnsiTheme="majorBidi" w:cstheme="majorBidi"/>
          <w:sz w:val="24"/>
          <w:szCs w:val="24"/>
          <w:highlight w:val="yellow"/>
        </w:rPr>
        <w:t>S</w:t>
      </w:r>
      <w:proofErr w:type="gramEnd"/>
      <w:r w:rsidRPr="00932445">
        <w:rPr>
          <w:rFonts w:asciiTheme="majorBidi" w:hAnsiTheme="majorBidi" w:cstheme="majorBidi"/>
          <w:sz w:val="24"/>
          <w:szCs w:val="24"/>
          <w:highlight w:val="yellow"/>
        </w:rPr>
        <w:t>250.</w:t>
      </w:r>
    </w:p>
    <w:p w14:paraId="1ADA1A6A"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20. </w:t>
      </w:r>
      <w:r w:rsidRPr="00932445">
        <w:rPr>
          <w:rFonts w:asciiTheme="majorBidi" w:hAnsiTheme="majorBidi" w:cstheme="majorBidi"/>
          <w:sz w:val="24"/>
          <w:szCs w:val="24"/>
        </w:rPr>
        <w:tab/>
        <w:t>Hu F, Yang Y, Qiao S, Xu B, Liu H, Wu Y, et al. Comparison between radial and femoral approach for percutaneous coronary intervention in patients aged 80 years or older. J Interv Cardiol. 2012;25(5</w:t>
      </w:r>
      <w:r w:rsidRPr="00932445">
        <w:rPr>
          <w:rFonts w:asciiTheme="majorBidi" w:hAnsiTheme="majorBidi" w:cstheme="majorBidi"/>
          <w:sz w:val="24"/>
          <w:szCs w:val="24"/>
          <w:highlight w:val="yellow"/>
        </w:rPr>
        <w:t>)</w:t>
      </w:r>
      <w:r w:rsidRPr="00932445">
        <w:rPr>
          <w:rFonts w:asciiTheme="majorBidi" w:hAnsiTheme="majorBidi" w:cstheme="majorBidi"/>
          <w:highlight w:val="yellow"/>
        </w:rPr>
        <w:t>:</w:t>
      </w:r>
      <w:r w:rsidRPr="00932445">
        <w:rPr>
          <w:rFonts w:asciiTheme="majorBidi" w:hAnsiTheme="majorBidi" w:cstheme="majorBidi"/>
          <w:sz w:val="24"/>
          <w:szCs w:val="24"/>
          <w:highlight w:val="yellow"/>
        </w:rPr>
        <w:t>513-7.</w:t>
      </w:r>
    </w:p>
    <w:p w14:paraId="3C3425E1"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21. </w:t>
      </w:r>
      <w:r w:rsidRPr="00932445">
        <w:rPr>
          <w:rFonts w:asciiTheme="majorBidi" w:hAnsiTheme="majorBidi" w:cstheme="majorBidi"/>
          <w:sz w:val="24"/>
          <w:szCs w:val="24"/>
        </w:rPr>
        <w:tab/>
        <w:t>Wu PJ, Dai YT, Kao HL, Chang CH, Lou MF. Access site complications following transfemoral coronary procedures: Comparison between traditional compression and angioseal vascular closure devices for haemostasis. BMC Cardiovasc Disord. 2015;15(34):</w:t>
      </w:r>
      <w:r w:rsidRPr="00932445">
        <w:rPr>
          <w:rFonts w:asciiTheme="majorBidi" w:hAnsiTheme="majorBidi" w:cstheme="majorBidi"/>
          <w:sz w:val="24"/>
          <w:szCs w:val="24"/>
          <w:highlight w:val="yellow"/>
        </w:rPr>
        <w:t>1-8.</w:t>
      </w:r>
      <w:r w:rsidRPr="00932445">
        <w:rPr>
          <w:rFonts w:asciiTheme="majorBidi" w:hAnsiTheme="majorBidi" w:cstheme="majorBidi"/>
          <w:sz w:val="24"/>
          <w:szCs w:val="24"/>
        </w:rPr>
        <w:t xml:space="preserve"> </w:t>
      </w:r>
    </w:p>
    <w:p w14:paraId="379E0C9E"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22. </w:t>
      </w:r>
      <w:r w:rsidRPr="00932445">
        <w:rPr>
          <w:rFonts w:asciiTheme="majorBidi" w:hAnsiTheme="majorBidi" w:cstheme="majorBidi"/>
          <w:sz w:val="24"/>
          <w:szCs w:val="24"/>
        </w:rPr>
        <w:tab/>
        <w:t>Shetty P, Sundar S. Access Site Complications Including Bleeding and Death following Percutaneous Intervention via the Femoral Artery Approach a Regional Centre Experience. Hear Lung Circ. 2012;</w:t>
      </w:r>
      <w:proofErr w:type="gramStart"/>
      <w:r w:rsidRPr="00932445">
        <w:rPr>
          <w:rFonts w:asciiTheme="majorBidi" w:hAnsiTheme="majorBidi" w:cstheme="majorBidi"/>
          <w:sz w:val="24"/>
          <w:szCs w:val="24"/>
        </w:rPr>
        <w:t>21</w:t>
      </w:r>
      <w:r w:rsidRPr="00932445">
        <w:rPr>
          <w:rFonts w:asciiTheme="majorBidi" w:hAnsiTheme="majorBidi" w:cstheme="majorBidi"/>
          <w:sz w:val="24"/>
          <w:szCs w:val="24"/>
          <w:highlight w:val="yellow"/>
        </w:rPr>
        <w:t>:S</w:t>
      </w:r>
      <w:proofErr w:type="gramEnd"/>
      <w:r w:rsidRPr="00932445">
        <w:rPr>
          <w:rFonts w:asciiTheme="majorBidi" w:hAnsiTheme="majorBidi" w:cstheme="majorBidi"/>
          <w:sz w:val="24"/>
          <w:szCs w:val="24"/>
          <w:highlight w:val="yellow"/>
        </w:rPr>
        <w:t>144 - S145.</w:t>
      </w:r>
      <w:r w:rsidRPr="00932445">
        <w:rPr>
          <w:rFonts w:asciiTheme="majorBidi" w:hAnsiTheme="majorBidi" w:cstheme="majorBidi"/>
          <w:sz w:val="24"/>
          <w:szCs w:val="24"/>
        </w:rPr>
        <w:t xml:space="preserve"> </w:t>
      </w:r>
    </w:p>
    <w:p w14:paraId="4556E81C"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23. </w:t>
      </w:r>
      <w:r w:rsidRPr="00932445">
        <w:rPr>
          <w:rFonts w:asciiTheme="majorBidi" w:hAnsiTheme="majorBidi" w:cstheme="majorBidi"/>
          <w:sz w:val="24"/>
          <w:szCs w:val="24"/>
        </w:rPr>
        <w:tab/>
        <w:t>Anglin K, Liu Q, Wong VC. A primer on the validity typology and threats to validity in education research. Asia Pacific Educ Rev. 2024;25(3):</w:t>
      </w:r>
      <w:r w:rsidRPr="00932445">
        <w:rPr>
          <w:rFonts w:asciiTheme="majorBidi" w:hAnsiTheme="majorBidi" w:cstheme="majorBidi"/>
          <w:sz w:val="24"/>
          <w:szCs w:val="24"/>
          <w:highlight w:val="yellow"/>
        </w:rPr>
        <w:t>557–574.</w:t>
      </w:r>
      <w:r w:rsidRPr="00932445">
        <w:rPr>
          <w:rFonts w:asciiTheme="majorBidi" w:hAnsiTheme="majorBidi" w:cstheme="majorBidi"/>
          <w:sz w:val="24"/>
          <w:szCs w:val="24"/>
        </w:rPr>
        <w:t xml:space="preserve"> </w:t>
      </w:r>
    </w:p>
    <w:p w14:paraId="3213446D"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24. </w:t>
      </w:r>
      <w:r w:rsidRPr="00932445">
        <w:rPr>
          <w:rFonts w:asciiTheme="majorBidi" w:hAnsiTheme="majorBidi" w:cstheme="majorBidi"/>
          <w:sz w:val="24"/>
          <w:szCs w:val="24"/>
        </w:rPr>
        <w:tab/>
        <w:t>Murphy AC, Dinh D, Koshy AN, Lefkovits J, Clark DJ, Zaman S, et al. Comparison of Long-Term Outcomes in Men versus Women Undergoing Percutaneous Coronary Intervention. Am J Cardiol. 2021;153(15</w:t>
      </w:r>
      <w:r w:rsidRPr="00932445">
        <w:rPr>
          <w:rFonts w:asciiTheme="majorBidi" w:hAnsiTheme="majorBidi" w:cstheme="majorBidi"/>
          <w:sz w:val="24"/>
          <w:szCs w:val="24"/>
          <w:highlight w:val="yellow"/>
        </w:rPr>
        <w:t>)</w:t>
      </w:r>
      <w:r w:rsidRPr="00932445">
        <w:rPr>
          <w:rFonts w:asciiTheme="majorBidi" w:hAnsiTheme="majorBidi" w:cstheme="majorBidi"/>
          <w:color w:val="5B616B"/>
          <w:highlight w:val="yellow"/>
          <w:shd w:val="clear" w:color="auto" w:fill="FFFFFF"/>
        </w:rPr>
        <w:t>:</w:t>
      </w:r>
      <w:r w:rsidRPr="00932445">
        <w:rPr>
          <w:rFonts w:asciiTheme="majorBidi" w:hAnsiTheme="majorBidi" w:cstheme="majorBidi"/>
          <w:sz w:val="24"/>
          <w:szCs w:val="24"/>
          <w:highlight w:val="yellow"/>
        </w:rPr>
        <w:t>1-8.</w:t>
      </w:r>
      <w:r w:rsidRPr="00932445">
        <w:rPr>
          <w:rFonts w:asciiTheme="majorBidi" w:hAnsiTheme="majorBidi" w:cstheme="majorBidi"/>
          <w:sz w:val="24"/>
          <w:szCs w:val="24"/>
        </w:rPr>
        <w:t xml:space="preserve"> </w:t>
      </w:r>
    </w:p>
    <w:p w14:paraId="2834E3AA"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25. </w:t>
      </w:r>
      <w:r w:rsidRPr="00932445">
        <w:rPr>
          <w:rFonts w:asciiTheme="majorBidi" w:hAnsiTheme="majorBidi" w:cstheme="majorBidi"/>
          <w:sz w:val="24"/>
          <w:szCs w:val="24"/>
        </w:rPr>
        <w:tab/>
        <w:t xml:space="preserve">Su X, Zhang Y, Zhou H, Ma F, Zhang X, Zhou M, et al. Perceived Determinants of Health-Related Behaviors Among Patients with Coronary Heart Disease After Percutaneous Coronary Intervention: A Longitudinal Qualitative Study. Patient Prefer Adherence. </w:t>
      </w:r>
      <w:proofErr w:type="gramStart"/>
      <w:r w:rsidRPr="00932445">
        <w:rPr>
          <w:rFonts w:asciiTheme="majorBidi" w:hAnsiTheme="majorBidi" w:cstheme="majorBidi"/>
          <w:sz w:val="24"/>
          <w:szCs w:val="24"/>
        </w:rPr>
        <w:t>2024;18</w:t>
      </w:r>
      <w:r w:rsidRPr="00932445">
        <w:rPr>
          <w:rFonts w:asciiTheme="majorBidi" w:hAnsiTheme="majorBidi" w:cstheme="majorBidi"/>
          <w:sz w:val="24"/>
          <w:szCs w:val="24"/>
          <w:highlight w:val="yellow"/>
        </w:rPr>
        <w:t>:591</w:t>
      </w:r>
      <w:proofErr w:type="gramEnd"/>
      <w:r w:rsidRPr="00932445">
        <w:rPr>
          <w:rFonts w:asciiTheme="majorBidi" w:hAnsiTheme="majorBidi" w:cstheme="majorBidi"/>
          <w:sz w:val="24"/>
          <w:szCs w:val="24"/>
          <w:highlight w:val="yellow"/>
        </w:rPr>
        <w:t>-606.</w:t>
      </w:r>
      <w:r w:rsidRPr="00932445">
        <w:rPr>
          <w:rFonts w:asciiTheme="majorBidi" w:hAnsiTheme="majorBidi" w:cstheme="majorBidi"/>
          <w:sz w:val="24"/>
          <w:szCs w:val="24"/>
        </w:rPr>
        <w:t xml:space="preserve"> </w:t>
      </w:r>
    </w:p>
    <w:p w14:paraId="100EB0FA"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26. </w:t>
      </w:r>
      <w:r w:rsidRPr="00932445">
        <w:rPr>
          <w:rFonts w:asciiTheme="majorBidi" w:hAnsiTheme="majorBidi" w:cstheme="majorBidi"/>
          <w:sz w:val="24"/>
          <w:szCs w:val="24"/>
        </w:rPr>
        <w:tab/>
        <w:t xml:space="preserve">Kuno T, Miyamoto Y, Sawano M, Kodaira M, Numasawa Y, Ueda I, et al. Gender Differences in Long-Term Outcomes of Young Patients Who Underwent </w:t>
      </w:r>
      <w:r w:rsidRPr="00932445">
        <w:rPr>
          <w:rFonts w:asciiTheme="majorBidi" w:hAnsiTheme="majorBidi" w:cstheme="majorBidi"/>
          <w:sz w:val="24"/>
          <w:szCs w:val="24"/>
        </w:rPr>
        <w:lastRenderedPageBreak/>
        <w:t xml:space="preserve">Percutaneous Coronary Intervention: Long-Term Outcome Analysis from a Multicenter Registry in Japan. Am J Cardiol. </w:t>
      </w:r>
      <w:proofErr w:type="gramStart"/>
      <w:r w:rsidRPr="00932445">
        <w:rPr>
          <w:rFonts w:asciiTheme="majorBidi" w:hAnsiTheme="majorBidi" w:cstheme="majorBidi"/>
          <w:sz w:val="24"/>
          <w:szCs w:val="24"/>
        </w:rPr>
        <w:t>2023;206:</w:t>
      </w:r>
      <w:r w:rsidRPr="00932445">
        <w:rPr>
          <w:rFonts w:asciiTheme="majorBidi" w:hAnsiTheme="majorBidi" w:cstheme="majorBidi"/>
          <w:sz w:val="24"/>
          <w:szCs w:val="24"/>
          <w:highlight w:val="yellow"/>
        </w:rPr>
        <w:t>151</w:t>
      </w:r>
      <w:proofErr w:type="gramEnd"/>
      <w:r w:rsidRPr="00932445">
        <w:rPr>
          <w:rFonts w:asciiTheme="majorBidi" w:hAnsiTheme="majorBidi" w:cstheme="majorBidi"/>
          <w:sz w:val="24"/>
          <w:szCs w:val="24"/>
          <w:highlight w:val="yellow"/>
        </w:rPr>
        <w:t>-160.</w:t>
      </w:r>
      <w:r w:rsidRPr="00932445">
        <w:rPr>
          <w:rFonts w:asciiTheme="majorBidi" w:hAnsiTheme="majorBidi" w:cstheme="majorBidi"/>
          <w:sz w:val="24"/>
          <w:szCs w:val="24"/>
        </w:rPr>
        <w:t xml:space="preserve"> </w:t>
      </w:r>
    </w:p>
    <w:p w14:paraId="1EA80D7C"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27. </w:t>
      </w:r>
      <w:r w:rsidRPr="00932445">
        <w:rPr>
          <w:rFonts w:asciiTheme="majorBidi" w:hAnsiTheme="majorBidi" w:cstheme="majorBidi"/>
          <w:sz w:val="24"/>
          <w:szCs w:val="24"/>
        </w:rPr>
        <w:tab/>
        <w:t>Moroni F, Beneduce A, Giustino G, Briede I, Park SJ, Daemen J, et al. Sex Differences in Outcomes After Percutaneous Coronary Intervention or Coronary Artery Bypass Graft for Left Main Disease: From the DELTA Registries. J Am Heart Assoc. 2022;11(5</w:t>
      </w:r>
      <w:proofErr w:type="gramStart"/>
      <w:r w:rsidRPr="00932445">
        <w:rPr>
          <w:rFonts w:asciiTheme="majorBidi" w:hAnsiTheme="majorBidi" w:cstheme="majorBidi"/>
          <w:sz w:val="24"/>
          <w:szCs w:val="24"/>
        </w:rPr>
        <w:t>):</w:t>
      </w:r>
      <w:r w:rsidRPr="00932445">
        <w:rPr>
          <w:rFonts w:asciiTheme="majorBidi" w:hAnsiTheme="majorBidi" w:cstheme="majorBidi"/>
          <w:sz w:val="24"/>
          <w:szCs w:val="24"/>
          <w:highlight w:val="yellow"/>
        </w:rPr>
        <w:t>e</w:t>
      </w:r>
      <w:proofErr w:type="gramEnd"/>
      <w:r w:rsidRPr="00932445">
        <w:rPr>
          <w:rFonts w:asciiTheme="majorBidi" w:hAnsiTheme="majorBidi" w:cstheme="majorBidi"/>
          <w:sz w:val="24"/>
          <w:szCs w:val="24"/>
          <w:highlight w:val="yellow"/>
        </w:rPr>
        <w:t>022320.</w:t>
      </w:r>
      <w:r w:rsidRPr="00932445">
        <w:rPr>
          <w:rFonts w:asciiTheme="majorBidi" w:hAnsiTheme="majorBidi" w:cstheme="majorBidi"/>
          <w:sz w:val="24"/>
          <w:szCs w:val="24"/>
        </w:rPr>
        <w:t xml:space="preserve"> </w:t>
      </w:r>
    </w:p>
    <w:p w14:paraId="301A1D66"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28. </w:t>
      </w:r>
      <w:r w:rsidRPr="00932445">
        <w:rPr>
          <w:rFonts w:asciiTheme="majorBidi" w:hAnsiTheme="majorBidi" w:cstheme="majorBidi"/>
          <w:sz w:val="24"/>
          <w:szCs w:val="24"/>
        </w:rPr>
        <w:tab/>
        <w:t>Kim Y. Health-Related Quality of Life in Patients with Coronary Artery Disease Undergoing Percutaneous Coronary Intervention: A Cross-Sectional Study. J Nurs Res. 2022;30(1</w:t>
      </w:r>
      <w:proofErr w:type="gramStart"/>
      <w:r w:rsidRPr="00932445">
        <w:rPr>
          <w:rFonts w:asciiTheme="majorBidi" w:hAnsiTheme="majorBidi" w:cstheme="majorBidi"/>
          <w:sz w:val="24"/>
          <w:szCs w:val="24"/>
        </w:rPr>
        <w:t>):</w:t>
      </w:r>
      <w:r w:rsidRPr="00932445">
        <w:rPr>
          <w:rFonts w:asciiTheme="majorBidi" w:hAnsiTheme="majorBidi" w:cstheme="majorBidi"/>
          <w:sz w:val="24"/>
          <w:szCs w:val="24"/>
          <w:highlight w:val="yellow"/>
        </w:rPr>
        <w:t>E</w:t>
      </w:r>
      <w:proofErr w:type="gramEnd"/>
      <w:r w:rsidRPr="00932445">
        <w:rPr>
          <w:rFonts w:asciiTheme="majorBidi" w:hAnsiTheme="majorBidi" w:cstheme="majorBidi"/>
          <w:sz w:val="24"/>
          <w:szCs w:val="24"/>
          <w:highlight w:val="yellow"/>
        </w:rPr>
        <w:t>186.</w:t>
      </w:r>
      <w:r w:rsidRPr="00932445">
        <w:rPr>
          <w:rFonts w:asciiTheme="majorBidi" w:hAnsiTheme="majorBidi" w:cstheme="majorBidi"/>
          <w:sz w:val="24"/>
          <w:szCs w:val="24"/>
        </w:rPr>
        <w:t xml:space="preserve"> </w:t>
      </w:r>
    </w:p>
    <w:p w14:paraId="74E6933D"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29. </w:t>
      </w:r>
      <w:r w:rsidRPr="00932445">
        <w:rPr>
          <w:rFonts w:asciiTheme="majorBidi" w:hAnsiTheme="majorBidi" w:cstheme="majorBidi"/>
          <w:sz w:val="24"/>
          <w:szCs w:val="24"/>
        </w:rPr>
        <w:tab/>
        <w:t>Zhang Z, Zeng C, Chen Z, Liu P, Gao J, Guo Q, et al. Age at job initiation and risk of coronary heart disease: findings from the UK biobank cohort study. BMC Public Health. 2023;23(1):</w:t>
      </w:r>
      <w:r w:rsidRPr="00932445">
        <w:rPr>
          <w:rFonts w:asciiTheme="majorBidi" w:hAnsiTheme="majorBidi" w:cstheme="majorBidi"/>
          <w:sz w:val="24"/>
          <w:szCs w:val="24"/>
          <w:highlight w:val="yellow"/>
        </w:rPr>
        <w:t>2123</w:t>
      </w:r>
      <w:r w:rsidRPr="00932445">
        <w:rPr>
          <w:rFonts w:asciiTheme="majorBidi" w:hAnsiTheme="majorBidi" w:cstheme="majorBidi"/>
          <w:sz w:val="24"/>
          <w:szCs w:val="24"/>
        </w:rPr>
        <w:t xml:space="preserve">. </w:t>
      </w:r>
    </w:p>
    <w:p w14:paraId="4CAB8C69"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30. </w:t>
      </w:r>
      <w:r w:rsidRPr="00932445">
        <w:rPr>
          <w:rFonts w:asciiTheme="majorBidi" w:hAnsiTheme="majorBidi" w:cstheme="majorBidi"/>
          <w:sz w:val="24"/>
          <w:szCs w:val="24"/>
        </w:rPr>
        <w:tab/>
        <w:t xml:space="preserve">Mufarrih SH, Haider S, Qureshi NQ, Khan MS, Kazimuddin M, Akbar MS, et al. Distal Versus Proximal Radial Arterial Access for Percutaneous Coronary Angiography and Intervention: Updated Meta-Analysis of Randomised Controlled Trials. Am J Cardiol. </w:t>
      </w:r>
      <w:proofErr w:type="gramStart"/>
      <w:r w:rsidRPr="00932445">
        <w:rPr>
          <w:rFonts w:asciiTheme="majorBidi" w:hAnsiTheme="majorBidi" w:cstheme="majorBidi"/>
          <w:sz w:val="24"/>
          <w:szCs w:val="24"/>
        </w:rPr>
        <w:t>2024;218:</w:t>
      </w:r>
      <w:r w:rsidRPr="00932445">
        <w:rPr>
          <w:rFonts w:asciiTheme="majorBidi" w:hAnsiTheme="majorBidi" w:cstheme="majorBidi"/>
          <w:sz w:val="24"/>
          <w:szCs w:val="24"/>
          <w:highlight w:val="yellow"/>
        </w:rPr>
        <w:t>34</w:t>
      </w:r>
      <w:proofErr w:type="gramEnd"/>
      <w:r w:rsidRPr="00932445">
        <w:rPr>
          <w:rFonts w:asciiTheme="majorBidi" w:hAnsiTheme="majorBidi" w:cstheme="majorBidi"/>
          <w:sz w:val="24"/>
          <w:szCs w:val="24"/>
          <w:highlight w:val="yellow"/>
        </w:rPr>
        <w:t>-42.</w:t>
      </w:r>
      <w:r w:rsidRPr="00932445">
        <w:rPr>
          <w:rFonts w:asciiTheme="majorBidi" w:hAnsiTheme="majorBidi" w:cstheme="majorBidi"/>
          <w:sz w:val="24"/>
          <w:szCs w:val="24"/>
        </w:rPr>
        <w:t xml:space="preserve"> </w:t>
      </w:r>
    </w:p>
    <w:p w14:paraId="6C367EB8"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31. </w:t>
      </w:r>
      <w:r w:rsidRPr="00932445">
        <w:rPr>
          <w:rFonts w:asciiTheme="majorBidi" w:hAnsiTheme="majorBidi" w:cstheme="majorBidi"/>
          <w:sz w:val="24"/>
          <w:szCs w:val="24"/>
        </w:rPr>
        <w:tab/>
        <w:t>Chen P, Eikelboom JW, Tan C, Zhang W, Xu Y, Bai J, et al. Single Bolus r-SAK Before Primary PCI for ST-Segment-Elevation Myocardial Infarction. Circ Cardiovasc Interv. 2024;17(2</w:t>
      </w:r>
      <w:proofErr w:type="gramStart"/>
      <w:r w:rsidRPr="00932445">
        <w:rPr>
          <w:rFonts w:asciiTheme="majorBidi" w:hAnsiTheme="majorBidi" w:cstheme="majorBidi"/>
          <w:sz w:val="24"/>
          <w:szCs w:val="24"/>
        </w:rPr>
        <w:t>):</w:t>
      </w:r>
      <w:r w:rsidRPr="00932445">
        <w:rPr>
          <w:rFonts w:asciiTheme="majorBidi" w:hAnsiTheme="majorBidi" w:cstheme="majorBidi"/>
          <w:sz w:val="24"/>
          <w:szCs w:val="24"/>
          <w:highlight w:val="yellow"/>
        </w:rPr>
        <w:t>E</w:t>
      </w:r>
      <w:proofErr w:type="gramEnd"/>
      <w:r w:rsidRPr="00932445">
        <w:rPr>
          <w:rFonts w:asciiTheme="majorBidi" w:hAnsiTheme="majorBidi" w:cstheme="majorBidi"/>
          <w:sz w:val="24"/>
          <w:szCs w:val="24"/>
          <w:highlight w:val="yellow"/>
        </w:rPr>
        <w:t>013455</w:t>
      </w:r>
      <w:r w:rsidRPr="00932445">
        <w:rPr>
          <w:rFonts w:asciiTheme="majorBidi" w:hAnsiTheme="majorBidi" w:cstheme="majorBidi"/>
          <w:sz w:val="24"/>
          <w:szCs w:val="24"/>
        </w:rPr>
        <w:t xml:space="preserve">. </w:t>
      </w:r>
    </w:p>
    <w:p w14:paraId="01A84C3D"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32. </w:t>
      </w:r>
      <w:r w:rsidRPr="00932445">
        <w:rPr>
          <w:rFonts w:asciiTheme="majorBidi" w:hAnsiTheme="majorBidi" w:cstheme="majorBidi"/>
          <w:sz w:val="24"/>
          <w:szCs w:val="24"/>
        </w:rPr>
        <w:tab/>
        <w:t>Cui K, Lyu S, Song X, Liu H, Yuan F, Xu F, et al. Long-Term Safety and Efficacy of Staged Percutaneous Coronary Intervention for Patients with ST-Segment Elevation Myocardial Infarction and Multivessel Coronary Disease. Am J Cardiol. 2019;124(3):</w:t>
      </w:r>
      <w:r w:rsidRPr="00932445">
        <w:rPr>
          <w:rFonts w:asciiTheme="majorBidi" w:hAnsiTheme="majorBidi" w:cstheme="majorBidi"/>
          <w:sz w:val="24"/>
          <w:szCs w:val="24"/>
          <w:highlight w:val="yellow"/>
        </w:rPr>
        <w:t>334-342.</w:t>
      </w:r>
      <w:r w:rsidRPr="00932445">
        <w:rPr>
          <w:rFonts w:asciiTheme="majorBidi" w:hAnsiTheme="majorBidi" w:cstheme="majorBidi"/>
          <w:sz w:val="24"/>
          <w:szCs w:val="24"/>
        </w:rPr>
        <w:t xml:space="preserve"> </w:t>
      </w:r>
    </w:p>
    <w:p w14:paraId="30816926"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33. </w:t>
      </w:r>
      <w:r w:rsidRPr="00932445">
        <w:rPr>
          <w:rFonts w:asciiTheme="majorBidi" w:hAnsiTheme="majorBidi" w:cstheme="majorBidi"/>
          <w:sz w:val="24"/>
          <w:szCs w:val="24"/>
        </w:rPr>
        <w:tab/>
        <w:t>Park DY, Hu JR, Alexander KP, Nanna MG. Readmission and adverse outcomes after percutaneous coronary intervention in patients with dementia. J Am Geriatr Soc. 2023;71(4):</w:t>
      </w:r>
      <w:r w:rsidRPr="00932445">
        <w:rPr>
          <w:rFonts w:asciiTheme="majorBidi" w:hAnsiTheme="majorBidi" w:cstheme="majorBidi"/>
          <w:sz w:val="24"/>
          <w:szCs w:val="24"/>
          <w:highlight w:val="yellow"/>
        </w:rPr>
        <w:t>1034-1046.</w:t>
      </w:r>
    </w:p>
    <w:p w14:paraId="6FAB97FE"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34. </w:t>
      </w:r>
      <w:r w:rsidRPr="00932445">
        <w:rPr>
          <w:rFonts w:asciiTheme="majorBidi" w:hAnsiTheme="majorBidi" w:cstheme="majorBidi"/>
          <w:sz w:val="24"/>
          <w:szCs w:val="24"/>
        </w:rPr>
        <w:tab/>
        <w:t xml:space="preserve">Haskiah F, Erez D, Khaskia A. Familial Hypercholesterolemia Among Young Adults </w:t>
      </w:r>
      <w:proofErr w:type="gramStart"/>
      <w:r w:rsidRPr="00932445">
        <w:rPr>
          <w:rFonts w:asciiTheme="majorBidi" w:hAnsiTheme="majorBidi" w:cstheme="majorBidi"/>
          <w:sz w:val="24"/>
          <w:szCs w:val="24"/>
        </w:rPr>
        <w:t>With</w:t>
      </w:r>
      <w:proofErr w:type="gramEnd"/>
      <w:r w:rsidRPr="00932445">
        <w:rPr>
          <w:rFonts w:asciiTheme="majorBidi" w:hAnsiTheme="majorBidi" w:cstheme="majorBidi"/>
          <w:sz w:val="24"/>
          <w:szCs w:val="24"/>
        </w:rPr>
        <w:t xml:space="preserve"> Acute Coronary Syndrome. Am J Cardiol. </w:t>
      </w:r>
      <w:proofErr w:type="gramStart"/>
      <w:r w:rsidRPr="00932445">
        <w:rPr>
          <w:rFonts w:asciiTheme="majorBidi" w:hAnsiTheme="majorBidi" w:cstheme="majorBidi"/>
          <w:sz w:val="24"/>
          <w:szCs w:val="24"/>
        </w:rPr>
        <w:t>2023;186:</w:t>
      </w:r>
      <w:r w:rsidRPr="00932445">
        <w:rPr>
          <w:rFonts w:asciiTheme="majorBidi" w:hAnsiTheme="majorBidi" w:cstheme="majorBidi"/>
          <w:sz w:val="24"/>
          <w:szCs w:val="24"/>
          <w:highlight w:val="yellow"/>
        </w:rPr>
        <w:t>189</w:t>
      </w:r>
      <w:proofErr w:type="gramEnd"/>
      <w:r w:rsidRPr="00932445">
        <w:rPr>
          <w:rFonts w:asciiTheme="majorBidi" w:hAnsiTheme="majorBidi" w:cstheme="majorBidi"/>
          <w:sz w:val="24"/>
          <w:szCs w:val="24"/>
          <w:highlight w:val="yellow"/>
        </w:rPr>
        <w:t>-195.</w:t>
      </w:r>
      <w:r w:rsidRPr="00932445">
        <w:rPr>
          <w:rFonts w:asciiTheme="majorBidi" w:hAnsiTheme="majorBidi" w:cstheme="majorBidi"/>
          <w:sz w:val="24"/>
          <w:szCs w:val="24"/>
        </w:rPr>
        <w:t xml:space="preserve"> </w:t>
      </w:r>
    </w:p>
    <w:p w14:paraId="24F2D1AA"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35. </w:t>
      </w:r>
      <w:r w:rsidRPr="00932445">
        <w:rPr>
          <w:rFonts w:asciiTheme="majorBidi" w:hAnsiTheme="majorBidi" w:cstheme="majorBidi"/>
          <w:sz w:val="24"/>
          <w:szCs w:val="24"/>
        </w:rPr>
        <w:tab/>
        <w:t xml:space="preserve">Nazli SA, Chua YA, Mohd Kasim NA, Ismail Z, Md Radzi AB, Ibrahim KS, et al. Familial hypercholesterolaemia and coronary risk factors among patients with angiogram-proven premature coronary artery disease in an Asian cohort. PLoS </w:t>
      </w:r>
      <w:r w:rsidRPr="00932445">
        <w:rPr>
          <w:rFonts w:asciiTheme="majorBidi" w:hAnsiTheme="majorBidi" w:cstheme="majorBidi"/>
          <w:sz w:val="24"/>
          <w:szCs w:val="24"/>
        </w:rPr>
        <w:lastRenderedPageBreak/>
        <w:t>One. 2022;17(9</w:t>
      </w:r>
      <w:proofErr w:type="gramStart"/>
      <w:r w:rsidRPr="00932445">
        <w:rPr>
          <w:rFonts w:asciiTheme="majorBidi" w:hAnsiTheme="majorBidi" w:cstheme="majorBidi"/>
          <w:sz w:val="24"/>
          <w:szCs w:val="24"/>
        </w:rPr>
        <w:t>):</w:t>
      </w:r>
      <w:r w:rsidRPr="00932445">
        <w:rPr>
          <w:rFonts w:asciiTheme="majorBidi" w:hAnsiTheme="majorBidi" w:cstheme="majorBidi"/>
          <w:sz w:val="24"/>
          <w:szCs w:val="24"/>
          <w:highlight w:val="yellow"/>
        </w:rPr>
        <w:t>e</w:t>
      </w:r>
      <w:proofErr w:type="gramEnd"/>
      <w:r w:rsidRPr="00932445">
        <w:rPr>
          <w:rFonts w:asciiTheme="majorBidi" w:hAnsiTheme="majorBidi" w:cstheme="majorBidi"/>
          <w:sz w:val="24"/>
          <w:szCs w:val="24"/>
          <w:highlight w:val="yellow"/>
        </w:rPr>
        <w:t>0273896.</w:t>
      </w:r>
      <w:r w:rsidRPr="00932445">
        <w:rPr>
          <w:rFonts w:asciiTheme="majorBidi" w:hAnsiTheme="majorBidi" w:cstheme="majorBidi"/>
          <w:sz w:val="24"/>
          <w:szCs w:val="24"/>
        </w:rPr>
        <w:t xml:space="preserve"> </w:t>
      </w:r>
    </w:p>
    <w:p w14:paraId="126235A9"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lang w:val="sv-SE"/>
        </w:rPr>
      </w:pPr>
      <w:r w:rsidRPr="00932445">
        <w:rPr>
          <w:rFonts w:asciiTheme="majorBidi" w:hAnsiTheme="majorBidi" w:cstheme="majorBidi"/>
          <w:sz w:val="24"/>
          <w:szCs w:val="24"/>
        </w:rPr>
        <w:t xml:space="preserve">36. </w:t>
      </w:r>
      <w:r w:rsidRPr="00932445">
        <w:rPr>
          <w:rFonts w:asciiTheme="majorBidi" w:hAnsiTheme="majorBidi" w:cstheme="majorBidi"/>
          <w:sz w:val="24"/>
          <w:szCs w:val="24"/>
        </w:rPr>
        <w:tab/>
        <w:t xml:space="preserve">Kordis P, Berden J, Mikuz U, Noc M. Immediate Platelet Inhibition Strategy for Comatose Out-of-Hospital Cardiac Arrest Survivors Undergoing Percutaneous Coronary Intervention and Mild Therapeutic Hypothermia. </w:t>
      </w:r>
      <w:r w:rsidRPr="00932445">
        <w:rPr>
          <w:rFonts w:asciiTheme="majorBidi" w:hAnsiTheme="majorBidi" w:cstheme="majorBidi"/>
          <w:sz w:val="24"/>
          <w:szCs w:val="24"/>
          <w:lang w:val="sv-SE"/>
        </w:rPr>
        <w:t>J Clin Med. 2024;13(7):</w:t>
      </w:r>
      <w:r w:rsidRPr="00932445">
        <w:rPr>
          <w:rFonts w:asciiTheme="majorBidi" w:hAnsiTheme="majorBidi" w:cstheme="majorBidi"/>
          <w:sz w:val="24"/>
          <w:szCs w:val="24"/>
          <w:highlight w:val="yellow"/>
          <w:lang w:val="sv-SE"/>
        </w:rPr>
        <w:t>2121</w:t>
      </w:r>
      <w:r w:rsidRPr="00932445">
        <w:rPr>
          <w:rFonts w:asciiTheme="majorBidi" w:hAnsiTheme="majorBidi" w:cstheme="majorBidi"/>
          <w:sz w:val="24"/>
          <w:szCs w:val="24"/>
          <w:lang w:val="sv-SE"/>
        </w:rPr>
        <w:t xml:space="preserve">. </w:t>
      </w:r>
    </w:p>
    <w:p w14:paraId="5CB15222"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lang w:val="sv-SE"/>
        </w:rPr>
        <w:t xml:space="preserve">37. </w:t>
      </w:r>
      <w:r w:rsidRPr="00932445">
        <w:rPr>
          <w:rFonts w:asciiTheme="majorBidi" w:hAnsiTheme="majorBidi" w:cstheme="majorBidi"/>
          <w:sz w:val="24"/>
          <w:szCs w:val="24"/>
          <w:lang w:val="sv-SE"/>
        </w:rPr>
        <w:tab/>
        <w:t xml:space="preserve">Mahtta D, Manandhar P, Wegermann ZK, Wojdyla D, Megaly M, Kochar A, et al. </w:t>
      </w:r>
      <w:r w:rsidRPr="00932445">
        <w:rPr>
          <w:rFonts w:asciiTheme="majorBidi" w:hAnsiTheme="majorBidi" w:cstheme="majorBidi"/>
          <w:sz w:val="24"/>
          <w:szCs w:val="24"/>
        </w:rPr>
        <w:t xml:space="preserve">Outcomes and Institutional Variation in Arterial Access Among Patients </w:t>
      </w:r>
      <w:proofErr w:type="gramStart"/>
      <w:r w:rsidRPr="00932445">
        <w:rPr>
          <w:rFonts w:asciiTheme="majorBidi" w:hAnsiTheme="majorBidi" w:cstheme="majorBidi"/>
          <w:sz w:val="24"/>
          <w:szCs w:val="24"/>
        </w:rPr>
        <w:t>With</w:t>
      </w:r>
      <w:proofErr w:type="gramEnd"/>
      <w:r w:rsidRPr="00932445">
        <w:rPr>
          <w:rFonts w:asciiTheme="majorBidi" w:hAnsiTheme="majorBidi" w:cstheme="majorBidi"/>
          <w:sz w:val="24"/>
          <w:szCs w:val="24"/>
        </w:rPr>
        <w:t xml:space="preserve"> AMI and Cardiogenic Shock Undergoing PCI. JACC Cardiovasc Interv. 2023;16(12):</w:t>
      </w:r>
      <w:r w:rsidRPr="00932445">
        <w:rPr>
          <w:rFonts w:asciiTheme="majorBidi" w:hAnsiTheme="majorBidi" w:cstheme="majorBidi"/>
          <w:sz w:val="24"/>
          <w:szCs w:val="24"/>
          <w:highlight w:val="yellow"/>
        </w:rPr>
        <w:t>1517-1528</w:t>
      </w:r>
      <w:r w:rsidRPr="00932445">
        <w:rPr>
          <w:rFonts w:asciiTheme="majorBidi" w:hAnsiTheme="majorBidi" w:cstheme="majorBidi"/>
          <w:sz w:val="24"/>
          <w:szCs w:val="24"/>
        </w:rPr>
        <w:t xml:space="preserve">. </w:t>
      </w:r>
    </w:p>
    <w:p w14:paraId="19A8D5F8" w14:textId="2A456773" w:rsidR="00932445" w:rsidRPr="00932445" w:rsidRDefault="00932445" w:rsidP="00043DB3">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38. </w:t>
      </w:r>
      <w:r w:rsidRPr="00932445">
        <w:rPr>
          <w:rFonts w:asciiTheme="majorBidi" w:hAnsiTheme="majorBidi" w:cstheme="majorBidi"/>
          <w:sz w:val="24"/>
          <w:szCs w:val="24"/>
        </w:rPr>
        <w:tab/>
        <w:t>Kedev S, Sukmawan R, Kalpak O, Dharma S, Antov S, Kostov J, et al. Transradial versus transfemoral access for female patients who underwent primary PCI in STEMI: Two years follow-up data from acute STEMI interventional registry. Int J Cardiol. 2016;</w:t>
      </w:r>
      <w:proofErr w:type="gramStart"/>
      <w:r w:rsidRPr="00932445">
        <w:rPr>
          <w:rFonts w:asciiTheme="majorBidi" w:hAnsiTheme="majorBidi" w:cstheme="majorBidi"/>
          <w:sz w:val="24"/>
          <w:szCs w:val="24"/>
        </w:rPr>
        <w:t>217</w:t>
      </w:r>
      <w:r w:rsidR="00043DB3">
        <w:rPr>
          <w:rFonts w:asciiTheme="majorBidi" w:hAnsiTheme="majorBidi" w:cstheme="majorBidi"/>
          <w:sz w:val="24"/>
          <w:szCs w:val="24"/>
        </w:rPr>
        <w:t>:</w:t>
      </w:r>
      <w:r w:rsidR="00043DB3" w:rsidRPr="00043DB3">
        <w:rPr>
          <w:rFonts w:asciiTheme="majorBidi" w:hAnsiTheme="majorBidi" w:cstheme="majorBidi"/>
          <w:sz w:val="24"/>
          <w:szCs w:val="24"/>
          <w:highlight w:val="yellow"/>
        </w:rPr>
        <w:t>S</w:t>
      </w:r>
      <w:proofErr w:type="gramEnd"/>
      <w:r w:rsidR="00043DB3" w:rsidRPr="00043DB3">
        <w:rPr>
          <w:rFonts w:asciiTheme="majorBidi" w:hAnsiTheme="majorBidi" w:cstheme="majorBidi"/>
          <w:sz w:val="24"/>
          <w:szCs w:val="24"/>
          <w:highlight w:val="yellow"/>
        </w:rPr>
        <w:t>16-20</w:t>
      </w:r>
      <w:r w:rsidRPr="00932445">
        <w:rPr>
          <w:rFonts w:asciiTheme="majorBidi" w:hAnsiTheme="majorBidi" w:cstheme="majorBidi"/>
          <w:sz w:val="24"/>
          <w:szCs w:val="24"/>
        </w:rPr>
        <w:t xml:space="preserve">. </w:t>
      </w:r>
    </w:p>
    <w:p w14:paraId="7D2548FB" w14:textId="61E9A6E2" w:rsidR="00932445" w:rsidRPr="00932445" w:rsidRDefault="00932445" w:rsidP="003E128D">
      <w:pPr>
        <w:widowControl w:val="0"/>
        <w:autoSpaceDE w:val="0"/>
        <w:autoSpaceDN w:val="0"/>
        <w:adjustRightInd w:val="0"/>
        <w:spacing w:after="140" w:line="360" w:lineRule="auto"/>
        <w:ind w:left="640" w:hanging="640"/>
        <w:rPr>
          <w:rFonts w:asciiTheme="majorBidi" w:hAnsiTheme="majorBidi" w:cstheme="majorBidi"/>
          <w:sz w:val="24"/>
          <w:szCs w:val="24"/>
        </w:rPr>
      </w:pPr>
      <w:r w:rsidRPr="00932445">
        <w:rPr>
          <w:rFonts w:asciiTheme="majorBidi" w:hAnsiTheme="majorBidi" w:cstheme="majorBidi"/>
          <w:sz w:val="24"/>
          <w:szCs w:val="24"/>
        </w:rPr>
        <w:t xml:space="preserve">39. </w:t>
      </w:r>
      <w:r w:rsidRPr="00932445">
        <w:rPr>
          <w:rFonts w:asciiTheme="majorBidi" w:hAnsiTheme="majorBidi" w:cstheme="majorBidi"/>
          <w:sz w:val="24"/>
          <w:szCs w:val="24"/>
        </w:rPr>
        <w:tab/>
        <w:t xml:space="preserve">Cetinarslan O, Kaya A, Ozkan AA. </w:t>
      </w:r>
      <w:r w:rsidR="003E128D" w:rsidRPr="003E128D">
        <w:rPr>
          <w:rFonts w:asciiTheme="majorBidi" w:hAnsiTheme="majorBidi" w:cstheme="majorBidi"/>
          <w:sz w:val="24"/>
          <w:szCs w:val="24"/>
        </w:rPr>
        <w:t>The Systemic Inflammation on Transradial vs Transfemoral Approach for Coronary Angiography in Patients with Chronic Coronary Syndrome—Does Transradial Coronary Angiography Trigger More Inflammation</w:t>
      </w:r>
      <w:r w:rsidRPr="00932445">
        <w:rPr>
          <w:rFonts w:asciiTheme="majorBidi" w:hAnsiTheme="majorBidi" w:cstheme="majorBidi"/>
          <w:sz w:val="24"/>
          <w:szCs w:val="24"/>
        </w:rPr>
        <w:t>? World J Cardiovasc Dis. 2021;11(02)</w:t>
      </w:r>
      <w:r w:rsidR="003E128D">
        <w:rPr>
          <w:rFonts w:asciiTheme="majorBidi" w:hAnsiTheme="majorBidi" w:cstheme="majorBidi"/>
          <w:sz w:val="24"/>
          <w:szCs w:val="24"/>
        </w:rPr>
        <w:t>:</w:t>
      </w:r>
      <w:r w:rsidR="003E128D" w:rsidRPr="003E128D">
        <w:rPr>
          <w:rFonts w:asciiTheme="majorBidi" w:hAnsiTheme="majorBidi" w:cstheme="majorBidi"/>
          <w:sz w:val="24"/>
          <w:szCs w:val="24"/>
          <w:highlight w:val="yellow"/>
        </w:rPr>
        <w:t>99-105</w:t>
      </w:r>
      <w:r w:rsidRPr="00932445">
        <w:rPr>
          <w:rFonts w:asciiTheme="majorBidi" w:hAnsiTheme="majorBidi" w:cstheme="majorBidi"/>
          <w:sz w:val="24"/>
          <w:szCs w:val="24"/>
        </w:rPr>
        <w:t xml:space="preserve">. </w:t>
      </w:r>
    </w:p>
    <w:p w14:paraId="1A6DC6BD" w14:textId="7FC3AB80" w:rsidR="00932445" w:rsidRPr="00932445" w:rsidRDefault="00932445" w:rsidP="005F502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40. </w:t>
      </w:r>
      <w:r w:rsidRPr="00932445">
        <w:rPr>
          <w:rFonts w:asciiTheme="majorBidi" w:hAnsiTheme="majorBidi" w:cstheme="majorBidi"/>
          <w:sz w:val="24"/>
          <w:szCs w:val="24"/>
        </w:rPr>
        <w:tab/>
        <w:t>Batra MK, Rai L, Khan NU, Mengal MN, Khowaja S, Hassan Rizvi SN, et al. Radial or femoral access in primary percutaneous coronary intervention (PCI): Does the choice matters? Indian Heart J. 2020;72(3</w:t>
      </w:r>
      <w:r w:rsidRPr="005F5025">
        <w:rPr>
          <w:rFonts w:asciiTheme="majorBidi" w:hAnsiTheme="majorBidi" w:cstheme="majorBidi"/>
          <w:sz w:val="24"/>
          <w:szCs w:val="24"/>
          <w:highlight w:val="yellow"/>
        </w:rPr>
        <w:t>)</w:t>
      </w:r>
      <w:r w:rsidR="005F5025" w:rsidRPr="005F5025">
        <w:rPr>
          <w:rFonts w:asciiTheme="majorBidi" w:hAnsiTheme="majorBidi" w:cstheme="majorBidi"/>
          <w:sz w:val="24"/>
          <w:szCs w:val="24"/>
          <w:highlight w:val="yellow"/>
        </w:rPr>
        <w:t>:166-171</w:t>
      </w:r>
      <w:r w:rsidRPr="005F5025">
        <w:rPr>
          <w:rFonts w:asciiTheme="majorBidi" w:hAnsiTheme="majorBidi" w:cstheme="majorBidi"/>
          <w:sz w:val="24"/>
          <w:szCs w:val="24"/>
          <w:highlight w:val="yellow"/>
        </w:rPr>
        <w:t>.</w:t>
      </w:r>
      <w:r w:rsidRPr="00932445">
        <w:rPr>
          <w:rFonts w:asciiTheme="majorBidi" w:hAnsiTheme="majorBidi" w:cstheme="majorBidi"/>
          <w:sz w:val="24"/>
          <w:szCs w:val="24"/>
        </w:rPr>
        <w:t xml:space="preserve"> </w:t>
      </w:r>
    </w:p>
    <w:p w14:paraId="006DF663" w14:textId="5A47AF13" w:rsidR="00932445" w:rsidRPr="00932445" w:rsidRDefault="00932445" w:rsidP="00A51118">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41. </w:t>
      </w:r>
      <w:r w:rsidRPr="00932445">
        <w:rPr>
          <w:rFonts w:asciiTheme="majorBidi" w:hAnsiTheme="majorBidi" w:cstheme="majorBidi"/>
          <w:sz w:val="24"/>
          <w:szCs w:val="24"/>
        </w:rPr>
        <w:tab/>
        <w:t>Lee JH, Youn YJ, Jeon HS, Lee JW, Ahn SG, Yoon J, et al. Transradial Versus Transfemoral Access for Bifurcation Percutaneous Coronary Intervention Using Second-Generation Drug-Eluting Stent. J Korean Med Sci. 2024;39(10</w:t>
      </w:r>
      <w:proofErr w:type="gramStart"/>
      <w:r w:rsidRPr="00A51118">
        <w:rPr>
          <w:rFonts w:asciiTheme="majorBidi" w:hAnsiTheme="majorBidi" w:cstheme="majorBidi"/>
          <w:sz w:val="24"/>
          <w:szCs w:val="24"/>
          <w:highlight w:val="yellow"/>
        </w:rPr>
        <w:t>)</w:t>
      </w:r>
      <w:r w:rsidR="00A51118" w:rsidRPr="00A51118">
        <w:rPr>
          <w:rFonts w:asciiTheme="majorBidi" w:hAnsiTheme="majorBidi" w:cstheme="majorBidi"/>
          <w:sz w:val="24"/>
          <w:szCs w:val="24"/>
          <w:highlight w:val="yellow"/>
        </w:rPr>
        <w:t>:e</w:t>
      </w:r>
      <w:proofErr w:type="gramEnd"/>
      <w:r w:rsidR="00A51118" w:rsidRPr="00A51118">
        <w:rPr>
          <w:rFonts w:asciiTheme="majorBidi" w:hAnsiTheme="majorBidi" w:cstheme="majorBidi"/>
          <w:sz w:val="24"/>
          <w:szCs w:val="24"/>
          <w:highlight w:val="yellow"/>
        </w:rPr>
        <w:t>111</w:t>
      </w:r>
      <w:r w:rsidRPr="00A51118">
        <w:rPr>
          <w:rFonts w:asciiTheme="majorBidi" w:hAnsiTheme="majorBidi" w:cstheme="majorBidi"/>
          <w:sz w:val="24"/>
          <w:szCs w:val="24"/>
          <w:highlight w:val="yellow"/>
        </w:rPr>
        <w:t>.</w:t>
      </w:r>
      <w:r w:rsidRPr="00932445">
        <w:rPr>
          <w:rFonts w:asciiTheme="majorBidi" w:hAnsiTheme="majorBidi" w:cstheme="majorBidi"/>
          <w:sz w:val="24"/>
          <w:szCs w:val="24"/>
        </w:rPr>
        <w:t xml:space="preserve"> </w:t>
      </w:r>
    </w:p>
    <w:p w14:paraId="1591F083" w14:textId="3786C930" w:rsidR="00932445" w:rsidRPr="00932445" w:rsidRDefault="00932445" w:rsidP="00A51118">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42. </w:t>
      </w:r>
      <w:r w:rsidRPr="00932445">
        <w:rPr>
          <w:rFonts w:asciiTheme="majorBidi" w:hAnsiTheme="majorBidi" w:cstheme="majorBidi"/>
          <w:sz w:val="24"/>
          <w:szCs w:val="24"/>
        </w:rPr>
        <w:tab/>
        <w:t xml:space="preserve">Jhand A, Atti V, Gwon Y, Dhawan R, Turagam MK, Mamas MA, et al. Meta-Analysis of Transradial vs Transfemoral Access for Percutaneous Coronary Intervention in Patients </w:t>
      </w:r>
      <w:proofErr w:type="gramStart"/>
      <w:r w:rsidRPr="00932445">
        <w:rPr>
          <w:rFonts w:asciiTheme="majorBidi" w:hAnsiTheme="majorBidi" w:cstheme="majorBidi"/>
          <w:sz w:val="24"/>
          <w:szCs w:val="24"/>
        </w:rPr>
        <w:t>With</w:t>
      </w:r>
      <w:proofErr w:type="gramEnd"/>
      <w:r w:rsidRPr="00932445">
        <w:rPr>
          <w:rFonts w:asciiTheme="majorBidi" w:hAnsiTheme="majorBidi" w:cstheme="majorBidi"/>
          <w:sz w:val="24"/>
          <w:szCs w:val="24"/>
        </w:rPr>
        <w:t xml:space="preserve"> ST Elevation Myocardial Infarction. Am J Cardiol. </w:t>
      </w:r>
      <w:proofErr w:type="gramStart"/>
      <w:r w:rsidRPr="00932445">
        <w:rPr>
          <w:rFonts w:asciiTheme="majorBidi" w:hAnsiTheme="majorBidi" w:cstheme="majorBidi"/>
          <w:sz w:val="24"/>
          <w:szCs w:val="24"/>
        </w:rPr>
        <w:t>2021;141</w:t>
      </w:r>
      <w:r w:rsidR="00A51118" w:rsidRPr="00A51118">
        <w:rPr>
          <w:rFonts w:asciiTheme="majorBidi" w:hAnsiTheme="majorBidi" w:cstheme="majorBidi"/>
          <w:sz w:val="24"/>
          <w:szCs w:val="24"/>
          <w:highlight w:val="yellow"/>
        </w:rPr>
        <w:t>:23</w:t>
      </w:r>
      <w:proofErr w:type="gramEnd"/>
      <w:r w:rsidR="00A51118" w:rsidRPr="00A51118">
        <w:rPr>
          <w:rFonts w:asciiTheme="majorBidi" w:hAnsiTheme="majorBidi" w:cstheme="majorBidi"/>
          <w:sz w:val="24"/>
          <w:szCs w:val="24"/>
          <w:highlight w:val="yellow"/>
        </w:rPr>
        <w:t>-30</w:t>
      </w:r>
      <w:r w:rsidRPr="00A51118">
        <w:rPr>
          <w:rFonts w:asciiTheme="majorBidi" w:hAnsiTheme="majorBidi" w:cstheme="majorBidi"/>
          <w:sz w:val="24"/>
          <w:szCs w:val="24"/>
          <w:highlight w:val="yellow"/>
        </w:rPr>
        <w:t>.</w:t>
      </w:r>
      <w:r w:rsidRPr="00932445">
        <w:rPr>
          <w:rFonts w:asciiTheme="majorBidi" w:hAnsiTheme="majorBidi" w:cstheme="majorBidi"/>
          <w:sz w:val="24"/>
          <w:szCs w:val="24"/>
        </w:rPr>
        <w:t xml:space="preserve"> </w:t>
      </w:r>
    </w:p>
    <w:p w14:paraId="1AC47C14" w14:textId="31BE38F8" w:rsidR="00932445" w:rsidRPr="00932445" w:rsidRDefault="00932445" w:rsidP="000A068B">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43. </w:t>
      </w:r>
      <w:r w:rsidRPr="00932445">
        <w:rPr>
          <w:rFonts w:asciiTheme="majorBidi" w:hAnsiTheme="majorBidi" w:cstheme="majorBidi"/>
          <w:sz w:val="24"/>
          <w:szCs w:val="24"/>
        </w:rPr>
        <w:tab/>
        <w:t>Amankwah C, Lombardo L, Rutledge J, Sattar A, Chancellor B, Altschul D. Comparison of radiation exposure and clinical outcomes between transradial and transfemoral diagnostic cerebral approaches: A retrospective study. BMJ Surgery, Interv Heal Technol. 2022;4(1</w:t>
      </w:r>
      <w:proofErr w:type="gramStart"/>
      <w:r w:rsidRPr="00932445">
        <w:rPr>
          <w:rFonts w:asciiTheme="majorBidi" w:hAnsiTheme="majorBidi" w:cstheme="majorBidi"/>
          <w:sz w:val="24"/>
          <w:szCs w:val="24"/>
        </w:rPr>
        <w:t>)</w:t>
      </w:r>
      <w:r w:rsidR="000A068B" w:rsidRPr="000A068B">
        <w:rPr>
          <w:rFonts w:asciiTheme="majorBidi" w:hAnsiTheme="majorBidi" w:cstheme="majorBidi"/>
          <w:sz w:val="24"/>
          <w:szCs w:val="24"/>
          <w:highlight w:val="yellow"/>
        </w:rPr>
        <w:t>:e</w:t>
      </w:r>
      <w:proofErr w:type="gramEnd"/>
      <w:r w:rsidR="000A068B" w:rsidRPr="000A068B">
        <w:rPr>
          <w:rFonts w:asciiTheme="majorBidi" w:hAnsiTheme="majorBidi" w:cstheme="majorBidi"/>
          <w:sz w:val="24"/>
          <w:szCs w:val="24"/>
          <w:highlight w:val="yellow"/>
        </w:rPr>
        <w:t>000110</w:t>
      </w:r>
      <w:r w:rsidRPr="000A068B">
        <w:rPr>
          <w:rFonts w:asciiTheme="majorBidi" w:hAnsiTheme="majorBidi" w:cstheme="majorBidi"/>
          <w:sz w:val="24"/>
          <w:szCs w:val="24"/>
          <w:highlight w:val="yellow"/>
        </w:rPr>
        <w:t>.</w:t>
      </w:r>
      <w:r w:rsidRPr="00932445">
        <w:rPr>
          <w:rFonts w:asciiTheme="majorBidi" w:hAnsiTheme="majorBidi" w:cstheme="majorBidi"/>
          <w:sz w:val="24"/>
          <w:szCs w:val="24"/>
        </w:rPr>
        <w:t xml:space="preserve"> </w:t>
      </w:r>
    </w:p>
    <w:p w14:paraId="7ED8C9DD" w14:textId="32EF05EC"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lastRenderedPageBreak/>
        <w:t xml:space="preserve">44. </w:t>
      </w:r>
      <w:r w:rsidRPr="00932445">
        <w:rPr>
          <w:rFonts w:asciiTheme="majorBidi" w:hAnsiTheme="majorBidi" w:cstheme="majorBidi"/>
          <w:sz w:val="24"/>
          <w:szCs w:val="24"/>
        </w:rPr>
        <w:tab/>
        <w:t xml:space="preserve">Bawamia B, Brown A, Spyridopoulos I, Bagnall A, Edwards R, Purcell I, et al. Very Early Discharge After Primary Percutaneous Coronary Intervention for ST-Elevation Myocardial Infarction: Mortality Outcomes at Six Months. Cardiovasc Revascularization Med. </w:t>
      </w:r>
      <w:proofErr w:type="gramStart"/>
      <w:r w:rsidRPr="00932445">
        <w:rPr>
          <w:rFonts w:asciiTheme="majorBidi" w:hAnsiTheme="majorBidi" w:cstheme="majorBidi"/>
          <w:sz w:val="24"/>
          <w:szCs w:val="24"/>
        </w:rPr>
        <w:t>2023;46</w:t>
      </w:r>
      <w:r w:rsidR="007C4183">
        <w:rPr>
          <w:rFonts w:asciiTheme="majorBidi" w:hAnsiTheme="majorBidi" w:cstheme="majorBidi"/>
          <w:sz w:val="24"/>
          <w:szCs w:val="24"/>
        </w:rPr>
        <w:t>:</w:t>
      </w:r>
      <w:r w:rsidR="007C4183" w:rsidRPr="007C4183">
        <w:rPr>
          <w:rFonts w:asciiTheme="majorBidi" w:hAnsiTheme="majorBidi" w:cstheme="majorBidi"/>
          <w:sz w:val="24"/>
          <w:szCs w:val="24"/>
          <w:highlight w:val="yellow"/>
        </w:rPr>
        <w:t>12</w:t>
      </w:r>
      <w:proofErr w:type="gramEnd"/>
      <w:r w:rsidR="007C4183" w:rsidRPr="007C4183">
        <w:rPr>
          <w:rFonts w:asciiTheme="majorBidi" w:hAnsiTheme="majorBidi" w:cstheme="majorBidi"/>
          <w:sz w:val="24"/>
          <w:szCs w:val="24"/>
          <w:highlight w:val="yellow"/>
        </w:rPr>
        <w:t>-18</w:t>
      </w:r>
      <w:r w:rsidRPr="00932445">
        <w:rPr>
          <w:rFonts w:asciiTheme="majorBidi" w:hAnsiTheme="majorBidi" w:cstheme="majorBidi"/>
          <w:sz w:val="24"/>
          <w:szCs w:val="24"/>
        </w:rPr>
        <w:t xml:space="preserve">. </w:t>
      </w:r>
    </w:p>
    <w:p w14:paraId="5DC52D7D" w14:textId="2ECDA8EA"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45. </w:t>
      </w:r>
      <w:r w:rsidRPr="00932445">
        <w:rPr>
          <w:rFonts w:asciiTheme="majorBidi" w:hAnsiTheme="majorBidi" w:cstheme="majorBidi"/>
          <w:sz w:val="24"/>
          <w:szCs w:val="24"/>
        </w:rPr>
        <w:tab/>
        <w:t>Staniloae CS, Korabathina R, Yu J, Kurian D, Coppola J. Safety and efficacy of transradial aortoiliac interventions. Catheter Cardiovasc Interv. 2010;75(5)</w:t>
      </w:r>
      <w:r w:rsidR="00A04F30">
        <w:rPr>
          <w:rFonts w:asciiTheme="majorBidi" w:hAnsiTheme="majorBidi" w:cstheme="majorBidi"/>
          <w:sz w:val="24"/>
          <w:szCs w:val="24"/>
        </w:rPr>
        <w:t>:</w:t>
      </w:r>
      <w:r w:rsidR="00A04F30" w:rsidRPr="00A04F30">
        <w:rPr>
          <w:rFonts w:asciiTheme="majorBidi" w:hAnsiTheme="majorBidi" w:cstheme="majorBidi"/>
          <w:sz w:val="24"/>
          <w:szCs w:val="24"/>
          <w:highlight w:val="yellow"/>
        </w:rPr>
        <w:t>659-662</w:t>
      </w:r>
      <w:r w:rsidRPr="00A04F30">
        <w:rPr>
          <w:rFonts w:asciiTheme="majorBidi" w:hAnsiTheme="majorBidi" w:cstheme="majorBidi"/>
          <w:sz w:val="24"/>
          <w:szCs w:val="24"/>
          <w:highlight w:val="yellow"/>
        </w:rPr>
        <w:t>.</w:t>
      </w:r>
      <w:r w:rsidRPr="00932445">
        <w:rPr>
          <w:rFonts w:asciiTheme="majorBidi" w:hAnsiTheme="majorBidi" w:cstheme="majorBidi"/>
          <w:sz w:val="24"/>
          <w:szCs w:val="24"/>
        </w:rPr>
        <w:t xml:space="preserve"> </w:t>
      </w:r>
    </w:p>
    <w:p w14:paraId="706F02ED" w14:textId="250D7D6A" w:rsidR="00932445" w:rsidRPr="00932445" w:rsidRDefault="00932445" w:rsidP="004759C9">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46. </w:t>
      </w:r>
      <w:r w:rsidRPr="00932445">
        <w:rPr>
          <w:rFonts w:asciiTheme="majorBidi" w:hAnsiTheme="majorBidi" w:cstheme="majorBidi"/>
          <w:sz w:val="24"/>
          <w:szCs w:val="24"/>
        </w:rPr>
        <w:tab/>
        <w:t xml:space="preserve">Lam UP, Lopes Lao EP, Lam KC, Evora M, Wu NQ. Trans-brachial artery access for coronary artery procedures is feasible and safe: data from a </w:t>
      </w:r>
      <w:proofErr w:type="gramStart"/>
      <w:r w:rsidRPr="00932445">
        <w:rPr>
          <w:rFonts w:asciiTheme="majorBidi" w:hAnsiTheme="majorBidi" w:cstheme="majorBidi"/>
          <w:sz w:val="24"/>
          <w:szCs w:val="24"/>
        </w:rPr>
        <w:t>single-center</w:t>
      </w:r>
      <w:proofErr w:type="gramEnd"/>
      <w:r w:rsidRPr="00932445">
        <w:rPr>
          <w:rFonts w:asciiTheme="majorBidi" w:hAnsiTheme="majorBidi" w:cstheme="majorBidi"/>
          <w:sz w:val="24"/>
          <w:szCs w:val="24"/>
        </w:rPr>
        <w:t xml:space="preserve"> in Macau. Chinese Medical Journal. 2019</w:t>
      </w:r>
      <w:r w:rsidR="002306FE">
        <w:rPr>
          <w:rFonts w:asciiTheme="majorBidi" w:hAnsiTheme="majorBidi" w:cstheme="majorBidi"/>
          <w:sz w:val="24"/>
          <w:szCs w:val="24"/>
        </w:rPr>
        <w:t>;</w:t>
      </w:r>
      <w:r w:rsidR="002306FE" w:rsidRPr="002306FE">
        <w:rPr>
          <w:rFonts w:asciiTheme="majorBidi" w:hAnsiTheme="majorBidi" w:cstheme="majorBidi"/>
          <w:sz w:val="24"/>
          <w:szCs w:val="24"/>
        </w:rPr>
        <w:t xml:space="preserve"> </w:t>
      </w:r>
      <w:r w:rsidR="002306FE" w:rsidRPr="00932445">
        <w:rPr>
          <w:rFonts w:asciiTheme="majorBidi" w:hAnsiTheme="majorBidi" w:cstheme="majorBidi"/>
          <w:sz w:val="24"/>
          <w:szCs w:val="24"/>
        </w:rPr>
        <w:t>132</w:t>
      </w:r>
      <w:r w:rsidR="006565F5" w:rsidRPr="006565F5">
        <w:rPr>
          <w:rFonts w:asciiTheme="majorBidi" w:hAnsiTheme="majorBidi" w:cstheme="majorBidi"/>
          <w:sz w:val="24"/>
          <w:szCs w:val="24"/>
          <w:highlight w:val="yellow"/>
        </w:rPr>
        <w:t>(12)</w:t>
      </w:r>
      <w:r w:rsidR="004759C9" w:rsidRPr="006565F5">
        <w:rPr>
          <w:rFonts w:asciiTheme="majorBidi" w:hAnsiTheme="majorBidi" w:cstheme="majorBidi"/>
          <w:sz w:val="24"/>
          <w:szCs w:val="24"/>
          <w:highlight w:val="yellow"/>
        </w:rPr>
        <w:t>:</w:t>
      </w:r>
      <w:r w:rsidR="004759C9" w:rsidRPr="006565F5">
        <w:rPr>
          <w:rFonts w:asciiTheme="majorBidi" w:hAnsiTheme="majorBidi" w:cstheme="majorBidi"/>
          <w:sz w:val="24"/>
          <w:szCs w:val="24"/>
          <w:highlight w:val="yellow"/>
        </w:rPr>
        <w:t>1478</w:t>
      </w:r>
      <w:r w:rsidR="004759C9" w:rsidRPr="004759C9">
        <w:rPr>
          <w:rFonts w:asciiTheme="majorBidi" w:hAnsiTheme="majorBidi" w:cstheme="majorBidi"/>
          <w:sz w:val="24"/>
          <w:szCs w:val="24"/>
          <w:highlight w:val="yellow"/>
        </w:rPr>
        <w:t>–1481</w:t>
      </w:r>
      <w:r w:rsidRPr="00932445">
        <w:rPr>
          <w:rFonts w:asciiTheme="majorBidi" w:hAnsiTheme="majorBidi" w:cstheme="majorBidi"/>
          <w:sz w:val="24"/>
          <w:szCs w:val="24"/>
        </w:rPr>
        <w:t xml:space="preserve">. </w:t>
      </w:r>
    </w:p>
    <w:p w14:paraId="6DD03B3A" w14:textId="467712B1" w:rsidR="00932445" w:rsidRPr="00932445" w:rsidRDefault="00932445" w:rsidP="006565F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47. </w:t>
      </w:r>
      <w:r w:rsidRPr="00932445">
        <w:rPr>
          <w:rFonts w:asciiTheme="majorBidi" w:hAnsiTheme="majorBidi" w:cstheme="majorBidi"/>
          <w:sz w:val="24"/>
          <w:szCs w:val="24"/>
        </w:rPr>
        <w:tab/>
        <w:t>Cesaro A, Moscarella E, Gragnano F, Perrotta R, Diana V, Pariggiano I, et al. Transradial access versus transfemoral access: a comparison of outcomes and efficacy in reducing hemorrhagic events. Expert Review of Cardiovascular Therapy. 2019</w:t>
      </w:r>
      <w:r w:rsidR="00880556">
        <w:rPr>
          <w:rFonts w:asciiTheme="majorBidi" w:hAnsiTheme="majorBidi" w:cstheme="majorBidi"/>
          <w:sz w:val="24"/>
          <w:szCs w:val="24"/>
        </w:rPr>
        <w:t>;</w:t>
      </w:r>
      <w:r w:rsidR="00880556" w:rsidRPr="00932445">
        <w:rPr>
          <w:rFonts w:asciiTheme="majorBidi" w:hAnsiTheme="majorBidi" w:cstheme="majorBidi"/>
          <w:sz w:val="24"/>
          <w:szCs w:val="24"/>
        </w:rPr>
        <w:t>17</w:t>
      </w:r>
      <w:r w:rsidR="006565F5">
        <w:rPr>
          <w:rFonts w:asciiTheme="majorBidi" w:hAnsiTheme="majorBidi" w:cstheme="majorBidi"/>
          <w:sz w:val="24"/>
          <w:szCs w:val="24"/>
        </w:rPr>
        <w:t>(6</w:t>
      </w:r>
      <w:r w:rsidR="006565F5" w:rsidRPr="006565F5">
        <w:rPr>
          <w:rFonts w:asciiTheme="majorBidi" w:hAnsiTheme="majorBidi" w:cstheme="majorBidi"/>
          <w:sz w:val="24"/>
          <w:szCs w:val="24"/>
          <w:highlight w:val="yellow"/>
        </w:rPr>
        <w:t>)</w:t>
      </w:r>
      <w:r w:rsidR="006565F5" w:rsidRPr="006565F5">
        <w:rPr>
          <w:rFonts w:ascii="Segoe UI" w:hAnsi="Segoe UI" w:cs="Segoe UI"/>
          <w:color w:val="5B616B"/>
          <w:highlight w:val="yellow"/>
          <w:shd w:val="clear" w:color="auto" w:fill="FFFFFF"/>
        </w:rPr>
        <w:t>:</w:t>
      </w:r>
      <w:r w:rsidR="006565F5" w:rsidRPr="006565F5">
        <w:rPr>
          <w:rFonts w:asciiTheme="majorBidi" w:hAnsiTheme="majorBidi" w:cstheme="majorBidi"/>
          <w:sz w:val="24"/>
          <w:szCs w:val="24"/>
          <w:highlight w:val="yellow"/>
        </w:rPr>
        <w:t>435-447</w:t>
      </w:r>
      <w:r w:rsidRPr="006565F5">
        <w:rPr>
          <w:rFonts w:asciiTheme="majorBidi" w:hAnsiTheme="majorBidi" w:cstheme="majorBidi"/>
          <w:sz w:val="24"/>
          <w:szCs w:val="24"/>
          <w:highlight w:val="yellow"/>
        </w:rPr>
        <w:t>.</w:t>
      </w:r>
      <w:r w:rsidRPr="00932445">
        <w:rPr>
          <w:rFonts w:asciiTheme="majorBidi" w:hAnsiTheme="majorBidi" w:cstheme="majorBidi"/>
          <w:sz w:val="24"/>
          <w:szCs w:val="24"/>
        </w:rPr>
        <w:t xml:space="preserve"> </w:t>
      </w:r>
    </w:p>
    <w:p w14:paraId="687D0718" w14:textId="310371C3" w:rsidR="00932445" w:rsidRPr="00932445" w:rsidRDefault="00932445" w:rsidP="00B83BBD">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48. </w:t>
      </w:r>
      <w:r w:rsidRPr="00932445">
        <w:rPr>
          <w:rFonts w:asciiTheme="majorBidi" w:hAnsiTheme="majorBidi" w:cstheme="majorBidi"/>
          <w:sz w:val="24"/>
          <w:szCs w:val="24"/>
        </w:rPr>
        <w:tab/>
        <w:t>Scalise RFM, Salito AM, Polimeni A, Garcia-Ruiz V, Virga V, Frigione P, et al. Radial artery access for percutaneous cardiovascular interventions: Contemporary insights and novel approaches. Journal of Clinical Medicine. 2019</w:t>
      </w:r>
      <w:r w:rsidR="00880556">
        <w:rPr>
          <w:rFonts w:asciiTheme="majorBidi" w:hAnsiTheme="majorBidi" w:cstheme="majorBidi"/>
          <w:sz w:val="24"/>
          <w:szCs w:val="24"/>
        </w:rPr>
        <w:t>;</w:t>
      </w:r>
      <w:r w:rsidR="00880556" w:rsidRPr="00932445">
        <w:rPr>
          <w:rFonts w:asciiTheme="majorBidi" w:hAnsiTheme="majorBidi" w:cstheme="majorBidi"/>
          <w:sz w:val="24"/>
          <w:szCs w:val="24"/>
        </w:rPr>
        <w:t>8</w:t>
      </w:r>
      <w:r w:rsidR="00B83BBD">
        <w:rPr>
          <w:rFonts w:asciiTheme="majorBidi" w:hAnsiTheme="majorBidi" w:cstheme="majorBidi"/>
          <w:sz w:val="24"/>
          <w:szCs w:val="24"/>
        </w:rPr>
        <w:t>(10</w:t>
      </w:r>
      <w:r w:rsidR="00B83BBD" w:rsidRPr="00B83BBD">
        <w:rPr>
          <w:rFonts w:asciiTheme="majorBidi" w:hAnsiTheme="majorBidi" w:cstheme="majorBidi"/>
          <w:sz w:val="24"/>
          <w:szCs w:val="24"/>
          <w:highlight w:val="yellow"/>
        </w:rPr>
        <w:t>):</w:t>
      </w:r>
      <w:r w:rsidR="00B83BBD" w:rsidRPr="00B83BBD">
        <w:rPr>
          <w:rFonts w:asciiTheme="majorBidi" w:hAnsiTheme="majorBidi" w:cstheme="majorBidi"/>
          <w:sz w:val="24"/>
          <w:szCs w:val="24"/>
          <w:highlight w:val="yellow"/>
        </w:rPr>
        <w:t>1727</w:t>
      </w:r>
      <w:r w:rsidRPr="00B83BBD">
        <w:rPr>
          <w:rFonts w:asciiTheme="majorBidi" w:hAnsiTheme="majorBidi" w:cstheme="majorBidi"/>
          <w:sz w:val="24"/>
          <w:szCs w:val="24"/>
          <w:highlight w:val="yellow"/>
        </w:rPr>
        <w:t>.</w:t>
      </w:r>
      <w:r w:rsidRPr="00932445">
        <w:rPr>
          <w:rFonts w:asciiTheme="majorBidi" w:hAnsiTheme="majorBidi" w:cstheme="majorBidi"/>
          <w:sz w:val="24"/>
          <w:szCs w:val="24"/>
        </w:rPr>
        <w:t xml:space="preserve"> </w:t>
      </w:r>
    </w:p>
    <w:p w14:paraId="1F861AA2" w14:textId="01DE9A88" w:rsidR="00932445" w:rsidRPr="00932445" w:rsidRDefault="00932445" w:rsidP="00C3301F">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49. </w:t>
      </w:r>
      <w:r w:rsidRPr="00932445">
        <w:rPr>
          <w:rFonts w:asciiTheme="majorBidi" w:hAnsiTheme="majorBidi" w:cstheme="majorBidi"/>
          <w:sz w:val="24"/>
          <w:szCs w:val="24"/>
        </w:rPr>
        <w:tab/>
        <w:t>Abrootan S, Yazdankhah S, Payami B, Alasti M. Changes in heart rate variability parameters after elective percutaneous coronary intervention. J Tehran Univ Hear Cent. 2015;10(2</w:t>
      </w:r>
      <w:r w:rsidRPr="00C3301F">
        <w:rPr>
          <w:rFonts w:asciiTheme="majorBidi" w:hAnsiTheme="majorBidi" w:cstheme="majorBidi"/>
          <w:sz w:val="24"/>
          <w:szCs w:val="24"/>
          <w:highlight w:val="yellow"/>
        </w:rPr>
        <w:t>)</w:t>
      </w:r>
      <w:r w:rsidR="00C3301F" w:rsidRPr="00C3301F">
        <w:rPr>
          <w:rFonts w:asciiTheme="majorBidi" w:hAnsiTheme="majorBidi" w:cstheme="majorBidi"/>
          <w:sz w:val="24"/>
          <w:szCs w:val="24"/>
          <w:highlight w:val="yellow"/>
        </w:rPr>
        <w:t>:</w:t>
      </w:r>
      <w:r w:rsidR="00C3301F" w:rsidRPr="00C3301F">
        <w:rPr>
          <w:rFonts w:asciiTheme="majorBidi" w:hAnsiTheme="majorBidi" w:cstheme="majorBidi"/>
          <w:sz w:val="24"/>
          <w:szCs w:val="24"/>
          <w:highlight w:val="yellow"/>
        </w:rPr>
        <w:t>80–84</w:t>
      </w:r>
      <w:r w:rsidRPr="00C3301F">
        <w:rPr>
          <w:rFonts w:asciiTheme="majorBidi" w:hAnsiTheme="majorBidi" w:cstheme="majorBidi"/>
          <w:sz w:val="24"/>
          <w:szCs w:val="24"/>
          <w:highlight w:val="yellow"/>
        </w:rPr>
        <w:t>.</w:t>
      </w:r>
      <w:r w:rsidRPr="00932445">
        <w:rPr>
          <w:rFonts w:asciiTheme="majorBidi" w:hAnsiTheme="majorBidi" w:cstheme="majorBidi"/>
          <w:sz w:val="24"/>
          <w:szCs w:val="24"/>
        </w:rPr>
        <w:t xml:space="preserve"> </w:t>
      </w:r>
    </w:p>
    <w:p w14:paraId="76B87671" w14:textId="5D32A980"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lang w:val="sv-SE"/>
        </w:rPr>
      </w:pPr>
      <w:r w:rsidRPr="00932445">
        <w:rPr>
          <w:rFonts w:asciiTheme="majorBidi" w:hAnsiTheme="majorBidi" w:cstheme="majorBidi"/>
          <w:sz w:val="24"/>
          <w:szCs w:val="24"/>
        </w:rPr>
        <w:t xml:space="preserve">50. </w:t>
      </w:r>
      <w:r w:rsidRPr="00932445">
        <w:rPr>
          <w:rFonts w:asciiTheme="majorBidi" w:hAnsiTheme="majorBidi" w:cstheme="majorBidi"/>
          <w:sz w:val="24"/>
          <w:szCs w:val="24"/>
        </w:rPr>
        <w:tab/>
        <w:t xml:space="preserve">Jeon K, Song PS, Ahn Y, Jeong MH. Relationship between diastolic blood pressure at discharge and cardiovascular outcomes after percutaneous coronary intervention for acute myocardial infarction. </w:t>
      </w:r>
      <w:r w:rsidRPr="00932445">
        <w:rPr>
          <w:rFonts w:asciiTheme="majorBidi" w:hAnsiTheme="majorBidi" w:cstheme="majorBidi"/>
          <w:sz w:val="24"/>
          <w:szCs w:val="24"/>
          <w:lang w:val="sv-SE"/>
        </w:rPr>
        <w:t>J Hypertens. 2019;37</w:t>
      </w:r>
      <w:r w:rsidR="000E2D00" w:rsidRPr="000E2D00">
        <w:rPr>
          <w:rFonts w:asciiTheme="majorBidi" w:hAnsiTheme="majorBidi" w:cstheme="majorBidi"/>
          <w:sz w:val="24"/>
          <w:szCs w:val="24"/>
          <w:highlight w:val="yellow"/>
          <w:lang w:val="sv-SE"/>
        </w:rPr>
        <w:t>:</w:t>
      </w:r>
      <w:r w:rsidR="000E2D00" w:rsidRPr="000E2D00">
        <w:rPr>
          <w:rFonts w:asciiTheme="majorBidi" w:hAnsiTheme="majorBidi" w:cstheme="majorBidi"/>
          <w:sz w:val="24"/>
          <w:szCs w:val="24"/>
          <w:highlight w:val="yellow"/>
          <w:lang w:val="sv-SE"/>
        </w:rPr>
        <w:t>e289</w:t>
      </w:r>
      <w:r w:rsidRPr="000E2D00">
        <w:rPr>
          <w:rFonts w:asciiTheme="majorBidi" w:hAnsiTheme="majorBidi" w:cstheme="majorBidi"/>
          <w:sz w:val="24"/>
          <w:szCs w:val="24"/>
          <w:highlight w:val="yellow"/>
          <w:lang w:val="sv-SE"/>
        </w:rPr>
        <w:t>.</w:t>
      </w:r>
      <w:r w:rsidRPr="00932445">
        <w:rPr>
          <w:rFonts w:asciiTheme="majorBidi" w:hAnsiTheme="majorBidi" w:cstheme="majorBidi"/>
          <w:sz w:val="24"/>
          <w:szCs w:val="24"/>
          <w:lang w:val="sv-SE"/>
        </w:rPr>
        <w:t xml:space="preserve"> </w:t>
      </w:r>
    </w:p>
    <w:p w14:paraId="1DA4B2BB" w14:textId="6B9B2A16" w:rsidR="00932445" w:rsidRPr="00932445" w:rsidRDefault="00932445" w:rsidP="004E0B6D">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lang w:val="sv-SE"/>
        </w:rPr>
        <w:t xml:space="preserve">51. </w:t>
      </w:r>
      <w:r w:rsidRPr="00932445">
        <w:rPr>
          <w:rFonts w:asciiTheme="majorBidi" w:hAnsiTheme="majorBidi" w:cstheme="majorBidi"/>
          <w:sz w:val="24"/>
          <w:szCs w:val="24"/>
          <w:lang w:val="sv-SE"/>
        </w:rPr>
        <w:tab/>
        <w:t xml:space="preserve">Konstantinou K, Tsioufis C, Koumelli A, Mantzouranis M, Kasiakogias A, Doumas M, et al. </w:t>
      </w:r>
      <w:r w:rsidRPr="00932445">
        <w:rPr>
          <w:rFonts w:asciiTheme="majorBidi" w:hAnsiTheme="majorBidi" w:cstheme="majorBidi"/>
          <w:sz w:val="24"/>
          <w:szCs w:val="24"/>
        </w:rPr>
        <w:t xml:space="preserve">Hypertension and patients with acute coronary syndrome: Putting blood pressure levels into perspective. Journal of Clinical Hypertension. </w:t>
      </w:r>
      <w:r w:rsidRPr="004E0B6D">
        <w:rPr>
          <w:rFonts w:asciiTheme="majorBidi" w:hAnsiTheme="majorBidi" w:cstheme="majorBidi"/>
          <w:sz w:val="24"/>
          <w:szCs w:val="24"/>
          <w:highlight w:val="yellow"/>
        </w:rPr>
        <w:t>2019</w:t>
      </w:r>
      <w:r w:rsidR="004E0B6D" w:rsidRPr="004E0B6D">
        <w:rPr>
          <w:rFonts w:ascii="Segoe UI" w:hAnsi="Segoe UI" w:cs="Segoe UI"/>
          <w:color w:val="5B616B"/>
          <w:highlight w:val="yellow"/>
          <w:shd w:val="clear" w:color="auto" w:fill="FFFFFF"/>
        </w:rPr>
        <w:t>;</w:t>
      </w:r>
      <w:r w:rsidR="004E0B6D" w:rsidRPr="004E0B6D">
        <w:rPr>
          <w:rFonts w:asciiTheme="majorBidi" w:hAnsiTheme="majorBidi" w:cstheme="majorBidi"/>
          <w:sz w:val="24"/>
          <w:szCs w:val="24"/>
          <w:highlight w:val="yellow"/>
        </w:rPr>
        <w:t>21(8):1135-1143</w:t>
      </w:r>
      <w:r w:rsidRPr="00932445">
        <w:rPr>
          <w:rFonts w:asciiTheme="majorBidi" w:hAnsiTheme="majorBidi" w:cstheme="majorBidi"/>
          <w:sz w:val="24"/>
          <w:szCs w:val="24"/>
        </w:rPr>
        <w:t xml:space="preserve">. </w:t>
      </w:r>
    </w:p>
    <w:p w14:paraId="52697624" w14:textId="072D3E54"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52. </w:t>
      </w:r>
      <w:r w:rsidRPr="00932445">
        <w:rPr>
          <w:rFonts w:asciiTheme="majorBidi" w:hAnsiTheme="majorBidi" w:cstheme="majorBidi"/>
          <w:sz w:val="24"/>
          <w:szCs w:val="24"/>
        </w:rPr>
        <w:tab/>
        <w:t xml:space="preserve">Chen X, Xu L, Li Z. Autonomic Neural Circuit and Intervention for Comorbidity Anxiety and Cardiovascular Disease. Frontiers in Physiology. </w:t>
      </w:r>
      <w:proofErr w:type="gramStart"/>
      <w:r w:rsidRPr="00932445">
        <w:rPr>
          <w:rFonts w:asciiTheme="majorBidi" w:hAnsiTheme="majorBidi" w:cstheme="majorBidi"/>
          <w:sz w:val="24"/>
          <w:szCs w:val="24"/>
        </w:rPr>
        <w:t>2022</w:t>
      </w:r>
      <w:r w:rsidR="000257E3">
        <w:rPr>
          <w:rFonts w:asciiTheme="majorBidi" w:hAnsiTheme="majorBidi" w:cstheme="majorBidi"/>
          <w:sz w:val="24"/>
          <w:szCs w:val="24"/>
        </w:rPr>
        <w:t>;13</w:t>
      </w:r>
      <w:r w:rsidR="000257E3" w:rsidRPr="000257E3">
        <w:rPr>
          <w:rFonts w:asciiTheme="majorBidi" w:hAnsiTheme="majorBidi" w:cstheme="majorBidi"/>
          <w:sz w:val="24"/>
          <w:szCs w:val="24"/>
          <w:highlight w:val="yellow"/>
        </w:rPr>
        <w:t>:</w:t>
      </w:r>
      <w:r w:rsidR="000257E3" w:rsidRPr="000257E3">
        <w:rPr>
          <w:rFonts w:asciiTheme="majorBidi" w:hAnsiTheme="majorBidi" w:cstheme="majorBidi"/>
          <w:sz w:val="24"/>
          <w:szCs w:val="24"/>
          <w:highlight w:val="yellow"/>
        </w:rPr>
        <w:t>1</w:t>
      </w:r>
      <w:proofErr w:type="gramEnd"/>
      <w:r w:rsidR="000257E3" w:rsidRPr="000257E3">
        <w:rPr>
          <w:rFonts w:asciiTheme="majorBidi" w:hAnsiTheme="majorBidi" w:cstheme="majorBidi"/>
          <w:sz w:val="24"/>
          <w:szCs w:val="24"/>
          <w:highlight w:val="yellow"/>
        </w:rPr>
        <w:t>-17</w:t>
      </w:r>
      <w:r w:rsidRPr="000257E3">
        <w:rPr>
          <w:rFonts w:asciiTheme="majorBidi" w:hAnsiTheme="majorBidi" w:cstheme="majorBidi"/>
          <w:sz w:val="24"/>
          <w:szCs w:val="24"/>
          <w:highlight w:val="yellow"/>
        </w:rPr>
        <w:t>.</w:t>
      </w:r>
      <w:r w:rsidRPr="00932445">
        <w:rPr>
          <w:rFonts w:asciiTheme="majorBidi" w:hAnsiTheme="majorBidi" w:cstheme="majorBidi"/>
          <w:sz w:val="24"/>
          <w:szCs w:val="24"/>
        </w:rPr>
        <w:t xml:space="preserve"> </w:t>
      </w:r>
    </w:p>
    <w:p w14:paraId="32E6247C" w14:textId="45EEB349" w:rsidR="00932445" w:rsidRPr="00467DC9" w:rsidRDefault="00932445" w:rsidP="00467DC9">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467DC9">
        <w:rPr>
          <w:rFonts w:asciiTheme="majorBidi" w:hAnsiTheme="majorBidi" w:cstheme="majorBidi"/>
          <w:sz w:val="24"/>
          <w:szCs w:val="24"/>
        </w:rPr>
        <w:t xml:space="preserve">53. </w:t>
      </w:r>
      <w:r w:rsidRPr="00467DC9">
        <w:rPr>
          <w:rFonts w:asciiTheme="majorBidi" w:hAnsiTheme="majorBidi" w:cstheme="majorBidi"/>
          <w:sz w:val="24"/>
          <w:szCs w:val="24"/>
        </w:rPr>
        <w:tab/>
        <w:t xml:space="preserve">Ke B, Gong R, Shen A, Qiu H, Chen H, Zhang Z, et al. Risk stratification algorithm </w:t>
      </w:r>
      <w:r w:rsidRPr="00467DC9">
        <w:rPr>
          <w:rFonts w:asciiTheme="majorBidi" w:hAnsiTheme="majorBidi" w:cstheme="majorBidi"/>
          <w:sz w:val="24"/>
          <w:szCs w:val="24"/>
        </w:rPr>
        <w:lastRenderedPageBreak/>
        <w:t>for clinical outcomes in anemic patients undergoing percutaneous coronary intervention. Ann Med. 2023;55(2</w:t>
      </w:r>
      <w:r w:rsidRPr="00467DC9">
        <w:rPr>
          <w:rFonts w:asciiTheme="majorBidi" w:hAnsiTheme="majorBidi" w:cstheme="majorBidi"/>
          <w:sz w:val="24"/>
          <w:szCs w:val="24"/>
          <w:highlight w:val="yellow"/>
        </w:rPr>
        <w:t>)</w:t>
      </w:r>
      <w:r w:rsidR="00467DC9" w:rsidRPr="00467DC9">
        <w:rPr>
          <w:rFonts w:asciiTheme="majorBidi" w:hAnsiTheme="majorBidi" w:cstheme="majorBidi"/>
          <w:sz w:val="24"/>
          <w:szCs w:val="24"/>
          <w:highlight w:val="yellow"/>
        </w:rPr>
        <w:t>:</w:t>
      </w:r>
      <w:r w:rsidR="00467DC9" w:rsidRPr="00467DC9">
        <w:rPr>
          <w:rFonts w:asciiTheme="majorBidi" w:hAnsiTheme="majorBidi" w:cstheme="majorBidi"/>
          <w:sz w:val="24"/>
          <w:szCs w:val="24"/>
          <w:highlight w:val="yellow"/>
        </w:rPr>
        <w:t>2249200</w:t>
      </w:r>
      <w:r w:rsidRPr="00467DC9">
        <w:rPr>
          <w:rFonts w:asciiTheme="majorBidi" w:hAnsiTheme="majorBidi" w:cstheme="majorBidi"/>
          <w:sz w:val="24"/>
          <w:szCs w:val="24"/>
          <w:highlight w:val="yellow"/>
        </w:rPr>
        <w:t>.</w:t>
      </w:r>
      <w:r w:rsidRPr="00467DC9">
        <w:rPr>
          <w:rFonts w:asciiTheme="majorBidi" w:hAnsiTheme="majorBidi" w:cstheme="majorBidi"/>
          <w:sz w:val="24"/>
          <w:szCs w:val="24"/>
        </w:rPr>
        <w:t xml:space="preserve"> </w:t>
      </w:r>
    </w:p>
    <w:p w14:paraId="421287FB" w14:textId="645A5169" w:rsidR="00932445" w:rsidRPr="00946AFD" w:rsidRDefault="00932445" w:rsidP="00946AFD">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46AFD">
        <w:rPr>
          <w:rFonts w:asciiTheme="majorBidi" w:hAnsiTheme="majorBidi" w:cstheme="majorBidi"/>
          <w:sz w:val="24"/>
          <w:szCs w:val="24"/>
        </w:rPr>
        <w:t xml:space="preserve">54. </w:t>
      </w:r>
      <w:r w:rsidRPr="00946AFD">
        <w:rPr>
          <w:rFonts w:asciiTheme="majorBidi" w:hAnsiTheme="majorBidi" w:cstheme="majorBidi"/>
          <w:sz w:val="24"/>
          <w:szCs w:val="24"/>
        </w:rPr>
        <w:tab/>
        <w:t>Kuno T, Numasawa Y, Mikami T, Niimi N, Sawano M, Kodaira M, et al. Association of decreasing hemoglobin levels with the incidence of acute kidney injury after percutaneous coronary intervention: a prospective multi-center study. Heart Vessels. 2021;36(3)</w:t>
      </w:r>
      <w:r w:rsidR="00946AFD" w:rsidRPr="00946AFD">
        <w:rPr>
          <w:rFonts w:asciiTheme="majorBidi" w:hAnsiTheme="majorBidi" w:cstheme="majorBidi"/>
          <w:sz w:val="24"/>
          <w:szCs w:val="24"/>
        </w:rPr>
        <w:t>:</w:t>
      </w:r>
      <w:r w:rsidR="00946AFD" w:rsidRPr="00946AFD">
        <w:rPr>
          <w:rFonts w:asciiTheme="majorBidi" w:hAnsiTheme="majorBidi" w:cstheme="majorBidi"/>
          <w:sz w:val="24"/>
          <w:szCs w:val="24"/>
          <w:highlight w:val="yellow"/>
        </w:rPr>
        <w:t>330-336</w:t>
      </w:r>
      <w:r w:rsidRPr="00946AFD">
        <w:rPr>
          <w:rFonts w:asciiTheme="majorBidi" w:hAnsiTheme="majorBidi" w:cstheme="majorBidi"/>
          <w:sz w:val="24"/>
          <w:szCs w:val="24"/>
          <w:highlight w:val="yellow"/>
        </w:rPr>
        <w:t>.</w:t>
      </w:r>
      <w:r w:rsidRPr="00946AFD">
        <w:rPr>
          <w:rFonts w:asciiTheme="majorBidi" w:hAnsiTheme="majorBidi" w:cstheme="majorBidi"/>
          <w:sz w:val="24"/>
          <w:szCs w:val="24"/>
        </w:rPr>
        <w:t xml:space="preserve"> </w:t>
      </w:r>
    </w:p>
    <w:p w14:paraId="5BF78757" w14:textId="49725DFF" w:rsidR="00932445" w:rsidRPr="00726DD7" w:rsidRDefault="00932445" w:rsidP="00726DD7">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726DD7">
        <w:rPr>
          <w:rFonts w:asciiTheme="majorBidi" w:hAnsiTheme="majorBidi" w:cstheme="majorBidi"/>
          <w:sz w:val="24"/>
          <w:szCs w:val="24"/>
        </w:rPr>
        <w:t xml:space="preserve">55. </w:t>
      </w:r>
      <w:r w:rsidRPr="00726DD7">
        <w:rPr>
          <w:rFonts w:asciiTheme="majorBidi" w:hAnsiTheme="majorBidi" w:cstheme="majorBidi"/>
          <w:sz w:val="24"/>
          <w:szCs w:val="24"/>
        </w:rPr>
        <w:tab/>
        <w:t>Firouzi A, Alemzadeh-Ansari MJ, Mohammadhadi N, Peighambari MM, Zahedmehr A, Mohebbi B, et al. Association between the risks of contrast-induced nephropathy after diagnostic or interventional coronary management and the transradial and transfemoral access approaches. J Cardiovasc Thorac Res. 2020;12(1</w:t>
      </w:r>
      <w:r w:rsidRPr="00726DD7">
        <w:rPr>
          <w:rFonts w:asciiTheme="majorBidi" w:hAnsiTheme="majorBidi" w:cstheme="majorBidi"/>
          <w:sz w:val="24"/>
          <w:szCs w:val="24"/>
          <w:highlight w:val="yellow"/>
        </w:rPr>
        <w:t>)</w:t>
      </w:r>
      <w:r w:rsidR="00726DD7" w:rsidRPr="00726DD7">
        <w:rPr>
          <w:rFonts w:asciiTheme="majorBidi" w:hAnsiTheme="majorBidi" w:cstheme="majorBidi"/>
          <w:sz w:val="24"/>
          <w:szCs w:val="24"/>
          <w:highlight w:val="yellow"/>
        </w:rPr>
        <w:t>:</w:t>
      </w:r>
      <w:r w:rsidR="00726DD7" w:rsidRPr="00726DD7">
        <w:rPr>
          <w:rFonts w:asciiTheme="majorBidi" w:hAnsiTheme="majorBidi" w:cstheme="majorBidi"/>
          <w:sz w:val="24"/>
          <w:szCs w:val="24"/>
          <w:highlight w:val="yellow"/>
        </w:rPr>
        <w:t>51-55</w:t>
      </w:r>
      <w:r w:rsidRPr="00726DD7">
        <w:rPr>
          <w:rFonts w:asciiTheme="majorBidi" w:hAnsiTheme="majorBidi" w:cstheme="majorBidi"/>
          <w:sz w:val="24"/>
          <w:szCs w:val="24"/>
          <w:highlight w:val="yellow"/>
        </w:rPr>
        <w:t>.</w:t>
      </w:r>
      <w:r w:rsidRPr="00726DD7">
        <w:rPr>
          <w:rFonts w:asciiTheme="majorBidi" w:hAnsiTheme="majorBidi" w:cstheme="majorBidi"/>
          <w:sz w:val="24"/>
          <w:szCs w:val="24"/>
        </w:rPr>
        <w:t xml:space="preserve"> </w:t>
      </w:r>
    </w:p>
    <w:p w14:paraId="421008AB" w14:textId="760F4302" w:rsidR="00932445" w:rsidRPr="00610B1B" w:rsidRDefault="00932445" w:rsidP="00610B1B">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610B1B">
        <w:rPr>
          <w:rFonts w:asciiTheme="majorBidi" w:hAnsiTheme="majorBidi" w:cstheme="majorBidi"/>
          <w:sz w:val="24"/>
          <w:szCs w:val="24"/>
        </w:rPr>
        <w:t xml:space="preserve">56. </w:t>
      </w:r>
      <w:r w:rsidRPr="00610B1B">
        <w:rPr>
          <w:rFonts w:asciiTheme="majorBidi" w:hAnsiTheme="majorBidi" w:cstheme="majorBidi"/>
          <w:sz w:val="24"/>
          <w:szCs w:val="24"/>
        </w:rPr>
        <w:tab/>
        <w:t>Gorgulu S, Kalay N, Norgaz T, Kocas C, Goktekin O, Brilakis ES. Femoral or Radial Approach in Treatment of Coronary Chronic Total Occlusion: A Randomised Clinical Trial. JACC Cardiovasc Interv. 2022;15(8)</w:t>
      </w:r>
      <w:r w:rsidR="00610B1B" w:rsidRPr="00610B1B">
        <w:rPr>
          <w:rFonts w:asciiTheme="majorBidi" w:hAnsiTheme="majorBidi" w:cstheme="majorBidi"/>
          <w:sz w:val="24"/>
          <w:szCs w:val="24"/>
          <w:highlight w:val="yellow"/>
        </w:rPr>
        <w:t>:</w:t>
      </w:r>
      <w:r w:rsidR="00610B1B" w:rsidRPr="00610B1B">
        <w:rPr>
          <w:rFonts w:asciiTheme="majorBidi" w:hAnsiTheme="majorBidi" w:cstheme="majorBidi"/>
          <w:sz w:val="24"/>
          <w:szCs w:val="24"/>
          <w:highlight w:val="yellow"/>
        </w:rPr>
        <w:t>823-830</w:t>
      </w:r>
      <w:r w:rsidRPr="00610B1B">
        <w:rPr>
          <w:rFonts w:asciiTheme="majorBidi" w:hAnsiTheme="majorBidi" w:cstheme="majorBidi"/>
          <w:sz w:val="24"/>
          <w:szCs w:val="24"/>
          <w:highlight w:val="yellow"/>
        </w:rPr>
        <w:t>.</w:t>
      </w:r>
      <w:r w:rsidRPr="00610B1B">
        <w:rPr>
          <w:rFonts w:asciiTheme="majorBidi" w:hAnsiTheme="majorBidi" w:cstheme="majorBidi"/>
          <w:sz w:val="24"/>
          <w:szCs w:val="24"/>
        </w:rPr>
        <w:t xml:space="preserve"> </w:t>
      </w:r>
    </w:p>
    <w:p w14:paraId="7C296FD2" w14:textId="7BD95E4D" w:rsidR="00932445" w:rsidRPr="00610B1B" w:rsidRDefault="00932445" w:rsidP="00BF186D">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610B1B">
        <w:rPr>
          <w:rFonts w:asciiTheme="majorBidi" w:hAnsiTheme="majorBidi" w:cstheme="majorBidi"/>
          <w:sz w:val="24"/>
          <w:szCs w:val="24"/>
        </w:rPr>
        <w:t xml:space="preserve">57. </w:t>
      </w:r>
      <w:r w:rsidRPr="00610B1B">
        <w:rPr>
          <w:rFonts w:asciiTheme="majorBidi" w:hAnsiTheme="majorBidi" w:cstheme="majorBidi"/>
          <w:sz w:val="24"/>
          <w:szCs w:val="24"/>
        </w:rPr>
        <w:tab/>
        <w:t>Al-Saber A, May A-N. Effect of Mindful Meditation, Physical Activity, and Diet to Reduce the Risk to Develop or Reduce Severity of Cardiovascular Diseases in Saudi Arabia: A Systematic Review. World J Cardiovasc Dis. 2023;13(1</w:t>
      </w:r>
      <w:r w:rsidRPr="00610B1B">
        <w:rPr>
          <w:rFonts w:asciiTheme="majorBidi" w:hAnsiTheme="majorBidi" w:cstheme="majorBidi"/>
          <w:sz w:val="24"/>
          <w:szCs w:val="24"/>
          <w:highlight w:val="yellow"/>
        </w:rPr>
        <w:t>)</w:t>
      </w:r>
      <w:r w:rsidR="00BF186D" w:rsidRPr="00610B1B">
        <w:rPr>
          <w:rFonts w:asciiTheme="majorBidi" w:hAnsiTheme="majorBidi" w:cstheme="majorBidi"/>
          <w:sz w:val="24"/>
          <w:szCs w:val="24"/>
          <w:highlight w:val="yellow"/>
        </w:rPr>
        <w:t>:</w:t>
      </w:r>
      <w:r w:rsidR="00BF186D" w:rsidRPr="00610B1B">
        <w:rPr>
          <w:rFonts w:asciiTheme="majorBidi" w:hAnsiTheme="majorBidi" w:cstheme="majorBidi"/>
          <w:sz w:val="24"/>
          <w:szCs w:val="24"/>
          <w:highlight w:val="yellow"/>
        </w:rPr>
        <w:t>46-72</w:t>
      </w:r>
      <w:r w:rsidRPr="00610B1B">
        <w:rPr>
          <w:rFonts w:asciiTheme="majorBidi" w:hAnsiTheme="majorBidi" w:cstheme="majorBidi"/>
          <w:sz w:val="24"/>
          <w:szCs w:val="24"/>
          <w:highlight w:val="yellow"/>
        </w:rPr>
        <w:t>.</w:t>
      </w:r>
      <w:r w:rsidRPr="00610B1B">
        <w:rPr>
          <w:rFonts w:asciiTheme="majorBidi" w:hAnsiTheme="majorBidi" w:cstheme="majorBidi"/>
          <w:sz w:val="24"/>
          <w:szCs w:val="24"/>
        </w:rPr>
        <w:t xml:space="preserve"> </w:t>
      </w:r>
    </w:p>
    <w:p w14:paraId="5CB3B41D" w14:textId="457DD4B6" w:rsidR="00932445" w:rsidRPr="00FA5087" w:rsidRDefault="00932445" w:rsidP="00FA5087">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FA5087">
        <w:rPr>
          <w:rFonts w:asciiTheme="majorBidi" w:hAnsiTheme="majorBidi" w:cstheme="majorBidi"/>
          <w:sz w:val="24"/>
          <w:szCs w:val="24"/>
        </w:rPr>
        <w:t xml:space="preserve">58. </w:t>
      </w:r>
      <w:r w:rsidRPr="00FA5087">
        <w:rPr>
          <w:rFonts w:asciiTheme="majorBidi" w:hAnsiTheme="majorBidi" w:cstheme="majorBidi"/>
          <w:sz w:val="24"/>
          <w:szCs w:val="24"/>
        </w:rPr>
        <w:tab/>
        <w:t>Khodabandehlooie S, Saleh D, Hosseini M. Nursing assessment of vascular complications after cardiac catheterization through the distal radial artery. Iran J Nurs Midwifery Res. 2023;28(3</w:t>
      </w:r>
      <w:r w:rsidRPr="00FA5087">
        <w:rPr>
          <w:rFonts w:asciiTheme="majorBidi" w:hAnsiTheme="majorBidi" w:cstheme="majorBidi"/>
          <w:sz w:val="24"/>
          <w:szCs w:val="24"/>
          <w:highlight w:val="yellow"/>
        </w:rPr>
        <w:t>)</w:t>
      </w:r>
      <w:r w:rsidR="00FA5087" w:rsidRPr="00FA5087">
        <w:rPr>
          <w:rFonts w:asciiTheme="majorBidi" w:hAnsiTheme="majorBidi" w:cstheme="majorBidi"/>
          <w:sz w:val="24"/>
          <w:szCs w:val="24"/>
          <w:highlight w:val="yellow"/>
        </w:rPr>
        <w:t>:</w:t>
      </w:r>
      <w:r w:rsidR="00FA5087" w:rsidRPr="00FA5087">
        <w:rPr>
          <w:rFonts w:asciiTheme="majorBidi" w:hAnsiTheme="majorBidi" w:cstheme="majorBidi"/>
          <w:sz w:val="24"/>
          <w:szCs w:val="24"/>
          <w:highlight w:val="yellow"/>
        </w:rPr>
        <w:t>357-360</w:t>
      </w:r>
      <w:r w:rsidRPr="00FA5087">
        <w:rPr>
          <w:rFonts w:asciiTheme="majorBidi" w:hAnsiTheme="majorBidi" w:cstheme="majorBidi"/>
          <w:sz w:val="24"/>
          <w:szCs w:val="24"/>
          <w:highlight w:val="yellow"/>
        </w:rPr>
        <w:t>.</w:t>
      </w:r>
      <w:r w:rsidRPr="00FA5087">
        <w:rPr>
          <w:rFonts w:asciiTheme="majorBidi" w:hAnsiTheme="majorBidi" w:cstheme="majorBidi"/>
          <w:sz w:val="24"/>
          <w:szCs w:val="24"/>
        </w:rPr>
        <w:t xml:space="preserve"> </w:t>
      </w:r>
    </w:p>
    <w:p w14:paraId="75119ADE"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59. </w:t>
      </w:r>
      <w:r w:rsidRPr="00932445">
        <w:rPr>
          <w:rFonts w:asciiTheme="majorBidi" w:hAnsiTheme="majorBidi" w:cstheme="majorBidi"/>
          <w:sz w:val="24"/>
          <w:szCs w:val="24"/>
        </w:rPr>
        <w:tab/>
        <w:t xml:space="preserve">Unger SA, Kucia AM. Diagnostic Procedures. In: Cardiac Care. 2nd ed. Wiley; 2022. p. 76–102. </w:t>
      </w:r>
    </w:p>
    <w:p w14:paraId="3F6F2ACA" w14:textId="70E17F3C" w:rsidR="00932445" w:rsidRPr="00FA5087" w:rsidRDefault="00932445" w:rsidP="00AB7B43">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FA5087">
        <w:rPr>
          <w:rFonts w:asciiTheme="majorBidi" w:hAnsiTheme="majorBidi" w:cstheme="majorBidi"/>
          <w:sz w:val="24"/>
          <w:szCs w:val="24"/>
        </w:rPr>
        <w:t xml:space="preserve">60. </w:t>
      </w:r>
      <w:r w:rsidRPr="00FA5087">
        <w:rPr>
          <w:rFonts w:asciiTheme="majorBidi" w:hAnsiTheme="majorBidi" w:cstheme="majorBidi"/>
          <w:sz w:val="24"/>
          <w:szCs w:val="24"/>
        </w:rPr>
        <w:tab/>
        <w:t>Mason PJ, Shah B, Tamis-Holland JE, Bittl JA, Cohen MG, Safirstein J, et al. An update on radial artery access and best practices for transradial coronary angiography and intervention in acute coronary syndrome: A scientific statement from the American Heart Association. Circulation: Cardiovascular Interventions. 2018</w:t>
      </w:r>
      <w:r w:rsidR="00677848" w:rsidRPr="00FA5087">
        <w:rPr>
          <w:rFonts w:asciiTheme="majorBidi" w:hAnsiTheme="majorBidi" w:cstheme="majorBidi"/>
          <w:sz w:val="24"/>
          <w:szCs w:val="24"/>
        </w:rPr>
        <w:t>;</w:t>
      </w:r>
      <w:r w:rsidR="00677848" w:rsidRPr="00FA5087">
        <w:rPr>
          <w:rFonts w:asciiTheme="majorBidi" w:hAnsiTheme="majorBidi" w:cstheme="majorBidi"/>
          <w:sz w:val="24"/>
          <w:szCs w:val="24"/>
        </w:rPr>
        <w:t>11</w:t>
      </w:r>
      <w:r w:rsidR="00AB7B43" w:rsidRPr="00FA5087">
        <w:rPr>
          <w:rFonts w:asciiTheme="majorBidi" w:hAnsiTheme="majorBidi" w:cstheme="majorBidi"/>
          <w:sz w:val="24"/>
          <w:szCs w:val="24"/>
        </w:rPr>
        <w:t>(9</w:t>
      </w:r>
      <w:proofErr w:type="gramStart"/>
      <w:r w:rsidR="00AB7B43" w:rsidRPr="00FA5087">
        <w:rPr>
          <w:rFonts w:asciiTheme="majorBidi" w:hAnsiTheme="majorBidi" w:cstheme="majorBidi"/>
          <w:sz w:val="24"/>
          <w:szCs w:val="24"/>
          <w:highlight w:val="yellow"/>
        </w:rPr>
        <w:t>)</w:t>
      </w:r>
      <w:r w:rsidR="00AB7B43" w:rsidRPr="00FA5087">
        <w:rPr>
          <w:rFonts w:ascii="Segoe UI" w:hAnsi="Segoe UI" w:cs="Segoe UI"/>
          <w:highlight w:val="yellow"/>
          <w:shd w:val="clear" w:color="auto" w:fill="FFFFFF"/>
        </w:rPr>
        <w:t>:</w:t>
      </w:r>
      <w:r w:rsidR="00AB7B43" w:rsidRPr="00FA5087">
        <w:rPr>
          <w:rFonts w:asciiTheme="majorBidi" w:hAnsiTheme="majorBidi" w:cstheme="majorBidi"/>
          <w:sz w:val="24"/>
          <w:szCs w:val="24"/>
          <w:highlight w:val="yellow"/>
        </w:rPr>
        <w:t>e</w:t>
      </w:r>
      <w:proofErr w:type="gramEnd"/>
      <w:r w:rsidR="00AB7B43" w:rsidRPr="00FA5087">
        <w:rPr>
          <w:rFonts w:asciiTheme="majorBidi" w:hAnsiTheme="majorBidi" w:cstheme="majorBidi"/>
          <w:sz w:val="24"/>
          <w:szCs w:val="24"/>
          <w:highlight w:val="yellow"/>
        </w:rPr>
        <w:t>000035</w:t>
      </w:r>
      <w:r w:rsidRPr="00FA5087">
        <w:rPr>
          <w:rFonts w:asciiTheme="majorBidi" w:hAnsiTheme="majorBidi" w:cstheme="majorBidi"/>
          <w:sz w:val="24"/>
          <w:szCs w:val="24"/>
          <w:highlight w:val="yellow"/>
        </w:rPr>
        <w:t>.</w:t>
      </w:r>
      <w:r w:rsidRPr="00FA5087">
        <w:rPr>
          <w:rFonts w:asciiTheme="majorBidi" w:hAnsiTheme="majorBidi" w:cstheme="majorBidi"/>
          <w:sz w:val="24"/>
          <w:szCs w:val="24"/>
        </w:rPr>
        <w:t xml:space="preserve"> </w:t>
      </w:r>
    </w:p>
    <w:p w14:paraId="26C94FD7" w14:textId="6C5A0C39" w:rsidR="00932445" w:rsidRPr="00D303F2" w:rsidRDefault="00932445" w:rsidP="00D303F2">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D303F2">
        <w:rPr>
          <w:rFonts w:asciiTheme="majorBidi" w:hAnsiTheme="majorBidi" w:cstheme="majorBidi"/>
          <w:sz w:val="24"/>
          <w:szCs w:val="24"/>
        </w:rPr>
        <w:t xml:space="preserve">61. </w:t>
      </w:r>
      <w:r w:rsidRPr="00D303F2">
        <w:rPr>
          <w:rFonts w:asciiTheme="majorBidi" w:hAnsiTheme="majorBidi" w:cstheme="majorBidi"/>
          <w:sz w:val="24"/>
          <w:szCs w:val="24"/>
        </w:rPr>
        <w:tab/>
        <w:t>Bianchini F, Lombardi M, Ricchiuto A, Paraggio L, Aurigemma C, Romagnoli E, et al. Combined ultrasound and angiographic guidance to facilitate transradial access procedures. Catheter Cardiovasc Interv. 2024;103(3</w:t>
      </w:r>
      <w:r w:rsidRPr="00D303F2">
        <w:rPr>
          <w:rFonts w:asciiTheme="majorBidi" w:hAnsiTheme="majorBidi" w:cstheme="majorBidi"/>
          <w:sz w:val="24"/>
          <w:szCs w:val="24"/>
          <w:highlight w:val="yellow"/>
        </w:rPr>
        <w:t>)</w:t>
      </w:r>
      <w:r w:rsidR="00D303F2" w:rsidRPr="00D303F2">
        <w:rPr>
          <w:rFonts w:asciiTheme="majorBidi" w:hAnsiTheme="majorBidi" w:cstheme="majorBidi"/>
          <w:sz w:val="24"/>
          <w:szCs w:val="24"/>
          <w:highlight w:val="yellow"/>
        </w:rPr>
        <w:t>:443-454</w:t>
      </w:r>
      <w:r w:rsidRPr="00D303F2">
        <w:rPr>
          <w:rFonts w:asciiTheme="majorBidi" w:hAnsiTheme="majorBidi" w:cstheme="majorBidi"/>
          <w:sz w:val="24"/>
          <w:szCs w:val="24"/>
          <w:highlight w:val="yellow"/>
        </w:rPr>
        <w:t>.</w:t>
      </w:r>
      <w:r w:rsidRPr="00D303F2">
        <w:rPr>
          <w:rFonts w:asciiTheme="majorBidi" w:hAnsiTheme="majorBidi" w:cstheme="majorBidi"/>
          <w:sz w:val="24"/>
          <w:szCs w:val="24"/>
        </w:rPr>
        <w:t xml:space="preserve"> </w:t>
      </w:r>
    </w:p>
    <w:p w14:paraId="1408B763" w14:textId="6716BFB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62. </w:t>
      </w:r>
      <w:r w:rsidRPr="00932445">
        <w:rPr>
          <w:rFonts w:asciiTheme="majorBidi" w:hAnsiTheme="majorBidi" w:cstheme="majorBidi"/>
          <w:sz w:val="24"/>
          <w:szCs w:val="24"/>
        </w:rPr>
        <w:tab/>
        <w:t xml:space="preserve">Li Y, Chen SH, Spiotta AM, Jabbour P, Levitt MR, Kan P, et al. Lower </w:t>
      </w:r>
      <w:r w:rsidRPr="00932445">
        <w:rPr>
          <w:rFonts w:asciiTheme="majorBidi" w:hAnsiTheme="majorBidi" w:cstheme="majorBidi"/>
          <w:sz w:val="24"/>
          <w:szCs w:val="24"/>
        </w:rPr>
        <w:lastRenderedPageBreak/>
        <w:t>complication rates associated with transradial versus transfemoral flow diverting stent placement. J Neurointerv Surg. 2021;13(1)</w:t>
      </w:r>
      <w:r w:rsidR="002703C3">
        <w:rPr>
          <w:rFonts w:asciiTheme="majorBidi" w:hAnsiTheme="majorBidi" w:cstheme="majorBidi"/>
          <w:sz w:val="24"/>
          <w:szCs w:val="24"/>
        </w:rPr>
        <w:t>:</w:t>
      </w:r>
      <w:r w:rsidR="002703C3" w:rsidRPr="002703C3">
        <w:rPr>
          <w:rFonts w:asciiTheme="majorBidi" w:hAnsiTheme="majorBidi" w:cstheme="majorBidi"/>
          <w:sz w:val="24"/>
          <w:szCs w:val="24"/>
          <w:highlight w:val="yellow"/>
        </w:rPr>
        <w:t>91-95</w:t>
      </w:r>
      <w:r w:rsidRPr="002703C3">
        <w:rPr>
          <w:rFonts w:asciiTheme="majorBidi" w:hAnsiTheme="majorBidi" w:cstheme="majorBidi"/>
          <w:sz w:val="24"/>
          <w:szCs w:val="24"/>
          <w:highlight w:val="yellow"/>
        </w:rPr>
        <w:t>.</w:t>
      </w:r>
      <w:r w:rsidRPr="00932445">
        <w:rPr>
          <w:rFonts w:asciiTheme="majorBidi" w:hAnsiTheme="majorBidi" w:cstheme="majorBidi"/>
          <w:sz w:val="24"/>
          <w:szCs w:val="24"/>
        </w:rPr>
        <w:t xml:space="preserve"> </w:t>
      </w:r>
    </w:p>
    <w:p w14:paraId="2D7000FF" w14:textId="6F01FDD3" w:rsidR="00932445" w:rsidRPr="00932445" w:rsidRDefault="00932445" w:rsidP="002703C3">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63. </w:t>
      </w:r>
      <w:r w:rsidRPr="00932445">
        <w:rPr>
          <w:rFonts w:asciiTheme="majorBidi" w:hAnsiTheme="majorBidi" w:cstheme="majorBidi"/>
          <w:sz w:val="24"/>
          <w:szCs w:val="24"/>
        </w:rPr>
        <w:tab/>
        <w:t>Schartz D, Akkipeddi SMK, Ellens N, Rahmani R, Kohli GS, Bruckel J, et al. Complications of transradial versus transfemoral access for neuroendovascular procedures: a meta-analysis. J Neurointerv Surg. 2022;14(8)</w:t>
      </w:r>
      <w:r w:rsidR="002703C3">
        <w:rPr>
          <w:rFonts w:asciiTheme="majorBidi" w:hAnsiTheme="majorBidi" w:cstheme="majorBidi"/>
          <w:sz w:val="24"/>
          <w:szCs w:val="24"/>
        </w:rPr>
        <w:t>:</w:t>
      </w:r>
      <w:r w:rsidR="002703C3" w:rsidRPr="002703C3">
        <w:rPr>
          <w:rFonts w:asciiTheme="majorBidi" w:hAnsiTheme="majorBidi" w:cstheme="majorBidi"/>
          <w:sz w:val="24"/>
          <w:szCs w:val="24"/>
          <w:highlight w:val="yellow"/>
        </w:rPr>
        <w:t>820-825</w:t>
      </w:r>
      <w:r w:rsidRPr="002703C3">
        <w:rPr>
          <w:rFonts w:asciiTheme="majorBidi" w:hAnsiTheme="majorBidi" w:cstheme="majorBidi"/>
          <w:sz w:val="24"/>
          <w:szCs w:val="24"/>
          <w:highlight w:val="yellow"/>
        </w:rPr>
        <w:t>.</w:t>
      </w:r>
      <w:r w:rsidRPr="00932445">
        <w:rPr>
          <w:rFonts w:asciiTheme="majorBidi" w:hAnsiTheme="majorBidi" w:cstheme="majorBidi"/>
          <w:sz w:val="24"/>
          <w:szCs w:val="24"/>
        </w:rPr>
        <w:t xml:space="preserve"> </w:t>
      </w:r>
    </w:p>
    <w:p w14:paraId="3CE2FAAC" w14:textId="4DD3432F"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64. </w:t>
      </w:r>
      <w:r w:rsidRPr="00932445">
        <w:rPr>
          <w:rFonts w:asciiTheme="majorBidi" w:hAnsiTheme="majorBidi" w:cstheme="majorBidi"/>
          <w:sz w:val="24"/>
          <w:szCs w:val="24"/>
        </w:rPr>
        <w:tab/>
        <w:t>Rao S V., Turi ZG, Wong SC, Brener SJ, Stone GW. Radial versus femoral access. J Am Coll Cardiol [Internet]. 2013;62(17 SUPPL</w:t>
      </w:r>
      <w:proofErr w:type="gramStart"/>
      <w:r w:rsidRPr="00932445">
        <w:rPr>
          <w:rFonts w:asciiTheme="majorBidi" w:hAnsiTheme="majorBidi" w:cstheme="majorBidi"/>
          <w:sz w:val="24"/>
          <w:szCs w:val="24"/>
        </w:rPr>
        <w:t>):S</w:t>
      </w:r>
      <w:proofErr w:type="gramEnd"/>
      <w:r w:rsidRPr="00932445">
        <w:rPr>
          <w:rFonts w:asciiTheme="majorBidi" w:hAnsiTheme="majorBidi" w:cstheme="majorBidi"/>
          <w:sz w:val="24"/>
          <w:szCs w:val="24"/>
        </w:rPr>
        <w:t xml:space="preserve">11–20. Available from: </w:t>
      </w:r>
      <w:hyperlink r:id="rId11" w:history="1">
        <w:r w:rsidR="00F0243A" w:rsidRPr="004D4BA8">
          <w:rPr>
            <w:rStyle w:val="Hyperlink"/>
            <w:rFonts w:asciiTheme="majorBidi" w:hAnsiTheme="majorBidi" w:cstheme="majorBidi"/>
            <w:sz w:val="24"/>
            <w:szCs w:val="24"/>
          </w:rPr>
          <w:t>http://dx.doi.org/10.1016/j.jacc.2013.08.700</w:t>
        </w:r>
      </w:hyperlink>
      <w:r w:rsidR="00F0243A">
        <w:rPr>
          <w:rFonts w:asciiTheme="majorBidi" w:hAnsiTheme="majorBidi" w:cstheme="majorBidi"/>
          <w:sz w:val="24"/>
          <w:szCs w:val="24"/>
        </w:rPr>
        <w:t xml:space="preserve"> </w:t>
      </w:r>
    </w:p>
    <w:p w14:paraId="6AB76FA0" w14:textId="30442BF9" w:rsidR="00932445" w:rsidRPr="00932445" w:rsidRDefault="00932445" w:rsidP="008008D2">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 xml:space="preserve">65. </w:t>
      </w:r>
      <w:r w:rsidRPr="00932445">
        <w:rPr>
          <w:rFonts w:asciiTheme="majorBidi" w:hAnsiTheme="majorBidi" w:cstheme="majorBidi"/>
          <w:sz w:val="24"/>
          <w:szCs w:val="24"/>
        </w:rPr>
        <w:tab/>
        <w:t>Senguttuvan NB, Reddy PMK, Shankar PH, Abdulkader RS, Yallanki HP, Kumar A, et al. Trans-radial approach versus trans-femoral approach in patients with acute coronary syndrome undergoing percutaneous coronary intervention: An updated meta-analysis of randomised controlled trials. PLoS One. 2022;17(4</w:t>
      </w:r>
      <w:proofErr w:type="gramStart"/>
      <w:r w:rsidRPr="008008D2">
        <w:rPr>
          <w:rFonts w:asciiTheme="majorBidi" w:hAnsiTheme="majorBidi" w:cstheme="majorBidi"/>
          <w:sz w:val="24"/>
          <w:szCs w:val="24"/>
          <w:highlight w:val="yellow"/>
        </w:rPr>
        <w:t>)</w:t>
      </w:r>
      <w:r w:rsidR="008008D2" w:rsidRPr="008008D2">
        <w:rPr>
          <w:rFonts w:asciiTheme="majorBidi" w:hAnsiTheme="majorBidi" w:cstheme="majorBidi"/>
          <w:sz w:val="24"/>
          <w:szCs w:val="24"/>
          <w:highlight w:val="yellow"/>
        </w:rPr>
        <w:t>:</w:t>
      </w:r>
      <w:r w:rsidR="008008D2" w:rsidRPr="008008D2">
        <w:rPr>
          <w:rFonts w:asciiTheme="majorBidi" w:hAnsiTheme="majorBidi" w:cstheme="majorBidi"/>
          <w:sz w:val="24"/>
          <w:szCs w:val="24"/>
          <w:highlight w:val="yellow"/>
        </w:rPr>
        <w:t>e</w:t>
      </w:r>
      <w:proofErr w:type="gramEnd"/>
      <w:r w:rsidR="008008D2" w:rsidRPr="008008D2">
        <w:rPr>
          <w:rFonts w:asciiTheme="majorBidi" w:hAnsiTheme="majorBidi" w:cstheme="majorBidi"/>
          <w:sz w:val="24"/>
          <w:szCs w:val="24"/>
          <w:highlight w:val="yellow"/>
        </w:rPr>
        <w:t>0266709</w:t>
      </w:r>
      <w:r w:rsidRPr="00932445">
        <w:rPr>
          <w:rFonts w:asciiTheme="majorBidi" w:hAnsiTheme="majorBidi" w:cstheme="majorBidi"/>
          <w:sz w:val="24"/>
          <w:szCs w:val="24"/>
        </w:rPr>
        <w:t xml:space="preserve">. </w:t>
      </w:r>
    </w:p>
    <w:p w14:paraId="1A42307C"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66.     Bangalore S, Arora N, Resnic FS. Vascular closure Device Failure: frequency and implications. Circulation Cardiovascular Interventions [Internet]. 2009 Oct 28;2(6):</w:t>
      </w:r>
      <w:r w:rsidRPr="001009EF">
        <w:rPr>
          <w:rFonts w:asciiTheme="majorBidi" w:hAnsiTheme="majorBidi" w:cstheme="majorBidi"/>
          <w:sz w:val="24"/>
          <w:szCs w:val="24"/>
          <w:highlight w:val="yellow"/>
        </w:rPr>
        <w:t>549–56</w:t>
      </w:r>
      <w:r w:rsidRPr="00932445">
        <w:rPr>
          <w:rFonts w:asciiTheme="majorBidi" w:hAnsiTheme="majorBidi" w:cstheme="majorBidi"/>
          <w:sz w:val="24"/>
          <w:szCs w:val="24"/>
        </w:rPr>
        <w:t>. Available from: https://doi.org/10.1161/circinterventions.109.877407</w:t>
      </w:r>
    </w:p>
    <w:p w14:paraId="784AB2FA" w14:textId="0E70685A" w:rsidR="00932445" w:rsidRPr="00932445" w:rsidRDefault="00932445" w:rsidP="001009EF">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67.      Ng AK, Ng PY, Ip A, Jim M, Siu C. Association between radial versus femoral access for percutaneous coronary intervention and Long‐Term mortality. Journal of the American Heart Association [Internet]. 2021 Jul 30;10(15</w:t>
      </w:r>
      <w:proofErr w:type="gramStart"/>
      <w:r w:rsidRPr="00932445">
        <w:rPr>
          <w:rFonts w:asciiTheme="majorBidi" w:hAnsiTheme="majorBidi" w:cstheme="majorBidi"/>
          <w:sz w:val="24"/>
          <w:szCs w:val="24"/>
        </w:rPr>
        <w:t>)</w:t>
      </w:r>
      <w:r w:rsidR="001009EF">
        <w:rPr>
          <w:rFonts w:asciiTheme="majorBidi" w:hAnsiTheme="majorBidi" w:cstheme="majorBidi"/>
          <w:sz w:val="24"/>
          <w:szCs w:val="24"/>
        </w:rPr>
        <w:t>:</w:t>
      </w:r>
      <w:r w:rsidR="001009EF" w:rsidRPr="001009EF">
        <w:rPr>
          <w:rFonts w:asciiTheme="majorBidi" w:hAnsiTheme="majorBidi" w:cstheme="majorBidi"/>
          <w:sz w:val="24"/>
          <w:szCs w:val="24"/>
          <w:highlight w:val="yellow"/>
        </w:rPr>
        <w:t>e</w:t>
      </w:r>
      <w:proofErr w:type="gramEnd"/>
      <w:r w:rsidR="001009EF" w:rsidRPr="001009EF">
        <w:rPr>
          <w:rFonts w:asciiTheme="majorBidi" w:hAnsiTheme="majorBidi" w:cstheme="majorBidi"/>
          <w:sz w:val="24"/>
          <w:szCs w:val="24"/>
          <w:highlight w:val="yellow"/>
        </w:rPr>
        <w:t>021256</w:t>
      </w:r>
      <w:r w:rsidRPr="001009EF">
        <w:rPr>
          <w:rFonts w:asciiTheme="majorBidi" w:hAnsiTheme="majorBidi" w:cstheme="majorBidi"/>
          <w:sz w:val="24"/>
          <w:szCs w:val="24"/>
          <w:highlight w:val="yellow"/>
        </w:rPr>
        <w:t>.</w:t>
      </w:r>
      <w:r w:rsidRPr="00932445">
        <w:rPr>
          <w:rFonts w:asciiTheme="majorBidi" w:hAnsiTheme="majorBidi" w:cstheme="majorBidi"/>
          <w:sz w:val="24"/>
          <w:szCs w:val="24"/>
        </w:rPr>
        <w:t xml:space="preserve"> Available from: </w:t>
      </w:r>
      <w:hyperlink r:id="rId12" w:history="1">
        <w:r w:rsidRPr="00932445">
          <w:rPr>
            <w:rStyle w:val="Hyperlink"/>
            <w:rFonts w:asciiTheme="majorBidi" w:hAnsiTheme="majorBidi" w:cstheme="majorBidi"/>
            <w:sz w:val="24"/>
            <w:szCs w:val="24"/>
          </w:rPr>
          <w:t>https://doi.org/10.1161/jaha.121.021256</w:t>
        </w:r>
      </w:hyperlink>
      <w:r w:rsidRPr="00932445">
        <w:rPr>
          <w:rFonts w:asciiTheme="majorBidi" w:hAnsiTheme="majorBidi" w:cstheme="majorBidi"/>
          <w:sz w:val="24"/>
          <w:szCs w:val="24"/>
        </w:rPr>
        <w:t xml:space="preserve"> </w:t>
      </w:r>
    </w:p>
    <w:p w14:paraId="64C107EB" w14:textId="77777777" w:rsidR="00932445" w:rsidRP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r w:rsidRPr="00932445">
        <w:rPr>
          <w:rFonts w:asciiTheme="majorBidi" w:hAnsiTheme="majorBidi" w:cstheme="majorBidi"/>
          <w:sz w:val="24"/>
          <w:szCs w:val="24"/>
        </w:rPr>
        <w:t>68.    George T. What is a retrospective cohort study? | Definition &amp; examples [Internet]. Scribbr. 2025. Available from: https://www.scribbr.com/methodology/retrospective-cohort-study/</w:t>
      </w:r>
    </w:p>
    <w:p w14:paraId="5C59C02D" w14:textId="77777777" w:rsidR="00932445" w:rsidRPr="00F1300D"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p>
    <w:p w14:paraId="604A949B" w14:textId="77777777" w:rsidR="00932445" w:rsidRDefault="00932445" w:rsidP="00932445">
      <w:pPr>
        <w:widowControl w:val="0"/>
        <w:autoSpaceDE w:val="0"/>
        <w:autoSpaceDN w:val="0"/>
        <w:adjustRightInd w:val="0"/>
        <w:spacing w:after="140" w:line="360" w:lineRule="auto"/>
        <w:ind w:left="640" w:hanging="640"/>
        <w:jc w:val="both"/>
        <w:rPr>
          <w:rFonts w:asciiTheme="majorBidi" w:hAnsiTheme="majorBidi" w:cstheme="majorBidi"/>
          <w:sz w:val="24"/>
          <w:szCs w:val="24"/>
        </w:rPr>
      </w:pPr>
    </w:p>
    <w:p w14:paraId="3D20A802" w14:textId="77777777" w:rsidR="009B5140" w:rsidRPr="00F1300D" w:rsidRDefault="009B5140" w:rsidP="00F1300D">
      <w:pPr>
        <w:widowControl w:val="0"/>
        <w:autoSpaceDE w:val="0"/>
        <w:autoSpaceDN w:val="0"/>
        <w:adjustRightInd w:val="0"/>
        <w:spacing w:after="140" w:line="360" w:lineRule="auto"/>
        <w:ind w:left="640" w:hanging="640"/>
        <w:jc w:val="both"/>
        <w:rPr>
          <w:rFonts w:asciiTheme="majorBidi" w:hAnsiTheme="majorBidi" w:cstheme="majorBidi"/>
          <w:sz w:val="24"/>
          <w:szCs w:val="24"/>
        </w:rPr>
      </w:pPr>
    </w:p>
    <w:p w14:paraId="4B4692D6" w14:textId="77777777" w:rsidR="00775817" w:rsidRPr="006B3495" w:rsidRDefault="00775817" w:rsidP="00036B37">
      <w:pPr>
        <w:widowControl w:val="0"/>
        <w:autoSpaceDE w:val="0"/>
        <w:autoSpaceDN w:val="0"/>
        <w:adjustRightInd w:val="0"/>
        <w:spacing w:after="140" w:line="360" w:lineRule="auto"/>
        <w:ind w:left="640" w:hanging="640"/>
        <w:jc w:val="both"/>
        <w:rPr>
          <w:rFonts w:asciiTheme="majorBidi" w:hAnsiTheme="majorBidi" w:cstheme="majorBidi"/>
          <w:sz w:val="24"/>
          <w:szCs w:val="24"/>
        </w:rPr>
      </w:pPr>
    </w:p>
    <w:p w14:paraId="62D978F8" w14:textId="661C35A7" w:rsidR="00954D5B" w:rsidRPr="006B3495" w:rsidRDefault="00954D5B">
      <w:pPr>
        <w:widowControl w:val="0"/>
        <w:autoSpaceDE w:val="0"/>
        <w:autoSpaceDN w:val="0"/>
        <w:adjustRightInd w:val="0"/>
        <w:spacing w:after="140" w:line="288" w:lineRule="auto"/>
        <w:ind w:left="480" w:hanging="480"/>
      </w:pPr>
    </w:p>
    <w:p w14:paraId="409A7028" w14:textId="77777777" w:rsidR="008B0B53" w:rsidRPr="006B3495" w:rsidRDefault="008B0B53" w:rsidP="00EC74E8">
      <w:pPr>
        <w:rPr>
          <w:rFonts w:asciiTheme="majorBidi" w:hAnsiTheme="majorBidi" w:cstheme="majorBidi"/>
          <w:sz w:val="24"/>
          <w:szCs w:val="24"/>
        </w:rPr>
      </w:pPr>
    </w:p>
    <w:p w14:paraId="203AD30C" w14:textId="77777777" w:rsidR="00514256" w:rsidRPr="006B3495" w:rsidRDefault="00514256">
      <w:pPr>
        <w:rPr>
          <w:rFonts w:ascii="Times New Roman" w:eastAsia="Times New Roman" w:hAnsi="Times New Roman" w:cs="Times New Roman"/>
          <w:b/>
          <w:bCs/>
          <w:w w:val="110"/>
          <w:sz w:val="28"/>
          <w:szCs w:val="62"/>
        </w:rPr>
      </w:pPr>
      <w:r w:rsidRPr="006B3495">
        <w:rPr>
          <w:rFonts w:ascii="Times New Roman" w:eastAsia="Times New Roman" w:hAnsi="Times New Roman" w:cs="Times New Roman"/>
          <w:b/>
          <w:bCs/>
          <w:w w:val="110"/>
          <w:sz w:val="28"/>
          <w:szCs w:val="62"/>
        </w:rPr>
        <w:br w:type="page"/>
      </w:r>
    </w:p>
    <w:p w14:paraId="291F9B6A" w14:textId="31C651BF" w:rsidR="008B0B53" w:rsidRPr="006B3495" w:rsidRDefault="008B0B53" w:rsidP="007702B9">
      <w:pPr>
        <w:keepNext/>
        <w:keepLines/>
        <w:spacing w:after="240" w:line="360" w:lineRule="auto"/>
        <w:contextualSpacing/>
        <w:outlineLvl w:val="0"/>
        <w:rPr>
          <w:rFonts w:ascii="Times New Roman" w:eastAsia="Times New Roman" w:hAnsi="Times New Roman" w:cs="Times New Roman"/>
          <w:b/>
          <w:bCs/>
          <w:w w:val="110"/>
          <w:sz w:val="28"/>
          <w:szCs w:val="62"/>
        </w:rPr>
      </w:pPr>
      <w:bookmarkStart w:id="108" w:name="_Toc212871543"/>
      <w:r w:rsidRPr="006B3495">
        <w:rPr>
          <w:rFonts w:ascii="Times New Roman" w:eastAsia="Times New Roman" w:hAnsi="Times New Roman" w:cs="Times New Roman"/>
          <w:b/>
          <w:bCs/>
          <w:w w:val="110"/>
          <w:sz w:val="28"/>
          <w:szCs w:val="62"/>
        </w:rPr>
        <w:lastRenderedPageBreak/>
        <w:t>Appendices</w:t>
      </w:r>
      <w:bookmarkEnd w:id="108"/>
    </w:p>
    <w:p w14:paraId="3C99EFB3" w14:textId="687D345C" w:rsidR="008B0B53" w:rsidRPr="006B3495" w:rsidRDefault="008B0B53" w:rsidP="007702B9">
      <w:pPr>
        <w:rPr>
          <w:rFonts w:asciiTheme="majorBidi" w:hAnsiTheme="majorBidi" w:cstheme="majorBidi"/>
          <w:b/>
          <w:bCs/>
          <w:sz w:val="28"/>
          <w:szCs w:val="28"/>
        </w:rPr>
      </w:pPr>
      <w:bookmarkStart w:id="109" w:name="_Hlk101318526"/>
      <w:bookmarkStart w:id="110" w:name="_Toc184180603"/>
      <w:r w:rsidRPr="006B3495">
        <w:rPr>
          <w:rFonts w:asciiTheme="majorBidi" w:hAnsiTheme="majorBidi" w:cstheme="majorBidi"/>
          <w:b/>
          <w:bCs/>
          <w:sz w:val="28"/>
          <w:szCs w:val="28"/>
        </w:rPr>
        <w:t xml:space="preserve">Appendix  </w:t>
      </w:r>
      <w:r w:rsidRPr="006B3495">
        <w:rPr>
          <w:rFonts w:asciiTheme="majorBidi" w:hAnsiTheme="majorBidi" w:cstheme="majorBidi"/>
          <w:b/>
          <w:bCs/>
          <w:sz w:val="28"/>
          <w:szCs w:val="28"/>
        </w:rPr>
        <w:fldChar w:fldCharType="begin"/>
      </w:r>
      <w:r w:rsidRPr="006B3495">
        <w:rPr>
          <w:rFonts w:asciiTheme="majorBidi" w:hAnsiTheme="majorBidi" w:cstheme="majorBidi"/>
          <w:b/>
          <w:bCs/>
          <w:sz w:val="28"/>
          <w:szCs w:val="28"/>
        </w:rPr>
        <w:instrText xml:space="preserve"> SEQ Appendix_ \* ALPHABETIC </w:instrText>
      </w:r>
      <w:r w:rsidRPr="006B3495">
        <w:rPr>
          <w:rFonts w:asciiTheme="majorBidi" w:hAnsiTheme="majorBidi" w:cstheme="majorBidi"/>
          <w:b/>
          <w:bCs/>
          <w:sz w:val="28"/>
          <w:szCs w:val="28"/>
        </w:rPr>
        <w:fldChar w:fldCharType="separate"/>
      </w:r>
      <w:r w:rsidR="008D25AA" w:rsidRPr="006B3495">
        <w:rPr>
          <w:rFonts w:asciiTheme="majorBidi" w:hAnsiTheme="majorBidi" w:cstheme="majorBidi"/>
          <w:b/>
          <w:bCs/>
          <w:sz w:val="28"/>
          <w:szCs w:val="28"/>
        </w:rPr>
        <w:t>A</w:t>
      </w:r>
      <w:r w:rsidRPr="006B3495">
        <w:rPr>
          <w:rFonts w:asciiTheme="majorBidi" w:hAnsiTheme="majorBidi" w:cstheme="majorBidi"/>
          <w:b/>
          <w:bCs/>
          <w:sz w:val="28"/>
          <w:szCs w:val="28"/>
        </w:rPr>
        <w:fldChar w:fldCharType="end"/>
      </w:r>
      <w:r w:rsidRPr="006B3495">
        <w:rPr>
          <w:rFonts w:asciiTheme="majorBidi" w:hAnsiTheme="majorBidi" w:cstheme="majorBidi"/>
          <w:b/>
          <w:bCs/>
          <w:sz w:val="28"/>
          <w:szCs w:val="28"/>
        </w:rPr>
        <w:t xml:space="preserve">: </w:t>
      </w:r>
      <w:bookmarkEnd w:id="109"/>
      <w:r w:rsidRPr="006B3495">
        <w:rPr>
          <w:rFonts w:asciiTheme="majorBidi" w:hAnsiTheme="majorBidi" w:cstheme="majorBidi"/>
          <w:b/>
          <w:bCs/>
          <w:sz w:val="28"/>
          <w:szCs w:val="28"/>
        </w:rPr>
        <w:t>Study tool</w:t>
      </w:r>
      <w:bookmarkEnd w:id="110"/>
    </w:p>
    <w:p w14:paraId="788D76B9" w14:textId="77777777" w:rsidR="008B0B53" w:rsidRPr="006B3495" w:rsidRDefault="008B0B53" w:rsidP="008B0B53">
      <w:pPr>
        <w:jc w:val="center"/>
        <w:rPr>
          <w:rFonts w:asciiTheme="majorBidi" w:hAnsiTheme="majorBidi" w:cstheme="majorBidi"/>
          <w:b/>
          <w:bCs/>
          <w:sz w:val="26"/>
          <w:szCs w:val="26"/>
          <w:rtl/>
        </w:rPr>
      </w:pPr>
      <w:bookmarkStart w:id="111" w:name="_Hlk79939794"/>
      <w:r w:rsidRPr="006B3495">
        <w:rPr>
          <w:rFonts w:asciiTheme="majorBidi" w:hAnsiTheme="majorBidi" w:cstheme="majorBidi"/>
          <w:b/>
          <w:bCs/>
          <w:noProof/>
          <w:sz w:val="26"/>
          <w:szCs w:val="26"/>
          <w:lang w:val="en-US"/>
        </w:rPr>
        <w:drawing>
          <wp:inline distT="0" distB="0" distL="0" distR="0" wp14:anchorId="0B2A4183" wp14:editId="6F200120">
            <wp:extent cx="1390015" cy="1390015"/>
            <wp:effectExtent l="0" t="0" r="635" b="635"/>
            <wp:docPr id="14"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015" cy="1390015"/>
                    </a:xfrm>
                    <a:prstGeom prst="rect">
                      <a:avLst/>
                    </a:prstGeom>
                    <a:noFill/>
                  </pic:spPr>
                </pic:pic>
              </a:graphicData>
            </a:graphic>
          </wp:inline>
        </w:drawing>
      </w:r>
    </w:p>
    <w:p w14:paraId="66108919" w14:textId="77777777" w:rsidR="008B0B53" w:rsidRPr="006B3495" w:rsidRDefault="008B0B53" w:rsidP="008B0B53">
      <w:pPr>
        <w:spacing w:after="0"/>
        <w:jc w:val="center"/>
        <w:rPr>
          <w:rFonts w:asciiTheme="majorBidi" w:hAnsiTheme="majorBidi" w:cstheme="majorBidi"/>
          <w:b/>
          <w:bCs/>
          <w:sz w:val="28"/>
          <w:szCs w:val="28"/>
        </w:rPr>
      </w:pPr>
      <w:r w:rsidRPr="006B3495">
        <w:rPr>
          <w:rFonts w:asciiTheme="majorBidi" w:hAnsiTheme="majorBidi" w:cstheme="majorBidi"/>
          <w:b/>
          <w:bCs/>
          <w:sz w:val="28"/>
          <w:szCs w:val="28"/>
        </w:rPr>
        <w:t>An-Najah National University</w:t>
      </w:r>
    </w:p>
    <w:p w14:paraId="23686185" w14:textId="77777777" w:rsidR="008B0B53" w:rsidRPr="006B3495" w:rsidRDefault="008B0B53" w:rsidP="008B0B53">
      <w:pPr>
        <w:spacing w:after="0"/>
        <w:jc w:val="center"/>
        <w:rPr>
          <w:rFonts w:asciiTheme="majorBidi" w:hAnsiTheme="majorBidi" w:cstheme="majorBidi"/>
          <w:b/>
          <w:bCs/>
          <w:sz w:val="28"/>
          <w:szCs w:val="28"/>
        </w:rPr>
      </w:pPr>
      <w:r w:rsidRPr="006B3495">
        <w:rPr>
          <w:rFonts w:asciiTheme="majorBidi" w:hAnsiTheme="majorBidi" w:cstheme="majorBidi"/>
          <w:b/>
          <w:bCs/>
          <w:sz w:val="28"/>
          <w:szCs w:val="28"/>
        </w:rPr>
        <w:t>Faculty of Graduate Studies</w:t>
      </w:r>
    </w:p>
    <w:p w14:paraId="7671F232" w14:textId="77777777" w:rsidR="008B0B53" w:rsidRPr="006B3495" w:rsidRDefault="008B0B53" w:rsidP="008B0B53">
      <w:pPr>
        <w:spacing w:after="0"/>
        <w:jc w:val="center"/>
        <w:rPr>
          <w:rFonts w:asciiTheme="majorBidi" w:hAnsiTheme="majorBidi" w:cstheme="majorBidi"/>
          <w:b/>
          <w:bCs/>
          <w:sz w:val="28"/>
          <w:szCs w:val="28"/>
        </w:rPr>
      </w:pPr>
      <w:r w:rsidRPr="006B3495">
        <w:rPr>
          <w:rFonts w:asciiTheme="majorBidi" w:hAnsiTheme="majorBidi" w:cstheme="majorBidi"/>
          <w:b/>
          <w:bCs/>
          <w:sz w:val="28"/>
          <w:szCs w:val="28"/>
        </w:rPr>
        <w:t>Master of Critical Care Nursing</w:t>
      </w:r>
    </w:p>
    <w:p w14:paraId="0C6561ED" w14:textId="77777777" w:rsidR="008B0B53" w:rsidRPr="006B3495" w:rsidRDefault="008B0B53" w:rsidP="008B0B53">
      <w:pPr>
        <w:spacing w:after="0"/>
        <w:jc w:val="center"/>
        <w:rPr>
          <w:rFonts w:asciiTheme="majorBidi" w:hAnsiTheme="majorBidi" w:cstheme="majorBidi"/>
          <w:b/>
          <w:bCs/>
          <w:sz w:val="28"/>
          <w:szCs w:val="28"/>
        </w:rPr>
      </w:pPr>
    </w:p>
    <w:p w14:paraId="286A7B05" w14:textId="77777777" w:rsidR="008B0B53" w:rsidRPr="006B3495" w:rsidRDefault="008B0B53" w:rsidP="008B0B53">
      <w:pPr>
        <w:spacing w:after="0"/>
        <w:jc w:val="center"/>
        <w:rPr>
          <w:rFonts w:asciiTheme="majorBidi" w:hAnsiTheme="majorBidi" w:cstheme="majorBidi"/>
          <w:b/>
          <w:bCs/>
          <w:sz w:val="28"/>
          <w:szCs w:val="28"/>
        </w:rPr>
      </w:pPr>
    </w:p>
    <w:p w14:paraId="17FE31F4" w14:textId="77777777" w:rsidR="008B0B53" w:rsidRPr="006B3495" w:rsidRDefault="008B0B53" w:rsidP="008B0B53">
      <w:pPr>
        <w:spacing w:after="0"/>
        <w:jc w:val="center"/>
        <w:rPr>
          <w:rFonts w:asciiTheme="majorBidi" w:hAnsiTheme="majorBidi" w:cstheme="majorBidi"/>
          <w:b/>
          <w:bCs/>
          <w:sz w:val="32"/>
          <w:szCs w:val="32"/>
          <w:rtl/>
        </w:rPr>
      </w:pPr>
    </w:p>
    <w:p w14:paraId="0DCF2DE4" w14:textId="77777777" w:rsidR="008B0B53" w:rsidRPr="006B3495" w:rsidRDefault="008B0B53" w:rsidP="008B0B53">
      <w:pPr>
        <w:autoSpaceDE w:val="0"/>
        <w:autoSpaceDN w:val="0"/>
        <w:adjustRightInd w:val="0"/>
        <w:spacing w:after="0" w:line="480" w:lineRule="auto"/>
        <w:jc w:val="center"/>
        <w:rPr>
          <w:rFonts w:asciiTheme="majorBidi" w:hAnsiTheme="majorBidi" w:cstheme="majorBidi"/>
          <w:b/>
          <w:bCs/>
          <w:sz w:val="28"/>
          <w:szCs w:val="28"/>
        </w:rPr>
      </w:pPr>
      <w:r w:rsidRPr="006B3495">
        <w:rPr>
          <w:rFonts w:asciiTheme="majorBidi" w:hAnsiTheme="majorBidi" w:cstheme="majorBidi"/>
          <w:b/>
          <w:bCs/>
          <w:sz w:val="28"/>
          <w:szCs w:val="28"/>
        </w:rPr>
        <w:t xml:space="preserve">Comparison of Radial Access Versus Femoral Access with the Use of a Vascular Closure Device for Ease of Operation, Procedure Time, and Vascular Complications in Patients Undergoing Percutaneous Coronary Intervention </w:t>
      </w:r>
      <w:r w:rsidRPr="006B3495">
        <w:rPr>
          <w:rFonts w:asciiTheme="majorBidi" w:hAnsiTheme="majorBidi" w:cstheme="majorBidi"/>
          <w:b/>
          <w:bCs/>
          <w:i/>
          <w:iCs/>
          <w:sz w:val="28"/>
          <w:szCs w:val="28"/>
        </w:rPr>
        <w:t>-</w:t>
      </w:r>
      <w:r w:rsidRPr="006B3495">
        <w:rPr>
          <w:rFonts w:asciiTheme="majorBidi" w:hAnsiTheme="majorBidi" w:cstheme="majorBidi"/>
          <w:b/>
          <w:bCs/>
          <w:sz w:val="28"/>
          <w:szCs w:val="28"/>
        </w:rPr>
        <w:t xml:space="preserve"> A retrospective study</w:t>
      </w:r>
    </w:p>
    <w:p w14:paraId="60204BE8" w14:textId="77777777" w:rsidR="008B0B53" w:rsidRPr="006B3495" w:rsidRDefault="008B0B53" w:rsidP="008B0B53">
      <w:pPr>
        <w:autoSpaceDE w:val="0"/>
        <w:autoSpaceDN w:val="0"/>
        <w:adjustRightInd w:val="0"/>
        <w:spacing w:after="0" w:line="480" w:lineRule="auto"/>
        <w:jc w:val="center"/>
        <w:rPr>
          <w:rFonts w:asciiTheme="majorBidi" w:hAnsiTheme="majorBidi" w:cstheme="majorBidi"/>
          <w:b/>
          <w:bCs/>
          <w:sz w:val="28"/>
          <w:szCs w:val="28"/>
        </w:rPr>
      </w:pPr>
    </w:p>
    <w:p w14:paraId="520CF971" w14:textId="77777777" w:rsidR="008B0B53" w:rsidRPr="006B3495" w:rsidRDefault="008B0B53" w:rsidP="008B0B53">
      <w:pPr>
        <w:jc w:val="center"/>
        <w:rPr>
          <w:rFonts w:asciiTheme="majorBidi" w:hAnsiTheme="majorBidi" w:cstheme="majorBidi"/>
          <w:b/>
          <w:bCs/>
          <w:sz w:val="28"/>
          <w:szCs w:val="28"/>
        </w:rPr>
      </w:pPr>
      <w:r w:rsidRPr="006B3495">
        <w:rPr>
          <w:rFonts w:asciiTheme="majorBidi" w:hAnsiTheme="majorBidi" w:cstheme="majorBidi"/>
          <w:b/>
          <w:bCs/>
          <w:sz w:val="28"/>
          <w:szCs w:val="28"/>
        </w:rPr>
        <w:t>By</w:t>
      </w:r>
    </w:p>
    <w:p w14:paraId="56CA4F0C" w14:textId="77777777" w:rsidR="008B0B53" w:rsidRPr="006B3495" w:rsidRDefault="008B0B53" w:rsidP="008B0B53">
      <w:pPr>
        <w:jc w:val="center"/>
        <w:rPr>
          <w:rFonts w:asciiTheme="majorBidi" w:hAnsiTheme="majorBidi" w:cstheme="majorBidi"/>
          <w:b/>
          <w:bCs/>
          <w:sz w:val="28"/>
          <w:szCs w:val="28"/>
        </w:rPr>
      </w:pPr>
      <w:r w:rsidRPr="006B3495">
        <w:rPr>
          <w:rFonts w:asciiTheme="majorBidi" w:hAnsiTheme="majorBidi" w:cstheme="majorBidi"/>
          <w:b/>
          <w:bCs/>
          <w:sz w:val="28"/>
          <w:szCs w:val="28"/>
        </w:rPr>
        <w:t xml:space="preserve">Aya Yaseen </w:t>
      </w:r>
    </w:p>
    <w:p w14:paraId="2A4767E3" w14:textId="77777777" w:rsidR="008B0B53" w:rsidRPr="006B3495" w:rsidRDefault="008B0B53" w:rsidP="008B0B53">
      <w:pPr>
        <w:jc w:val="center"/>
        <w:rPr>
          <w:rFonts w:asciiTheme="majorBidi" w:hAnsiTheme="majorBidi" w:cstheme="majorBidi"/>
          <w:b/>
          <w:bCs/>
          <w:sz w:val="28"/>
          <w:szCs w:val="28"/>
        </w:rPr>
      </w:pPr>
    </w:p>
    <w:p w14:paraId="106931DB" w14:textId="77777777" w:rsidR="008B0B53" w:rsidRPr="006B3495" w:rsidRDefault="008B0B53" w:rsidP="008B0B53">
      <w:pPr>
        <w:jc w:val="center"/>
        <w:rPr>
          <w:rFonts w:ascii="Times New Roman" w:hAnsi="Times New Roman" w:cs="Times New Roman"/>
          <w:b/>
          <w:bCs/>
          <w:sz w:val="28"/>
          <w:szCs w:val="28"/>
          <w:rtl/>
        </w:rPr>
      </w:pPr>
    </w:p>
    <w:p w14:paraId="2EAA4F7D" w14:textId="77777777" w:rsidR="008B0B53" w:rsidRPr="006B3495" w:rsidRDefault="008B0B53" w:rsidP="008B0B53">
      <w:pPr>
        <w:jc w:val="center"/>
        <w:rPr>
          <w:rFonts w:ascii="Times New Roman" w:hAnsi="Times New Roman" w:cs="Times New Roman"/>
          <w:b/>
          <w:bCs/>
          <w:sz w:val="28"/>
          <w:szCs w:val="28"/>
        </w:rPr>
      </w:pPr>
      <w:r w:rsidRPr="006B3495">
        <w:rPr>
          <w:rFonts w:ascii="Times New Roman" w:hAnsi="Times New Roman" w:cs="Times New Roman"/>
          <w:b/>
          <w:bCs/>
          <w:sz w:val="28"/>
          <w:szCs w:val="28"/>
        </w:rPr>
        <w:t>Supervisor</w:t>
      </w:r>
    </w:p>
    <w:p w14:paraId="56B83956" w14:textId="77777777" w:rsidR="008B0B53" w:rsidRPr="006B3495" w:rsidRDefault="008B0B53" w:rsidP="008B0B53">
      <w:pPr>
        <w:jc w:val="center"/>
        <w:rPr>
          <w:rFonts w:ascii="Times New Roman" w:hAnsi="Times New Roman" w:cs="Times New Roman"/>
          <w:b/>
          <w:bCs/>
          <w:sz w:val="28"/>
          <w:szCs w:val="28"/>
        </w:rPr>
      </w:pPr>
      <w:r w:rsidRPr="006B3495">
        <w:rPr>
          <w:rFonts w:ascii="Times New Roman" w:hAnsi="Times New Roman" w:cs="Times New Roman"/>
          <w:b/>
          <w:bCs/>
          <w:sz w:val="28"/>
          <w:szCs w:val="28"/>
        </w:rPr>
        <w:t>Dr. Fatima Hirzallah</w:t>
      </w:r>
    </w:p>
    <w:p w14:paraId="747C8AA8" w14:textId="77777777" w:rsidR="008B0B53" w:rsidRPr="006B3495" w:rsidRDefault="008B0B53" w:rsidP="008B0B53">
      <w:pPr>
        <w:spacing w:after="200" w:line="276" w:lineRule="auto"/>
        <w:rPr>
          <w:rFonts w:asciiTheme="majorBidi" w:eastAsia="Times New Roman" w:hAnsiTheme="majorBidi" w:cstheme="majorBidi"/>
          <w:b/>
          <w:bCs/>
          <w:sz w:val="28"/>
          <w:szCs w:val="28"/>
          <w:u w:val="single"/>
        </w:rPr>
      </w:pPr>
      <w:r w:rsidRPr="006B3495">
        <w:rPr>
          <w:rFonts w:asciiTheme="majorBidi" w:eastAsia="Times New Roman" w:hAnsiTheme="majorBidi" w:cstheme="majorBidi"/>
          <w:b/>
          <w:bCs/>
          <w:sz w:val="28"/>
          <w:szCs w:val="28"/>
          <w:u w:val="single"/>
        </w:rPr>
        <w:br w:type="page"/>
      </w:r>
    </w:p>
    <w:p w14:paraId="68E036E1" w14:textId="77777777" w:rsidR="008B0B53" w:rsidRPr="006B3495" w:rsidRDefault="008B0B53" w:rsidP="008B0B53">
      <w:pPr>
        <w:autoSpaceDE w:val="0"/>
        <w:autoSpaceDN w:val="0"/>
        <w:adjustRightInd w:val="0"/>
        <w:spacing w:after="0" w:line="360" w:lineRule="auto"/>
        <w:jc w:val="center"/>
        <w:rPr>
          <w:rFonts w:asciiTheme="majorBidi" w:eastAsia="Times New Roman" w:hAnsiTheme="majorBidi" w:cstheme="majorBidi"/>
          <w:b/>
          <w:bCs/>
          <w:sz w:val="28"/>
          <w:szCs w:val="28"/>
          <w:u w:val="single"/>
        </w:rPr>
      </w:pPr>
      <w:r w:rsidRPr="006B3495">
        <w:rPr>
          <w:rFonts w:asciiTheme="majorBidi" w:eastAsia="Times New Roman" w:hAnsiTheme="majorBidi" w:cstheme="majorBidi"/>
          <w:b/>
          <w:bCs/>
          <w:sz w:val="28"/>
          <w:szCs w:val="28"/>
          <w:u w:val="single"/>
        </w:rPr>
        <w:lastRenderedPageBreak/>
        <w:t>Section One: Participant's characteristics</w:t>
      </w:r>
    </w:p>
    <w:p w14:paraId="7CA64CA5" w14:textId="77777777" w:rsidR="008B0B53" w:rsidRPr="006B3495" w:rsidRDefault="008B0B53" w:rsidP="008B0B53">
      <w:p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b/>
          <w:bCs/>
          <w:sz w:val="24"/>
          <w:szCs w:val="24"/>
        </w:rPr>
        <w:t>Patient number:</w:t>
      </w:r>
      <w:r w:rsidRPr="006B3495">
        <w:rPr>
          <w:rFonts w:asciiTheme="majorBidi" w:eastAsia="Times New Roman" w:hAnsiTheme="majorBidi" w:cstheme="majorBidi"/>
          <w:sz w:val="24"/>
          <w:szCs w:val="24"/>
        </w:rPr>
        <w:t xml:space="preserve"> ……………………………….</w:t>
      </w:r>
    </w:p>
    <w:p w14:paraId="12D76043" w14:textId="77777777" w:rsidR="008B0B53" w:rsidRPr="006B3495" w:rsidRDefault="008B0B53" w:rsidP="008B0B53">
      <w:pPr>
        <w:numPr>
          <w:ilvl w:val="0"/>
          <w:numId w:val="13"/>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b/>
          <w:bCs/>
          <w:sz w:val="24"/>
          <w:szCs w:val="24"/>
        </w:rPr>
        <w:t xml:space="preserve">Age </w:t>
      </w:r>
      <w:r w:rsidRPr="006B3495">
        <w:rPr>
          <w:rFonts w:asciiTheme="majorBidi" w:eastAsia="Times New Roman" w:hAnsiTheme="majorBidi" w:cstheme="majorBidi"/>
          <w:sz w:val="24"/>
          <w:szCs w:val="24"/>
        </w:rPr>
        <w:t>--------</w:t>
      </w:r>
    </w:p>
    <w:p w14:paraId="6B94A9CD" w14:textId="77777777" w:rsidR="008B0B53" w:rsidRPr="006B3495" w:rsidRDefault="008B0B53" w:rsidP="008B0B53">
      <w:pPr>
        <w:numPr>
          <w:ilvl w:val="0"/>
          <w:numId w:val="13"/>
        </w:numPr>
        <w:autoSpaceDE w:val="0"/>
        <w:autoSpaceDN w:val="0"/>
        <w:adjustRightInd w:val="0"/>
        <w:spacing w:after="0" w:line="360" w:lineRule="auto"/>
        <w:jc w:val="both"/>
        <w:rPr>
          <w:rFonts w:asciiTheme="majorBidi" w:eastAsia="Times New Roman" w:hAnsiTheme="majorBidi" w:cstheme="majorBidi"/>
          <w:b/>
          <w:bCs/>
          <w:sz w:val="24"/>
          <w:szCs w:val="24"/>
        </w:rPr>
      </w:pPr>
      <w:r w:rsidRPr="006B3495">
        <w:rPr>
          <w:rFonts w:asciiTheme="majorBidi" w:eastAsia="Times New Roman" w:hAnsiTheme="majorBidi" w:cstheme="majorBidi"/>
          <w:b/>
          <w:bCs/>
          <w:sz w:val="24"/>
          <w:szCs w:val="24"/>
        </w:rPr>
        <w:t xml:space="preserve">Gender: </w:t>
      </w:r>
    </w:p>
    <w:p w14:paraId="414317E8"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Male.</w:t>
      </w:r>
    </w:p>
    <w:p w14:paraId="45F8F1A1"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Female.</w:t>
      </w:r>
    </w:p>
    <w:p w14:paraId="4A1F36EC" w14:textId="77777777" w:rsidR="008B0B53" w:rsidRPr="006B3495" w:rsidRDefault="008B0B53" w:rsidP="008B0B53">
      <w:pPr>
        <w:pStyle w:val="ListParagraph"/>
        <w:numPr>
          <w:ilvl w:val="0"/>
          <w:numId w:val="13"/>
        </w:numPr>
        <w:spacing w:after="200" w:line="276" w:lineRule="auto"/>
        <w:ind w:left="450"/>
        <w:rPr>
          <w:rFonts w:asciiTheme="majorBidi" w:hAnsiTheme="majorBidi" w:cstheme="majorBidi"/>
          <w:sz w:val="24"/>
          <w:szCs w:val="24"/>
        </w:rPr>
      </w:pPr>
      <w:r w:rsidRPr="006B3495">
        <w:rPr>
          <w:rFonts w:asciiTheme="majorBidi" w:hAnsiTheme="majorBidi" w:cstheme="majorBidi"/>
          <w:b/>
          <w:bCs/>
          <w:sz w:val="24"/>
          <w:szCs w:val="24"/>
        </w:rPr>
        <w:t>Level of education:</w:t>
      </w:r>
    </w:p>
    <w:p w14:paraId="2A8AC936" w14:textId="77777777" w:rsidR="008B0B53" w:rsidRPr="006B3495" w:rsidRDefault="008B0B53" w:rsidP="008B0B53">
      <w:pPr>
        <w:pStyle w:val="ListParagraph"/>
        <w:numPr>
          <w:ilvl w:val="0"/>
          <w:numId w:val="12"/>
        </w:numPr>
        <w:spacing w:after="200" w:line="276" w:lineRule="auto"/>
        <w:rPr>
          <w:rFonts w:asciiTheme="majorBidi" w:hAnsiTheme="majorBidi" w:cstheme="majorBidi"/>
          <w:sz w:val="24"/>
          <w:szCs w:val="24"/>
        </w:rPr>
      </w:pPr>
      <w:r w:rsidRPr="006B3495">
        <w:rPr>
          <w:rFonts w:asciiTheme="majorBidi" w:hAnsiTheme="majorBidi" w:cstheme="majorBidi"/>
          <w:sz w:val="24"/>
          <w:szCs w:val="24"/>
        </w:rPr>
        <w:t>Diploma.</w:t>
      </w:r>
    </w:p>
    <w:p w14:paraId="2955EF6A" w14:textId="77777777" w:rsidR="008B0B53" w:rsidRPr="006B3495" w:rsidRDefault="008B0B53" w:rsidP="008B0B53">
      <w:pPr>
        <w:pStyle w:val="ListParagraph"/>
        <w:numPr>
          <w:ilvl w:val="0"/>
          <w:numId w:val="12"/>
        </w:numPr>
        <w:spacing w:after="200" w:line="276" w:lineRule="auto"/>
        <w:rPr>
          <w:rFonts w:asciiTheme="majorBidi" w:hAnsiTheme="majorBidi" w:cstheme="majorBidi"/>
          <w:sz w:val="24"/>
          <w:szCs w:val="24"/>
        </w:rPr>
      </w:pPr>
      <w:r w:rsidRPr="006B3495">
        <w:rPr>
          <w:rFonts w:asciiTheme="majorBidi" w:hAnsiTheme="majorBidi" w:cstheme="majorBidi"/>
          <w:sz w:val="24"/>
          <w:szCs w:val="24"/>
        </w:rPr>
        <w:t>Bachelors.</w:t>
      </w:r>
    </w:p>
    <w:p w14:paraId="60CE8455" w14:textId="77777777" w:rsidR="008B0B53" w:rsidRPr="006B3495" w:rsidRDefault="008B0B53" w:rsidP="008B0B53">
      <w:pPr>
        <w:pStyle w:val="ListParagraph"/>
        <w:numPr>
          <w:ilvl w:val="0"/>
          <w:numId w:val="12"/>
        </w:numPr>
        <w:spacing w:after="200" w:line="276" w:lineRule="auto"/>
        <w:rPr>
          <w:rFonts w:asciiTheme="majorBidi" w:hAnsiTheme="majorBidi" w:cstheme="majorBidi"/>
          <w:sz w:val="24"/>
          <w:szCs w:val="24"/>
        </w:rPr>
      </w:pPr>
      <w:r w:rsidRPr="006B3495">
        <w:rPr>
          <w:rFonts w:asciiTheme="majorBidi" w:hAnsiTheme="majorBidi" w:cstheme="majorBidi"/>
          <w:sz w:val="24"/>
          <w:szCs w:val="24"/>
        </w:rPr>
        <w:t>Higher than bachelors.</w:t>
      </w:r>
    </w:p>
    <w:p w14:paraId="6DB78E03" w14:textId="77777777" w:rsidR="008B0B53" w:rsidRPr="006B3495" w:rsidRDefault="008B0B53" w:rsidP="008B0B53">
      <w:pPr>
        <w:pStyle w:val="ListParagraph"/>
        <w:numPr>
          <w:ilvl w:val="0"/>
          <w:numId w:val="13"/>
        </w:numPr>
        <w:spacing w:after="200" w:line="276" w:lineRule="auto"/>
        <w:rPr>
          <w:rFonts w:asciiTheme="majorBidi" w:hAnsiTheme="majorBidi" w:cstheme="majorBidi"/>
          <w:b/>
          <w:bCs/>
          <w:sz w:val="24"/>
          <w:szCs w:val="24"/>
        </w:rPr>
      </w:pPr>
      <w:r w:rsidRPr="006B3495">
        <w:rPr>
          <w:rFonts w:asciiTheme="majorBidi" w:hAnsiTheme="majorBidi" w:cstheme="majorBidi"/>
          <w:b/>
          <w:bCs/>
          <w:sz w:val="24"/>
          <w:szCs w:val="24"/>
        </w:rPr>
        <w:t>Occupation:</w:t>
      </w:r>
    </w:p>
    <w:p w14:paraId="35D000D4" w14:textId="77777777" w:rsidR="008B0B53" w:rsidRPr="006B3495" w:rsidRDefault="008B0B53" w:rsidP="008B0B53">
      <w:pPr>
        <w:pStyle w:val="ListParagraph"/>
        <w:numPr>
          <w:ilvl w:val="0"/>
          <w:numId w:val="12"/>
        </w:numPr>
        <w:spacing w:after="200" w:line="276" w:lineRule="auto"/>
        <w:rPr>
          <w:rFonts w:asciiTheme="majorBidi" w:hAnsiTheme="majorBidi" w:cstheme="majorBidi"/>
          <w:sz w:val="24"/>
          <w:szCs w:val="24"/>
        </w:rPr>
      </w:pPr>
      <w:r w:rsidRPr="006B3495">
        <w:rPr>
          <w:rFonts w:asciiTheme="majorBidi" w:hAnsiTheme="majorBidi" w:cstheme="majorBidi"/>
          <w:sz w:val="24"/>
          <w:szCs w:val="24"/>
        </w:rPr>
        <w:t>Employed</w:t>
      </w:r>
      <w:r w:rsidRPr="006B3495">
        <w:rPr>
          <w:rFonts w:asciiTheme="majorBidi" w:hAnsiTheme="majorBidi" w:cstheme="majorBidi"/>
          <w:sz w:val="24"/>
          <w:szCs w:val="24"/>
          <w:rtl/>
        </w:rPr>
        <w:t xml:space="preserve"> </w:t>
      </w:r>
    </w:p>
    <w:p w14:paraId="07BC82AF" w14:textId="77777777" w:rsidR="008B0B53" w:rsidRPr="006B3495" w:rsidRDefault="008B0B53" w:rsidP="008B0B53">
      <w:pPr>
        <w:pStyle w:val="ListParagraph"/>
        <w:numPr>
          <w:ilvl w:val="0"/>
          <w:numId w:val="12"/>
        </w:numPr>
        <w:spacing w:after="200" w:line="276" w:lineRule="auto"/>
        <w:rPr>
          <w:rFonts w:asciiTheme="majorBidi" w:hAnsiTheme="majorBidi" w:cstheme="majorBidi"/>
          <w:sz w:val="24"/>
          <w:szCs w:val="24"/>
          <w:rtl/>
        </w:rPr>
      </w:pPr>
      <w:r w:rsidRPr="006B3495">
        <w:rPr>
          <w:rFonts w:asciiTheme="majorBidi" w:hAnsiTheme="majorBidi" w:cstheme="majorBidi"/>
          <w:sz w:val="24"/>
          <w:szCs w:val="24"/>
        </w:rPr>
        <w:t>Unemployed</w:t>
      </w:r>
    </w:p>
    <w:p w14:paraId="65EE39DB" w14:textId="77777777" w:rsidR="008B0B53" w:rsidRPr="006B3495" w:rsidRDefault="008B0B53" w:rsidP="008B0B53">
      <w:pPr>
        <w:autoSpaceDE w:val="0"/>
        <w:autoSpaceDN w:val="0"/>
        <w:adjustRightInd w:val="0"/>
        <w:spacing w:after="0" w:line="360" w:lineRule="auto"/>
        <w:jc w:val="center"/>
        <w:rPr>
          <w:rFonts w:asciiTheme="majorBidi" w:eastAsia="Times New Roman" w:hAnsiTheme="majorBidi" w:cstheme="majorBidi"/>
          <w:b/>
          <w:bCs/>
          <w:sz w:val="28"/>
          <w:szCs w:val="28"/>
          <w:u w:val="single"/>
        </w:rPr>
      </w:pPr>
      <w:r w:rsidRPr="006B3495">
        <w:rPr>
          <w:rFonts w:asciiTheme="majorBidi" w:eastAsia="Times New Roman" w:hAnsiTheme="majorBidi" w:cstheme="majorBidi"/>
          <w:b/>
          <w:bCs/>
          <w:sz w:val="28"/>
          <w:szCs w:val="28"/>
          <w:u w:val="single"/>
        </w:rPr>
        <w:t>Section Two: Health information</w:t>
      </w:r>
    </w:p>
    <w:p w14:paraId="7F2E6EEE" w14:textId="77777777" w:rsidR="008B0B53" w:rsidRPr="006B3495" w:rsidRDefault="008B0B53" w:rsidP="008B0B53">
      <w:pPr>
        <w:numPr>
          <w:ilvl w:val="0"/>
          <w:numId w:val="13"/>
        </w:numPr>
        <w:autoSpaceDE w:val="0"/>
        <w:autoSpaceDN w:val="0"/>
        <w:adjustRightInd w:val="0"/>
        <w:spacing w:after="0" w:line="360" w:lineRule="auto"/>
        <w:jc w:val="both"/>
        <w:rPr>
          <w:rFonts w:asciiTheme="majorBidi" w:eastAsia="Times New Roman" w:hAnsiTheme="majorBidi" w:cstheme="majorBidi"/>
          <w:b/>
          <w:bCs/>
          <w:sz w:val="24"/>
          <w:szCs w:val="24"/>
        </w:rPr>
      </w:pPr>
      <w:r w:rsidRPr="006B3495">
        <w:rPr>
          <w:rFonts w:asciiTheme="majorBidi" w:eastAsia="Times New Roman" w:hAnsiTheme="majorBidi" w:cstheme="majorBidi"/>
          <w:b/>
          <w:bCs/>
          <w:sz w:val="24"/>
          <w:szCs w:val="24"/>
        </w:rPr>
        <w:t>Patient diagnosis</w:t>
      </w:r>
    </w:p>
    <w:p w14:paraId="3362A1A3"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MI</w:t>
      </w:r>
    </w:p>
    <w:p w14:paraId="69DFC9BF"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PC</w:t>
      </w:r>
    </w:p>
    <w:p w14:paraId="494B94EE" w14:textId="77777777" w:rsidR="008B0B53" w:rsidRPr="006B3495" w:rsidRDefault="008B0B53" w:rsidP="008B0B53">
      <w:pPr>
        <w:numPr>
          <w:ilvl w:val="0"/>
          <w:numId w:val="13"/>
        </w:numPr>
        <w:autoSpaceDE w:val="0"/>
        <w:autoSpaceDN w:val="0"/>
        <w:adjustRightInd w:val="0"/>
        <w:spacing w:after="0" w:line="360" w:lineRule="auto"/>
        <w:jc w:val="both"/>
        <w:rPr>
          <w:rFonts w:asciiTheme="majorBidi" w:eastAsia="Times New Roman" w:hAnsiTheme="majorBidi" w:cstheme="majorBidi"/>
          <w:b/>
          <w:bCs/>
          <w:sz w:val="24"/>
          <w:szCs w:val="24"/>
        </w:rPr>
      </w:pPr>
      <w:r w:rsidRPr="006B3495">
        <w:rPr>
          <w:rFonts w:asciiTheme="majorBidi" w:eastAsia="Times New Roman" w:hAnsiTheme="majorBidi" w:cstheme="majorBidi"/>
          <w:b/>
          <w:bCs/>
          <w:sz w:val="24"/>
          <w:szCs w:val="24"/>
        </w:rPr>
        <w:t xml:space="preserve">Reason for procedure: </w:t>
      </w:r>
    </w:p>
    <w:p w14:paraId="739D418E"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Diagnostic.</w:t>
      </w:r>
    </w:p>
    <w:p w14:paraId="72E8CF48"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 xml:space="preserve">Interventional. </w:t>
      </w:r>
    </w:p>
    <w:p w14:paraId="6864F02B" w14:textId="77777777" w:rsidR="008B0B53" w:rsidRPr="006B3495" w:rsidRDefault="008B0B53" w:rsidP="008B0B53">
      <w:pPr>
        <w:numPr>
          <w:ilvl w:val="0"/>
          <w:numId w:val="13"/>
        </w:numPr>
        <w:autoSpaceDE w:val="0"/>
        <w:autoSpaceDN w:val="0"/>
        <w:adjustRightInd w:val="0"/>
        <w:spacing w:after="0" w:line="360" w:lineRule="auto"/>
        <w:jc w:val="both"/>
        <w:rPr>
          <w:rFonts w:asciiTheme="majorBidi" w:eastAsia="Times New Roman" w:hAnsiTheme="majorBidi" w:cstheme="majorBidi"/>
          <w:b/>
          <w:bCs/>
          <w:sz w:val="24"/>
          <w:szCs w:val="24"/>
        </w:rPr>
      </w:pPr>
      <w:r w:rsidRPr="006B3495">
        <w:rPr>
          <w:rFonts w:asciiTheme="majorBidi" w:eastAsia="Times New Roman" w:hAnsiTheme="majorBidi" w:cstheme="majorBidi"/>
          <w:b/>
          <w:bCs/>
          <w:sz w:val="24"/>
          <w:szCs w:val="24"/>
        </w:rPr>
        <w:t>Type of coronary angiography:</w:t>
      </w:r>
    </w:p>
    <w:p w14:paraId="035E9AEF"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 xml:space="preserve">TRA </w:t>
      </w:r>
    </w:p>
    <w:p w14:paraId="5F6A7938" w14:textId="1A3B19F0"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 xml:space="preserve">TFA with use </w:t>
      </w:r>
      <w:r w:rsidR="00FA2322" w:rsidRPr="006B3495">
        <w:rPr>
          <w:rFonts w:asciiTheme="majorBidi" w:hAnsiTheme="majorBidi" w:cstheme="majorBidi"/>
          <w:sz w:val="24"/>
          <w:szCs w:val="24"/>
          <w:highlight w:val="yellow"/>
        </w:rPr>
        <w:t>V</w:t>
      </w:r>
      <w:r w:rsidR="00FA2322">
        <w:rPr>
          <w:rFonts w:asciiTheme="majorBidi" w:hAnsiTheme="majorBidi" w:cstheme="majorBidi"/>
          <w:sz w:val="24"/>
          <w:szCs w:val="24"/>
          <w:highlight w:val="yellow"/>
        </w:rPr>
        <w:t>C</w:t>
      </w:r>
      <w:r w:rsidR="00FA2322" w:rsidRPr="006B3495">
        <w:rPr>
          <w:rFonts w:asciiTheme="majorBidi" w:hAnsiTheme="majorBidi" w:cstheme="majorBidi"/>
          <w:sz w:val="24"/>
          <w:szCs w:val="24"/>
          <w:highlight w:val="yellow"/>
        </w:rPr>
        <w:t>D</w:t>
      </w:r>
      <w:r w:rsidRPr="006B3495">
        <w:rPr>
          <w:rFonts w:asciiTheme="majorBidi" w:eastAsia="Times New Roman" w:hAnsiTheme="majorBidi" w:cstheme="majorBidi"/>
          <w:sz w:val="24"/>
          <w:szCs w:val="24"/>
        </w:rPr>
        <w:t>.</w:t>
      </w:r>
    </w:p>
    <w:p w14:paraId="12B9549B" w14:textId="77777777" w:rsidR="008B0B53" w:rsidRPr="006B3495" w:rsidRDefault="008B0B53" w:rsidP="008B0B53">
      <w:pPr>
        <w:numPr>
          <w:ilvl w:val="0"/>
          <w:numId w:val="13"/>
        </w:numPr>
        <w:autoSpaceDE w:val="0"/>
        <w:autoSpaceDN w:val="0"/>
        <w:adjustRightInd w:val="0"/>
        <w:spacing w:after="0" w:line="360" w:lineRule="auto"/>
        <w:jc w:val="both"/>
        <w:rPr>
          <w:rFonts w:asciiTheme="majorBidi" w:eastAsia="Times New Roman" w:hAnsiTheme="majorBidi" w:cstheme="majorBidi"/>
          <w:b/>
          <w:bCs/>
          <w:sz w:val="24"/>
          <w:szCs w:val="24"/>
        </w:rPr>
      </w:pPr>
      <w:r w:rsidRPr="006B3495">
        <w:rPr>
          <w:rFonts w:asciiTheme="majorBidi" w:eastAsia="Times New Roman" w:hAnsiTheme="majorBidi" w:cstheme="majorBidi"/>
          <w:b/>
          <w:bCs/>
          <w:sz w:val="24"/>
          <w:szCs w:val="24"/>
        </w:rPr>
        <w:t>Smoking status:</w:t>
      </w:r>
    </w:p>
    <w:p w14:paraId="6AEF6A10" w14:textId="77777777" w:rsidR="008B0B53" w:rsidRPr="006B3495" w:rsidRDefault="008B0B53" w:rsidP="008B0B53">
      <w:pPr>
        <w:autoSpaceDE w:val="0"/>
        <w:autoSpaceDN w:val="0"/>
        <w:adjustRightInd w:val="0"/>
        <w:spacing w:after="0" w:line="360" w:lineRule="auto"/>
        <w:jc w:val="both"/>
        <w:rPr>
          <w:rFonts w:asciiTheme="majorBidi" w:eastAsia="Times New Roman" w:hAnsiTheme="majorBidi" w:cstheme="majorBidi"/>
          <w:sz w:val="24"/>
          <w:szCs w:val="24"/>
          <w:u w:val="single"/>
        </w:rPr>
      </w:pPr>
      <w:r w:rsidRPr="006B3495">
        <w:rPr>
          <w:rFonts w:asciiTheme="majorBidi" w:eastAsia="Times New Roman" w:hAnsiTheme="majorBidi" w:cstheme="majorBidi"/>
          <w:sz w:val="24"/>
          <w:szCs w:val="24"/>
        </w:rPr>
        <w:t>Current Cigarette smoking status:</w:t>
      </w:r>
    </w:p>
    <w:p w14:paraId="7DC4EB02" w14:textId="103CE90F" w:rsidR="008B0B53" w:rsidRPr="006B3495" w:rsidRDefault="00E02165" w:rsidP="008B0B53">
      <w:pPr>
        <w:numPr>
          <w:ilvl w:val="0"/>
          <w:numId w:val="14"/>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Nonsmoker</w:t>
      </w:r>
      <w:r w:rsidR="008B0B53" w:rsidRPr="006B3495">
        <w:rPr>
          <w:rFonts w:asciiTheme="majorBidi" w:eastAsia="Times New Roman" w:hAnsiTheme="majorBidi" w:cstheme="majorBidi"/>
          <w:sz w:val="24"/>
          <w:szCs w:val="24"/>
          <w:rtl/>
        </w:rPr>
        <w:t>.</w:t>
      </w:r>
    </w:p>
    <w:p w14:paraId="0678AE08" w14:textId="77777777" w:rsidR="008B0B53" w:rsidRPr="006B3495" w:rsidRDefault="008B0B53" w:rsidP="008B0B53">
      <w:pPr>
        <w:numPr>
          <w:ilvl w:val="0"/>
          <w:numId w:val="14"/>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Light smoker (1–10 cigarettes per day).</w:t>
      </w:r>
    </w:p>
    <w:p w14:paraId="5EB91796" w14:textId="77777777" w:rsidR="008B0B53" w:rsidRPr="006B3495" w:rsidRDefault="008B0B53" w:rsidP="008B0B53">
      <w:pPr>
        <w:numPr>
          <w:ilvl w:val="0"/>
          <w:numId w:val="14"/>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Heavy smoker (more than 11 cigarettes per day).</w:t>
      </w:r>
    </w:p>
    <w:p w14:paraId="7DCAB58C" w14:textId="77777777" w:rsidR="008B0B53" w:rsidRPr="006B3495" w:rsidRDefault="008B0B53" w:rsidP="008B0B53">
      <w:p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Did you smoke hookah?</w:t>
      </w:r>
    </w:p>
    <w:p w14:paraId="64A3B6D1" w14:textId="77777777" w:rsidR="008B0B53" w:rsidRPr="006B3495" w:rsidRDefault="008B0B53" w:rsidP="008B0B53">
      <w:pPr>
        <w:numPr>
          <w:ilvl w:val="0"/>
          <w:numId w:val="14"/>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Yes.</w:t>
      </w:r>
    </w:p>
    <w:p w14:paraId="77A94C9C" w14:textId="77777777" w:rsidR="008B0B53" w:rsidRPr="006B3495" w:rsidRDefault="008B0B53" w:rsidP="008B0B53">
      <w:pPr>
        <w:numPr>
          <w:ilvl w:val="0"/>
          <w:numId w:val="14"/>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No.</w:t>
      </w:r>
    </w:p>
    <w:p w14:paraId="34ECF0F6" w14:textId="77777777" w:rsidR="008B0B53" w:rsidRPr="006B3495" w:rsidRDefault="008B0B53" w:rsidP="008B0B53">
      <w:pPr>
        <w:numPr>
          <w:ilvl w:val="0"/>
          <w:numId w:val="13"/>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b/>
          <w:bCs/>
          <w:sz w:val="24"/>
          <w:szCs w:val="24"/>
        </w:rPr>
        <w:t>Having diabetes mellitus:</w:t>
      </w:r>
    </w:p>
    <w:p w14:paraId="00E4E39D"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Yes.</w:t>
      </w:r>
    </w:p>
    <w:p w14:paraId="67FCB422"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No.</w:t>
      </w:r>
    </w:p>
    <w:p w14:paraId="64975BBC" w14:textId="77777777" w:rsidR="008B0B53" w:rsidRPr="006B3495" w:rsidRDefault="008B0B53" w:rsidP="008B0B53">
      <w:pPr>
        <w:numPr>
          <w:ilvl w:val="0"/>
          <w:numId w:val="13"/>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b/>
          <w:bCs/>
          <w:sz w:val="24"/>
          <w:szCs w:val="24"/>
        </w:rPr>
        <w:lastRenderedPageBreak/>
        <w:t>Having hypertension:</w:t>
      </w:r>
    </w:p>
    <w:p w14:paraId="1DA7295E"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Yes.</w:t>
      </w:r>
    </w:p>
    <w:p w14:paraId="30EACE78"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No.</w:t>
      </w:r>
    </w:p>
    <w:p w14:paraId="3AFFAAD5" w14:textId="77777777" w:rsidR="008B0B53" w:rsidRPr="006B3495" w:rsidRDefault="008B0B53" w:rsidP="008B0B53">
      <w:pPr>
        <w:numPr>
          <w:ilvl w:val="0"/>
          <w:numId w:val="13"/>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b/>
          <w:bCs/>
          <w:sz w:val="24"/>
          <w:szCs w:val="24"/>
        </w:rPr>
        <w:t>Having hyperlipidemia:</w:t>
      </w:r>
    </w:p>
    <w:p w14:paraId="7D499407"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Yes.</w:t>
      </w:r>
    </w:p>
    <w:p w14:paraId="0AC0CAE8"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No.</w:t>
      </w:r>
    </w:p>
    <w:p w14:paraId="2134CB39" w14:textId="77777777" w:rsidR="008B0B53" w:rsidRPr="006B3495" w:rsidRDefault="008B0B53" w:rsidP="008B0B53">
      <w:pPr>
        <w:numPr>
          <w:ilvl w:val="0"/>
          <w:numId w:val="13"/>
        </w:numPr>
        <w:autoSpaceDE w:val="0"/>
        <w:autoSpaceDN w:val="0"/>
        <w:adjustRightInd w:val="0"/>
        <w:spacing w:after="0" w:line="360" w:lineRule="auto"/>
        <w:jc w:val="both"/>
        <w:rPr>
          <w:rFonts w:asciiTheme="majorBidi" w:eastAsia="Times New Roman" w:hAnsiTheme="majorBidi" w:cstheme="majorBidi"/>
          <w:b/>
          <w:bCs/>
          <w:sz w:val="24"/>
          <w:szCs w:val="24"/>
        </w:rPr>
      </w:pPr>
      <w:r w:rsidRPr="006B3495">
        <w:rPr>
          <w:rFonts w:asciiTheme="majorBidi" w:eastAsia="Times New Roman" w:hAnsiTheme="majorBidi" w:cstheme="majorBidi"/>
          <w:b/>
          <w:bCs/>
          <w:sz w:val="24"/>
          <w:szCs w:val="24"/>
        </w:rPr>
        <w:t>Having family history of coronary artery disease (CAD):</w:t>
      </w:r>
    </w:p>
    <w:p w14:paraId="0165123E"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Yes.</w:t>
      </w:r>
    </w:p>
    <w:p w14:paraId="1D798168"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No.</w:t>
      </w:r>
    </w:p>
    <w:p w14:paraId="5966450D" w14:textId="77777777" w:rsidR="008B0B53" w:rsidRPr="006B3495" w:rsidRDefault="008B0B53" w:rsidP="008B0B53">
      <w:pPr>
        <w:numPr>
          <w:ilvl w:val="0"/>
          <w:numId w:val="13"/>
        </w:numPr>
        <w:autoSpaceDE w:val="0"/>
        <w:autoSpaceDN w:val="0"/>
        <w:adjustRightInd w:val="0"/>
        <w:spacing w:after="0" w:line="360" w:lineRule="auto"/>
        <w:jc w:val="both"/>
        <w:rPr>
          <w:rFonts w:asciiTheme="majorBidi" w:eastAsia="Times New Roman" w:hAnsiTheme="majorBidi" w:cstheme="majorBidi"/>
          <w:b/>
          <w:bCs/>
          <w:sz w:val="24"/>
          <w:szCs w:val="24"/>
        </w:rPr>
      </w:pPr>
      <w:r w:rsidRPr="006B3495">
        <w:rPr>
          <w:rFonts w:asciiTheme="majorBidi" w:eastAsia="Times New Roman" w:hAnsiTheme="majorBidi" w:cstheme="majorBidi"/>
          <w:b/>
          <w:bCs/>
          <w:sz w:val="24"/>
          <w:szCs w:val="24"/>
        </w:rPr>
        <w:t>Having previous Coronary Artery Bypass Grafting (CABG):</w:t>
      </w:r>
    </w:p>
    <w:p w14:paraId="4373F9FF"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Yes.</w:t>
      </w:r>
    </w:p>
    <w:p w14:paraId="534A8DF1"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No.</w:t>
      </w:r>
    </w:p>
    <w:p w14:paraId="6E343C60" w14:textId="77777777" w:rsidR="008B0B53" w:rsidRPr="006B3495" w:rsidRDefault="008B0B53" w:rsidP="008B0B53">
      <w:pPr>
        <w:numPr>
          <w:ilvl w:val="0"/>
          <w:numId w:val="13"/>
        </w:numPr>
        <w:autoSpaceDE w:val="0"/>
        <w:autoSpaceDN w:val="0"/>
        <w:adjustRightInd w:val="0"/>
        <w:spacing w:after="0" w:line="360" w:lineRule="auto"/>
        <w:jc w:val="both"/>
        <w:rPr>
          <w:rFonts w:asciiTheme="majorBidi" w:eastAsia="Times New Roman" w:hAnsiTheme="majorBidi" w:cstheme="majorBidi"/>
          <w:b/>
          <w:bCs/>
          <w:sz w:val="24"/>
          <w:szCs w:val="24"/>
        </w:rPr>
      </w:pPr>
      <w:r w:rsidRPr="006B3495">
        <w:rPr>
          <w:rFonts w:asciiTheme="majorBidi" w:eastAsia="Times New Roman" w:hAnsiTheme="majorBidi" w:cstheme="majorBidi"/>
          <w:b/>
          <w:bCs/>
          <w:sz w:val="24"/>
          <w:szCs w:val="24"/>
        </w:rPr>
        <w:t>Having previous Percutaneous Coronary Intervention (PCI):</w:t>
      </w:r>
    </w:p>
    <w:p w14:paraId="64FD294E"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 xml:space="preserve">Yes. </w:t>
      </w:r>
    </w:p>
    <w:p w14:paraId="5F268E0B"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No.</w:t>
      </w:r>
    </w:p>
    <w:p w14:paraId="65242DBC" w14:textId="77777777" w:rsidR="008B0B53" w:rsidRPr="006B3495" w:rsidRDefault="008B0B53" w:rsidP="008B0B53">
      <w:pPr>
        <w:autoSpaceDE w:val="0"/>
        <w:autoSpaceDN w:val="0"/>
        <w:adjustRightInd w:val="0"/>
        <w:spacing w:after="0" w:line="360" w:lineRule="auto"/>
        <w:ind w:left="1210"/>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If yes, mention the type ---------------------</w:t>
      </w:r>
    </w:p>
    <w:p w14:paraId="37FB7B29" w14:textId="77777777" w:rsidR="008B0B53" w:rsidRPr="006B3495" w:rsidRDefault="008B0B53" w:rsidP="008B0B53">
      <w:pPr>
        <w:numPr>
          <w:ilvl w:val="0"/>
          <w:numId w:val="13"/>
        </w:numPr>
        <w:autoSpaceDE w:val="0"/>
        <w:autoSpaceDN w:val="0"/>
        <w:adjustRightInd w:val="0"/>
        <w:spacing w:after="0" w:line="360" w:lineRule="auto"/>
        <w:jc w:val="both"/>
        <w:rPr>
          <w:rFonts w:asciiTheme="majorBidi" w:eastAsia="Times New Roman" w:hAnsiTheme="majorBidi" w:cstheme="majorBidi"/>
          <w:b/>
          <w:bCs/>
          <w:sz w:val="24"/>
          <w:szCs w:val="24"/>
        </w:rPr>
      </w:pPr>
      <w:r w:rsidRPr="006B3495">
        <w:rPr>
          <w:rFonts w:asciiTheme="majorBidi" w:eastAsia="Times New Roman" w:hAnsiTheme="majorBidi" w:cstheme="majorBidi"/>
          <w:b/>
          <w:bCs/>
          <w:sz w:val="24"/>
          <w:szCs w:val="24"/>
        </w:rPr>
        <w:t>Glycoprotein Inhibitors (GPI) use:</w:t>
      </w:r>
    </w:p>
    <w:p w14:paraId="45B0A305"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Yes.</w:t>
      </w:r>
    </w:p>
    <w:p w14:paraId="246AC977"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No.</w:t>
      </w:r>
    </w:p>
    <w:p w14:paraId="2FBF9B1F" w14:textId="77777777" w:rsidR="008B0B53" w:rsidRPr="006B3495" w:rsidRDefault="008B0B53" w:rsidP="008B0B53">
      <w:pPr>
        <w:numPr>
          <w:ilvl w:val="0"/>
          <w:numId w:val="13"/>
        </w:numPr>
        <w:autoSpaceDE w:val="0"/>
        <w:autoSpaceDN w:val="0"/>
        <w:adjustRightInd w:val="0"/>
        <w:spacing w:after="0" w:line="360" w:lineRule="auto"/>
        <w:jc w:val="both"/>
        <w:rPr>
          <w:rFonts w:asciiTheme="majorBidi" w:eastAsia="Times New Roman" w:hAnsiTheme="majorBidi" w:cstheme="majorBidi"/>
          <w:b/>
          <w:bCs/>
          <w:sz w:val="24"/>
          <w:szCs w:val="24"/>
        </w:rPr>
      </w:pPr>
      <w:r w:rsidRPr="006B3495">
        <w:rPr>
          <w:rFonts w:asciiTheme="majorBidi" w:eastAsia="Times New Roman" w:hAnsiTheme="majorBidi" w:cstheme="majorBidi"/>
          <w:b/>
          <w:bCs/>
          <w:sz w:val="24"/>
          <w:szCs w:val="24"/>
        </w:rPr>
        <w:t>Intra-Aortic Balloon Pump (IABP) use:</w:t>
      </w:r>
    </w:p>
    <w:p w14:paraId="64AEB346"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Yes.</w:t>
      </w:r>
    </w:p>
    <w:p w14:paraId="1D207B6B" w14:textId="77777777" w:rsidR="008B0B53" w:rsidRPr="006B3495" w:rsidRDefault="008B0B53" w:rsidP="008B0B53">
      <w:pPr>
        <w:numPr>
          <w:ilvl w:val="0"/>
          <w:numId w:val="12"/>
        </w:num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No.</w:t>
      </w:r>
    </w:p>
    <w:p w14:paraId="022B7C6F" w14:textId="77777777" w:rsidR="008B0B53" w:rsidRPr="006B3495" w:rsidRDefault="008B0B53" w:rsidP="008B0B53">
      <w:pPr>
        <w:numPr>
          <w:ilvl w:val="0"/>
          <w:numId w:val="13"/>
        </w:numPr>
        <w:autoSpaceDE w:val="0"/>
        <w:autoSpaceDN w:val="0"/>
        <w:adjustRightInd w:val="0"/>
        <w:spacing w:after="0" w:line="360" w:lineRule="auto"/>
        <w:jc w:val="both"/>
        <w:rPr>
          <w:rFonts w:asciiTheme="majorBidi" w:eastAsia="Times New Roman" w:hAnsiTheme="majorBidi" w:cstheme="majorBidi"/>
          <w:b/>
          <w:bCs/>
          <w:sz w:val="24"/>
          <w:szCs w:val="24"/>
        </w:rPr>
      </w:pPr>
      <w:r w:rsidRPr="006B3495">
        <w:rPr>
          <w:rFonts w:asciiTheme="majorBidi" w:eastAsia="Times New Roman" w:hAnsiTheme="majorBidi" w:cstheme="majorBidi"/>
          <w:b/>
          <w:bCs/>
          <w:sz w:val="24"/>
          <w:szCs w:val="24"/>
        </w:rPr>
        <w:t xml:space="preserve">Time to ambulation (min): </w:t>
      </w:r>
      <w:r w:rsidRPr="006B3495">
        <w:rPr>
          <w:rFonts w:asciiTheme="majorBidi" w:eastAsia="Times New Roman" w:hAnsiTheme="majorBidi" w:cstheme="majorBidi"/>
          <w:sz w:val="24"/>
          <w:szCs w:val="24"/>
        </w:rPr>
        <w:t>………………</w:t>
      </w:r>
    </w:p>
    <w:p w14:paraId="59516984" w14:textId="77777777" w:rsidR="008B0B53" w:rsidRPr="006B3495" w:rsidRDefault="008B0B53" w:rsidP="008B0B53">
      <w:pPr>
        <w:numPr>
          <w:ilvl w:val="0"/>
          <w:numId w:val="13"/>
        </w:numPr>
        <w:autoSpaceDE w:val="0"/>
        <w:autoSpaceDN w:val="0"/>
        <w:adjustRightInd w:val="0"/>
        <w:spacing w:after="0" w:line="360" w:lineRule="auto"/>
        <w:jc w:val="both"/>
        <w:rPr>
          <w:rFonts w:asciiTheme="majorBidi" w:eastAsia="Times New Roman" w:hAnsiTheme="majorBidi" w:cstheme="majorBidi"/>
          <w:b/>
          <w:bCs/>
          <w:sz w:val="24"/>
          <w:szCs w:val="24"/>
        </w:rPr>
      </w:pPr>
      <w:r w:rsidRPr="006B3495">
        <w:rPr>
          <w:rFonts w:asciiTheme="majorBidi" w:eastAsia="Times New Roman" w:hAnsiTheme="majorBidi" w:cstheme="majorBidi"/>
          <w:b/>
          <w:bCs/>
          <w:sz w:val="24"/>
          <w:szCs w:val="24"/>
        </w:rPr>
        <w:t xml:space="preserve">Time to hemostasis (min): </w:t>
      </w:r>
      <w:r w:rsidRPr="006B3495">
        <w:rPr>
          <w:rFonts w:asciiTheme="majorBidi" w:eastAsia="Times New Roman" w:hAnsiTheme="majorBidi" w:cstheme="majorBidi"/>
          <w:sz w:val="24"/>
          <w:szCs w:val="24"/>
        </w:rPr>
        <w:t>………………</w:t>
      </w:r>
    </w:p>
    <w:p w14:paraId="2349D9D4" w14:textId="77777777" w:rsidR="008B0B53" w:rsidRPr="006B3495" w:rsidRDefault="008B0B53" w:rsidP="008B0B53">
      <w:pPr>
        <w:numPr>
          <w:ilvl w:val="0"/>
          <w:numId w:val="13"/>
        </w:numPr>
        <w:autoSpaceDE w:val="0"/>
        <w:autoSpaceDN w:val="0"/>
        <w:adjustRightInd w:val="0"/>
        <w:spacing w:after="0" w:line="360" w:lineRule="auto"/>
        <w:jc w:val="both"/>
        <w:rPr>
          <w:rFonts w:asciiTheme="majorBidi" w:eastAsia="Times New Roman" w:hAnsiTheme="majorBidi" w:cstheme="majorBidi"/>
          <w:b/>
          <w:bCs/>
          <w:sz w:val="24"/>
          <w:szCs w:val="24"/>
        </w:rPr>
      </w:pPr>
      <w:r w:rsidRPr="006B3495">
        <w:rPr>
          <w:rFonts w:asciiTheme="majorBidi" w:eastAsia="Times New Roman" w:hAnsiTheme="majorBidi" w:cstheme="majorBidi"/>
          <w:b/>
          <w:bCs/>
          <w:sz w:val="24"/>
          <w:szCs w:val="24"/>
        </w:rPr>
        <w:t>Time to discharge (hrs):</w:t>
      </w:r>
      <w:r w:rsidRPr="006B3495">
        <w:rPr>
          <w:rFonts w:asciiTheme="majorBidi" w:eastAsia="Times New Roman" w:hAnsiTheme="majorBidi" w:cstheme="majorBidi"/>
          <w:sz w:val="24"/>
          <w:szCs w:val="24"/>
        </w:rPr>
        <w:t xml:space="preserve"> ………………</w:t>
      </w:r>
    </w:p>
    <w:p w14:paraId="384A09C9" w14:textId="77777777" w:rsidR="008B0B53" w:rsidRPr="006B3495" w:rsidRDefault="008B0B53" w:rsidP="008B0B53">
      <w:pPr>
        <w:autoSpaceDE w:val="0"/>
        <w:autoSpaceDN w:val="0"/>
        <w:adjustRightInd w:val="0"/>
        <w:spacing w:after="0" w:line="360" w:lineRule="auto"/>
        <w:jc w:val="both"/>
        <w:rPr>
          <w:rFonts w:asciiTheme="majorBidi" w:eastAsia="Times New Roman" w:hAnsiTheme="majorBidi" w:cstheme="majorBidi"/>
          <w:b/>
          <w:bCs/>
          <w:sz w:val="24"/>
          <w:szCs w:val="24"/>
        </w:rPr>
      </w:pPr>
    </w:p>
    <w:p w14:paraId="0B664581" w14:textId="77777777" w:rsidR="008B0B53" w:rsidRPr="006B3495" w:rsidRDefault="008B0B53" w:rsidP="008B0B53">
      <w:pPr>
        <w:numPr>
          <w:ilvl w:val="0"/>
          <w:numId w:val="13"/>
        </w:numPr>
        <w:autoSpaceDE w:val="0"/>
        <w:autoSpaceDN w:val="0"/>
        <w:adjustRightInd w:val="0"/>
        <w:spacing w:after="0" w:line="360" w:lineRule="auto"/>
        <w:rPr>
          <w:rFonts w:asciiTheme="majorBidi" w:eastAsia="Times New Roman" w:hAnsiTheme="majorBidi" w:cstheme="majorBidi"/>
          <w:b/>
          <w:bCs/>
          <w:sz w:val="24"/>
          <w:szCs w:val="24"/>
          <w:u w:val="single"/>
        </w:rPr>
      </w:pPr>
      <w:r w:rsidRPr="006B3495">
        <w:rPr>
          <w:rFonts w:asciiTheme="majorBidi" w:eastAsia="Times New Roman" w:hAnsiTheme="majorBidi" w:cstheme="majorBidi"/>
          <w:b/>
          <w:bCs/>
          <w:sz w:val="24"/>
          <w:szCs w:val="24"/>
          <w:u w:val="single"/>
        </w:rPr>
        <w:t>Clinical data on admission</w:t>
      </w:r>
    </w:p>
    <w:tbl>
      <w:tblPr>
        <w:tblW w:w="5000" w:type="pct"/>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5806"/>
        <w:gridCol w:w="2688"/>
      </w:tblGrid>
      <w:tr w:rsidR="004A617A" w:rsidRPr="006B3495" w14:paraId="0C3C45A8" w14:textId="77777777" w:rsidTr="00212183">
        <w:trPr>
          <w:trHeight w:val="288"/>
        </w:trPr>
        <w:tc>
          <w:tcPr>
            <w:tcW w:w="3418" w:type="pct"/>
            <w:shd w:val="clear" w:color="auto" w:fill="FFC000"/>
          </w:tcPr>
          <w:p w14:paraId="6D852566" w14:textId="77777777" w:rsidR="008B0B53" w:rsidRPr="006B3495" w:rsidRDefault="008B0B53" w:rsidP="00212183">
            <w:pPr>
              <w:autoSpaceDE w:val="0"/>
              <w:autoSpaceDN w:val="0"/>
              <w:adjustRightInd w:val="0"/>
              <w:spacing w:after="0" w:line="360" w:lineRule="auto"/>
              <w:jc w:val="both"/>
              <w:rPr>
                <w:rFonts w:asciiTheme="majorBidi" w:eastAsia="Times New Roman" w:hAnsiTheme="majorBidi" w:cstheme="majorBidi"/>
                <w:b/>
                <w:bCs/>
                <w:sz w:val="24"/>
                <w:szCs w:val="24"/>
              </w:rPr>
            </w:pPr>
            <w:bookmarkStart w:id="112" w:name="_Hlk91316007"/>
            <w:r w:rsidRPr="006B3495">
              <w:rPr>
                <w:rFonts w:asciiTheme="majorBidi" w:eastAsia="Times New Roman" w:hAnsiTheme="majorBidi" w:cstheme="majorBidi"/>
                <w:b/>
                <w:bCs/>
                <w:sz w:val="24"/>
                <w:szCs w:val="24"/>
              </w:rPr>
              <w:t>The item</w:t>
            </w:r>
          </w:p>
        </w:tc>
        <w:tc>
          <w:tcPr>
            <w:tcW w:w="1582" w:type="pct"/>
            <w:shd w:val="clear" w:color="auto" w:fill="FFC000"/>
          </w:tcPr>
          <w:p w14:paraId="27F8BB75" w14:textId="77777777" w:rsidR="008B0B53" w:rsidRPr="006B3495" w:rsidRDefault="008B0B53" w:rsidP="00212183">
            <w:pPr>
              <w:autoSpaceDE w:val="0"/>
              <w:autoSpaceDN w:val="0"/>
              <w:adjustRightInd w:val="0"/>
              <w:spacing w:after="0" w:line="360" w:lineRule="auto"/>
              <w:jc w:val="center"/>
              <w:rPr>
                <w:rFonts w:asciiTheme="majorBidi" w:eastAsia="Times New Roman" w:hAnsiTheme="majorBidi" w:cstheme="majorBidi"/>
                <w:b/>
                <w:bCs/>
                <w:strike/>
                <w:sz w:val="24"/>
                <w:szCs w:val="24"/>
              </w:rPr>
            </w:pPr>
            <w:r w:rsidRPr="006B3495">
              <w:rPr>
                <w:rFonts w:asciiTheme="majorBidi" w:eastAsia="Times New Roman" w:hAnsiTheme="majorBidi" w:cstheme="majorBidi"/>
                <w:b/>
                <w:bCs/>
                <w:sz w:val="24"/>
                <w:szCs w:val="24"/>
              </w:rPr>
              <w:t>The value</w:t>
            </w:r>
          </w:p>
        </w:tc>
      </w:tr>
      <w:bookmarkEnd w:id="112"/>
      <w:tr w:rsidR="004A617A" w:rsidRPr="006B3495" w14:paraId="5BEEB2C3" w14:textId="77777777" w:rsidTr="00212183">
        <w:trPr>
          <w:trHeight w:val="338"/>
        </w:trPr>
        <w:tc>
          <w:tcPr>
            <w:tcW w:w="3418" w:type="pct"/>
          </w:tcPr>
          <w:p w14:paraId="7F4902D0" w14:textId="77777777" w:rsidR="008B0B53" w:rsidRPr="006B3495" w:rsidRDefault="008B0B53" w:rsidP="00212183">
            <w:p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Heart rate (bpm)</w:t>
            </w:r>
          </w:p>
        </w:tc>
        <w:tc>
          <w:tcPr>
            <w:tcW w:w="1582" w:type="pct"/>
          </w:tcPr>
          <w:p w14:paraId="2EFDDC07" w14:textId="77777777" w:rsidR="008B0B53" w:rsidRPr="006B3495" w:rsidRDefault="008B0B53" w:rsidP="00212183">
            <w:pPr>
              <w:autoSpaceDE w:val="0"/>
              <w:autoSpaceDN w:val="0"/>
              <w:adjustRightInd w:val="0"/>
              <w:spacing w:after="0" w:line="360" w:lineRule="auto"/>
              <w:jc w:val="both"/>
              <w:rPr>
                <w:rFonts w:asciiTheme="majorBidi" w:eastAsia="Times New Roman" w:hAnsiTheme="majorBidi" w:cstheme="majorBidi"/>
                <w:strike/>
                <w:sz w:val="24"/>
                <w:szCs w:val="24"/>
              </w:rPr>
            </w:pPr>
          </w:p>
        </w:tc>
      </w:tr>
      <w:tr w:rsidR="004A617A" w:rsidRPr="006B3495" w14:paraId="452DB206" w14:textId="77777777" w:rsidTr="00212183">
        <w:trPr>
          <w:trHeight w:val="344"/>
        </w:trPr>
        <w:tc>
          <w:tcPr>
            <w:tcW w:w="3418" w:type="pct"/>
          </w:tcPr>
          <w:p w14:paraId="6F4CC1D9" w14:textId="31A45D3F" w:rsidR="008B0B53" w:rsidRPr="006B3495" w:rsidRDefault="000D3326" w:rsidP="00212183">
            <w:p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hAnsiTheme="majorBidi" w:cstheme="majorBidi"/>
                <w:sz w:val="24"/>
                <w:szCs w:val="24"/>
              </w:rPr>
              <w:t xml:space="preserve">Systolic </w:t>
            </w:r>
            <w:r w:rsidR="00993ACB" w:rsidRPr="006B3495">
              <w:rPr>
                <w:rFonts w:asciiTheme="majorBidi" w:hAnsiTheme="majorBidi" w:cstheme="majorBidi"/>
                <w:sz w:val="24"/>
                <w:szCs w:val="24"/>
              </w:rPr>
              <w:t xml:space="preserve">Blood Pressure </w:t>
            </w:r>
            <w:r>
              <w:rPr>
                <w:rFonts w:asciiTheme="majorBidi" w:hAnsiTheme="majorBidi" w:cstheme="majorBidi"/>
                <w:sz w:val="24"/>
                <w:szCs w:val="24"/>
              </w:rPr>
              <w:t>(S</w:t>
            </w:r>
            <w:r w:rsidRPr="006B3495">
              <w:rPr>
                <w:rFonts w:asciiTheme="majorBidi" w:hAnsiTheme="majorBidi" w:cstheme="majorBidi"/>
                <w:sz w:val="24"/>
                <w:szCs w:val="24"/>
              </w:rPr>
              <w:t>BP</w:t>
            </w:r>
            <w:r>
              <w:rPr>
                <w:rFonts w:asciiTheme="majorBidi" w:hAnsiTheme="majorBidi" w:cstheme="majorBidi"/>
                <w:sz w:val="24"/>
                <w:szCs w:val="24"/>
              </w:rPr>
              <w:t>)</w:t>
            </w:r>
            <w:r w:rsidRPr="006B3495">
              <w:rPr>
                <w:rFonts w:asciiTheme="majorBidi" w:eastAsia="Times New Roman" w:hAnsiTheme="majorBidi" w:cstheme="majorBidi"/>
                <w:sz w:val="24"/>
                <w:szCs w:val="24"/>
              </w:rPr>
              <w:t xml:space="preserve"> </w:t>
            </w:r>
            <w:r w:rsidR="008B0B53" w:rsidRPr="006B3495">
              <w:rPr>
                <w:rFonts w:asciiTheme="majorBidi" w:eastAsia="Times New Roman" w:hAnsiTheme="majorBidi" w:cstheme="majorBidi"/>
                <w:sz w:val="24"/>
                <w:szCs w:val="24"/>
              </w:rPr>
              <w:t xml:space="preserve">(mmHg) </w:t>
            </w:r>
          </w:p>
        </w:tc>
        <w:tc>
          <w:tcPr>
            <w:tcW w:w="1582" w:type="pct"/>
          </w:tcPr>
          <w:p w14:paraId="6EB587F5" w14:textId="77777777" w:rsidR="008B0B53" w:rsidRPr="006B3495" w:rsidRDefault="008B0B53" w:rsidP="00212183">
            <w:pPr>
              <w:autoSpaceDE w:val="0"/>
              <w:autoSpaceDN w:val="0"/>
              <w:adjustRightInd w:val="0"/>
              <w:spacing w:after="0" w:line="360" w:lineRule="auto"/>
              <w:jc w:val="both"/>
              <w:rPr>
                <w:rFonts w:asciiTheme="majorBidi" w:eastAsia="Times New Roman" w:hAnsiTheme="majorBidi" w:cstheme="majorBidi"/>
                <w:strike/>
                <w:sz w:val="24"/>
                <w:szCs w:val="24"/>
              </w:rPr>
            </w:pPr>
          </w:p>
        </w:tc>
      </w:tr>
      <w:tr w:rsidR="004A617A" w:rsidRPr="006B3495" w14:paraId="235D2CBB" w14:textId="77777777" w:rsidTr="00212183">
        <w:trPr>
          <w:trHeight w:val="207"/>
        </w:trPr>
        <w:tc>
          <w:tcPr>
            <w:tcW w:w="3418" w:type="pct"/>
          </w:tcPr>
          <w:p w14:paraId="051358F0" w14:textId="3B87F6F1" w:rsidR="008B0B53" w:rsidRPr="006B3495" w:rsidRDefault="008B0B53" w:rsidP="00212183">
            <w:p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 xml:space="preserve">Diastolic </w:t>
            </w:r>
            <w:r w:rsidR="00993ACB" w:rsidRPr="006B3495">
              <w:rPr>
                <w:rFonts w:asciiTheme="majorBidi" w:hAnsiTheme="majorBidi" w:cstheme="majorBidi"/>
                <w:sz w:val="24"/>
                <w:szCs w:val="24"/>
              </w:rPr>
              <w:t>Blood Pressure</w:t>
            </w:r>
            <w:r w:rsidR="000D3326" w:rsidRPr="006B3495">
              <w:rPr>
                <w:rFonts w:asciiTheme="majorBidi" w:hAnsiTheme="majorBidi" w:cstheme="majorBidi"/>
                <w:sz w:val="24"/>
                <w:szCs w:val="24"/>
              </w:rPr>
              <w:t xml:space="preserve"> </w:t>
            </w:r>
            <w:r w:rsidR="000D3326">
              <w:rPr>
                <w:rFonts w:asciiTheme="majorBidi" w:hAnsiTheme="majorBidi" w:cstheme="majorBidi"/>
                <w:sz w:val="24"/>
                <w:szCs w:val="24"/>
              </w:rPr>
              <w:t>(D</w:t>
            </w:r>
            <w:r w:rsidR="000D3326" w:rsidRPr="006B3495">
              <w:rPr>
                <w:rFonts w:asciiTheme="majorBidi" w:hAnsiTheme="majorBidi" w:cstheme="majorBidi"/>
                <w:sz w:val="24"/>
                <w:szCs w:val="24"/>
              </w:rPr>
              <w:t>BP</w:t>
            </w:r>
            <w:r w:rsidR="000D3326">
              <w:rPr>
                <w:rFonts w:asciiTheme="majorBidi" w:hAnsiTheme="majorBidi" w:cstheme="majorBidi"/>
                <w:sz w:val="24"/>
                <w:szCs w:val="24"/>
              </w:rPr>
              <w:t>)</w:t>
            </w:r>
            <w:r w:rsidR="000D3326" w:rsidRPr="006B3495">
              <w:rPr>
                <w:rFonts w:asciiTheme="majorBidi" w:eastAsia="Times New Roman" w:hAnsiTheme="majorBidi" w:cstheme="majorBidi"/>
                <w:sz w:val="24"/>
                <w:szCs w:val="24"/>
              </w:rPr>
              <w:t xml:space="preserve"> </w:t>
            </w:r>
            <w:r w:rsidRPr="006B3495">
              <w:rPr>
                <w:rFonts w:asciiTheme="majorBidi" w:eastAsia="Times New Roman" w:hAnsiTheme="majorBidi" w:cstheme="majorBidi"/>
                <w:sz w:val="24"/>
                <w:szCs w:val="24"/>
              </w:rPr>
              <w:t xml:space="preserve">(mmHg) </w:t>
            </w:r>
          </w:p>
        </w:tc>
        <w:tc>
          <w:tcPr>
            <w:tcW w:w="1582" w:type="pct"/>
          </w:tcPr>
          <w:p w14:paraId="5247B0F9" w14:textId="77777777" w:rsidR="008B0B53" w:rsidRPr="006B3495" w:rsidRDefault="008B0B53" w:rsidP="00212183">
            <w:pPr>
              <w:autoSpaceDE w:val="0"/>
              <w:autoSpaceDN w:val="0"/>
              <w:adjustRightInd w:val="0"/>
              <w:spacing w:after="0" w:line="360" w:lineRule="auto"/>
              <w:jc w:val="both"/>
              <w:rPr>
                <w:rFonts w:asciiTheme="majorBidi" w:eastAsia="Times New Roman" w:hAnsiTheme="majorBidi" w:cstheme="majorBidi"/>
                <w:strike/>
                <w:sz w:val="24"/>
                <w:szCs w:val="24"/>
              </w:rPr>
            </w:pPr>
          </w:p>
        </w:tc>
      </w:tr>
      <w:tr w:rsidR="004A617A" w:rsidRPr="006B3495" w14:paraId="2B8330F7" w14:textId="77777777" w:rsidTr="00212183">
        <w:trPr>
          <w:trHeight w:val="316"/>
        </w:trPr>
        <w:tc>
          <w:tcPr>
            <w:tcW w:w="3418" w:type="pct"/>
          </w:tcPr>
          <w:p w14:paraId="4889C778" w14:textId="77777777" w:rsidR="008B0B53" w:rsidRPr="006B3495" w:rsidRDefault="008B0B53" w:rsidP="00212183">
            <w:p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 xml:space="preserve">Estimated glomerular filtration rate (eGFR) (ml/kg/min) </w:t>
            </w:r>
          </w:p>
        </w:tc>
        <w:tc>
          <w:tcPr>
            <w:tcW w:w="1582" w:type="pct"/>
          </w:tcPr>
          <w:p w14:paraId="68B60FA6" w14:textId="77777777" w:rsidR="008B0B53" w:rsidRPr="006B3495" w:rsidRDefault="008B0B53" w:rsidP="00212183">
            <w:pPr>
              <w:autoSpaceDE w:val="0"/>
              <w:autoSpaceDN w:val="0"/>
              <w:adjustRightInd w:val="0"/>
              <w:spacing w:after="0" w:line="360" w:lineRule="auto"/>
              <w:jc w:val="both"/>
              <w:rPr>
                <w:rFonts w:asciiTheme="majorBidi" w:eastAsia="Times New Roman" w:hAnsiTheme="majorBidi" w:cstheme="majorBidi"/>
                <w:strike/>
                <w:sz w:val="24"/>
                <w:szCs w:val="24"/>
              </w:rPr>
            </w:pPr>
          </w:p>
        </w:tc>
      </w:tr>
      <w:tr w:rsidR="008B0B53" w:rsidRPr="006B3495" w14:paraId="44B4FFAA" w14:textId="77777777" w:rsidTr="00212183">
        <w:trPr>
          <w:trHeight w:val="206"/>
        </w:trPr>
        <w:tc>
          <w:tcPr>
            <w:tcW w:w="3418" w:type="pct"/>
          </w:tcPr>
          <w:p w14:paraId="62FA4F84" w14:textId="77777777" w:rsidR="008B0B53" w:rsidRPr="006B3495" w:rsidRDefault="008B0B53" w:rsidP="00212183">
            <w:pPr>
              <w:autoSpaceDE w:val="0"/>
              <w:autoSpaceDN w:val="0"/>
              <w:adjustRightInd w:val="0"/>
              <w:spacing w:after="0" w:line="360" w:lineRule="auto"/>
              <w:jc w:val="both"/>
              <w:rPr>
                <w:rFonts w:asciiTheme="majorBidi" w:eastAsia="Times New Roman" w:hAnsiTheme="majorBidi" w:cstheme="majorBidi"/>
                <w:sz w:val="24"/>
                <w:szCs w:val="24"/>
              </w:rPr>
            </w:pPr>
            <w:r w:rsidRPr="006B3495">
              <w:rPr>
                <w:rFonts w:asciiTheme="majorBidi" w:eastAsia="Times New Roman" w:hAnsiTheme="majorBidi" w:cstheme="majorBidi"/>
                <w:sz w:val="24"/>
                <w:szCs w:val="24"/>
              </w:rPr>
              <w:t xml:space="preserve">Hemoglobin (g/dl) </w:t>
            </w:r>
          </w:p>
        </w:tc>
        <w:tc>
          <w:tcPr>
            <w:tcW w:w="1582" w:type="pct"/>
          </w:tcPr>
          <w:p w14:paraId="37C96859" w14:textId="77777777" w:rsidR="008B0B53" w:rsidRPr="006B3495" w:rsidRDefault="008B0B53" w:rsidP="00212183">
            <w:pPr>
              <w:autoSpaceDE w:val="0"/>
              <w:autoSpaceDN w:val="0"/>
              <w:adjustRightInd w:val="0"/>
              <w:spacing w:after="0" w:line="360" w:lineRule="auto"/>
              <w:jc w:val="both"/>
              <w:rPr>
                <w:rFonts w:asciiTheme="majorBidi" w:eastAsia="Times New Roman" w:hAnsiTheme="majorBidi" w:cstheme="majorBidi"/>
                <w:strike/>
                <w:sz w:val="24"/>
                <w:szCs w:val="24"/>
              </w:rPr>
            </w:pPr>
          </w:p>
        </w:tc>
      </w:tr>
    </w:tbl>
    <w:p w14:paraId="6EC0F4B9" w14:textId="77777777" w:rsidR="008B0B53" w:rsidRPr="006B3495" w:rsidRDefault="008B0B53" w:rsidP="008B0B53">
      <w:pPr>
        <w:autoSpaceDE w:val="0"/>
        <w:autoSpaceDN w:val="0"/>
        <w:adjustRightInd w:val="0"/>
        <w:spacing w:after="0" w:line="360" w:lineRule="auto"/>
        <w:jc w:val="center"/>
        <w:rPr>
          <w:rFonts w:asciiTheme="majorBidi" w:eastAsia="Times New Roman" w:hAnsiTheme="majorBidi" w:cstheme="majorBidi"/>
          <w:b/>
          <w:bCs/>
          <w:sz w:val="24"/>
          <w:szCs w:val="24"/>
          <w:u w:val="single"/>
        </w:rPr>
      </w:pPr>
    </w:p>
    <w:p w14:paraId="7B79407C" w14:textId="77777777" w:rsidR="008B0B53" w:rsidRPr="006B3495" w:rsidRDefault="008B0B53" w:rsidP="008B0B53">
      <w:pPr>
        <w:autoSpaceDE w:val="0"/>
        <w:autoSpaceDN w:val="0"/>
        <w:adjustRightInd w:val="0"/>
        <w:spacing w:after="0" w:line="360" w:lineRule="auto"/>
        <w:jc w:val="center"/>
        <w:rPr>
          <w:rFonts w:asciiTheme="majorBidi" w:eastAsia="Times New Roman" w:hAnsiTheme="majorBidi" w:cstheme="majorBidi"/>
          <w:b/>
          <w:bCs/>
          <w:sz w:val="28"/>
          <w:szCs w:val="28"/>
          <w:u w:val="single"/>
        </w:rPr>
      </w:pPr>
      <w:r w:rsidRPr="006B3495">
        <w:rPr>
          <w:rFonts w:asciiTheme="majorBidi" w:eastAsia="Times New Roman" w:hAnsiTheme="majorBidi" w:cstheme="majorBidi"/>
          <w:b/>
          <w:bCs/>
          <w:sz w:val="28"/>
          <w:szCs w:val="28"/>
          <w:u w:val="single"/>
        </w:rPr>
        <w:t>Section Three: Complications.</w:t>
      </w:r>
    </w:p>
    <w:tbl>
      <w:tblPr>
        <w:tblStyle w:val="3-61"/>
        <w:tblpPr w:leftFromText="180" w:rightFromText="180" w:vertAnchor="text" w:horzAnchor="margin" w:tblpY="205"/>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6464"/>
        <w:gridCol w:w="1043"/>
        <w:gridCol w:w="987"/>
      </w:tblGrid>
      <w:tr w:rsidR="004A617A" w:rsidRPr="006B3495" w14:paraId="45F18AF5" w14:textId="77777777" w:rsidTr="00C875C1">
        <w:trPr>
          <w:cnfStyle w:val="100000000000" w:firstRow="1" w:lastRow="0" w:firstColumn="0" w:lastColumn="0" w:oddVBand="0" w:evenVBand="0" w:oddHBand="0" w:evenHBand="0" w:firstRowFirstColumn="0" w:firstRowLastColumn="0" w:lastRowFirstColumn="0" w:lastRowLastColumn="0"/>
          <w:trHeight w:val="437"/>
        </w:trPr>
        <w:tc>
          <w:tcPr>
            <w:cnfStyle w:val="001000000100" w:firstRow="0" w:lastRow="0" w:firstColumn="1" w:lastColumn="0" w:oddVBand="0" w:evenVBand="0" w:oddHBand="0" w:evenHBand="0" w:firstRowFirstColumn="1" w:firstRowLastColumn="0" w:lastRowFirstColumn="0" w:lastRowLastColumn="0"/>
            <w:tcW w:w="3805" w:type="pct"/>
            <w:shd w:val="clear" w:color="auto" w:fill="FFC000"/>
          </w:tcPr>
          <w:p w14:paraId="62C2750E" w14:textId="77777777" w:rsidR="00514256" w:rsidRPr="006B3495" w:rsidRDefault="00514256" w:rsidP="00C875C1">
            <w:pPr>
              <w:autoSpaceDE w:val="0"/>
              <w:autoSpaceDN w:val="0"/>
              <w:adjustRightInd w:val="0"/>
              <w:spacing w:line="360" w:lineRule="auto"/>
              <w:rPr>
                <w:rFonts w:asciiTheme="majorBidi" w:eastAsia="Times New Roman" w:hAnsiTheme="majorBidi" w:cstheme="majorBidi"/>
                <w:color w:val="auto"/>
                <w:sz w:val="24"/>
                <w:szCs w:val="24"/>
              </w:rPr>
            </w:pPr>
            <w:r w:rsidRPr="006B3495">
              <w:rPr>
                <w:rFonts w:asciiTheme="majorBidi" w:eastAsia="Times New Roman" w:hAnsiTheme="majorBidi" w:cstheme="majorBidi"/>
                <w:color w:val="auto"/>
                <w:sz w:val="24"/>
                <w:szCs w:val="24"/>
              </w:rPr>
              <w:t>Complications after procedure</w:t>
            </w:r>
          </w:p>
        </w:tc>
        <w:tc>
          <w:tcPr>
            <w:tcW w:w="614" w:type="pct"/>
            <w:shd w:val="clear" w:color="auto" w:fill="FFC000"/>
          </w:tcPr>
          <w:p w14:paraId="591173EC" w14:textId="77777777" w:rsidR="00514256" w:rsidRPr="006B3495" w:rsidRDefault="00514256" w:rsidP="00C875C1">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6B3495">
              <w:rPr>
                <w:rFonts w:asciiTheme="majorBidi" w:eastAsia="Times New Roman" w:hAnsiTheme="majorBidi" w:cstheme="majorBidi"/>
                <w:color w:val="auto"/>
                <w:sz w:val="24"/>
                <w:szCs w:val="24"/>
              </w:rPr>
              <w:t>Present</w:t>
            </w:r>
          </w:p>
        </w:tc>
        <w:tc>
          <w:tcPr>
            <w:tcW w:w="581" w:type="pct"/>
            <w:shd w:val="clear" w:color="auto" w:fill="FFC000"/>
          </w:tcPr>
          <w:p w14:paraId="0D991CC6" w14:textId="77777777" w:rsidR="00514256" w:rsidRPr="006B3495" w:rsidRDefault="00514256" w:rsidP="00C875C1">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6B3495">
              <w:rPr>
                <w:rFonts w:asciiTheme="majorBidi" w:eastAsia="Times New Roman" w:hAnsiTheme="majorBidi" w:cstheme="majorBidi"/>
                <w:color w:val="auto"/>
                <w:sz w:val="24"/>
                <w:szCs w:val="24"/>
              </w:rPr>
              <w:t>Absent</w:t>
            </w:r>
          </w:p>
        </w:tc>
      </w:tr>
      <w:tr w:rsidR="004A617A" w:rsidRPr="006B3495" w14:paraId="22D8EA64" w14:textId="77777777" w:rsidTr="00C875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5" w:type="pct"/>
          </w:tcPr>
          <w:p w14:paraId="5E6CA73A" w14:textId="77777777" w:rsidR="00514256" w:rsidRPr="006B3495" w:rsidRDefault="00514256" w:rsidP="00C875C1">
            <w:pPr>
              <w:autoSpaceDE w:val="0"/>
              <w:autoSpaceDN w:val="0"/>
              <w:adjustRightInd w:val="0"/>
              <w:spacing w:line="360" w:lineRule="auto"/>
              <w:rPr>
                <w:rFonts w:asciiTheme="majorBidi" w:eastAsia="Times New Roman" w:hAnsiTheme="majorBidi" w:cstheme="majorBidi"/>
                <w:b w:val="0"/>
                <w:bCs w:val="0"/>
                <w:sz w:val="24"/>
                <w:szCs w:val="24"/>
              </w:rPr>
            </w:pPr>
            <w:r w:rsidRPr="006B3495">
              <w:rPr>
                <w:rFonts w:asciiTheme="majorBidi" w:eastAsia="Times New Roman" w:hAnsiTheme="majorBidi" w:cstheme="majorBidi"/>
                <w:b w:val="0"/>
                <w:bCs w:val="0"/>
                <w:sz w:val="24"/>
                <w:szCs w:val="24"/>
              </w:rPr>
              <w:t>Access site pain.</w:t>
            </w:r>
          </w:p>
        </w:tc>
        <w:tc>
          <w:tcPr>
            <w:tcW w:w="614" w:type="pct"/>
            <w:shd w:val="clear" w:color="auto" w:fill="FFFFFF" w:themeFill="background1"/>
          </w:tcPr>
          <w:p w14:paraId="09584E31" w14:textId="77777777" w:rsidR="00514256" w:rsidRPr="006B3495" w:rsidRDefault="00514256" w:rsidP="00C875C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8"/>
                <w:szCs w:val="28"/>
                <w:u w:val="single"/>
              </w:rPr>
            </w:pPr>
          </w:p>
        </w:tc>
        <w:tc>
          <w:tcPr>
            <w:tcW w:w="581" w:type="pct"/>
            <w:shd w:val="clear" w:color="auto" w:fill="FFFFFF" w:themeFill="background1"/>
          </w:tcPr>
          <w:p w14:paraId="1BBC536B" w14:textId="77777777" w:rsidR="00514256" w:rsidRPr="006B3495" w:rsidRDefault="00514256" w:rsidP="00C875C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8"/>
                <w:szCs w:val="28"/>
                <w:u w:val="single"/>
              </w:rPr>
            </w:pPr>
          </w:p>
        </w:tc>
      </w:tr>
      <w:tr w:rsidR="004A617A" w:rsidRPr="006B3495" w14:paraId="3590ADEA" w14:textId="77777777" w:rsidTr="00C875C1">
        <w:tc>
          <w:tcPr>
            <w:cnfStyle w:val="001000000000" w:firstRow="0" w:lastRow="0" w:firstColumn="1" w:lastColumn="0" w:oddVBand="0" w:evenVBand="0" w:oddHBand="0" w:evenHBand="0" w:firstRowFirstColumn="0" w:firstRowLastColumn="0" w:lastRowFirstColumn="0" w:lastRowLastColumn="0"/>
            <w:tcW w:w="3805" w:type="pct"/>
          </w:tcPr>
          <w:p w14:paraId="76A4D2D8" w14:textId="77777777" w:rsidR="00514256" w:rsidRPr="006B3495" w:rsidRDefault="00514256" w:rsidP="00C875C1">
            <w:pPr>
              <w:autoSpaceDE w:val="0"/>
              <w:autoSpaceDN w:val="0"/>
              <w:adjustRightInd w:val="0"/>
              <w:spacing w:line="360" w:lineRule="auto"/>
              <w:rPr>
                <w:rFonts w:asciiTheme="majorBidi" w:eastAsia="Times New Roman" w:hAnsiTheme="majorBidi" w:cstheme="majorBidi"/>
                <w:b w:val="0"/>
                <w:bCs w:val="0"/>
                <w:sz w:val="24"/>
                <w:szCs w:val="24"/>
              </w:rPr>
            </w:pPr>
            <w:r w:rsidRPr="006B3495">
              <w:rPr>
                <w:rFonts w:asciiTheme="majorBidi" w:eastAsia="Times New Roman" w:hAnsiTheme="majorBidi" w:cstheme="majorBidi"/>
                <w:b w:val="0"/>
                <w:bCs w:val="0"/>
                <w:sz w:val="24"/>
                <w:szCs w:val="24"/>
              </w:rPr>
              <w:t>Numbness.</w:t>
            </w:r>
          </w:p>
        </w:tc>
        <w:tc>
          <w:tcPr>
            <w:tcW w:w="614" w:type="pct"/>
          </w:tcPr>
          <w:p w14:paraId="2C39A47A" w14:textId="77777777" w:rsidR="00514256" w:rsidRPr="006B3495" w:rsidRDefault="00514256" w:rsidP="00C875C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8"/>
                <w:szCs w:val="28"/>
                <w:u w:val="single"/>
              </w:rPr>
            </w:pPr>
          </w:p>
        </w:tc>
        <w:tc>
          <w:tcPr>
            <w:tcW w:w="581" w:type="pct"/>
          </w:tcPr>
          <w:p w14:paraId="3A67A779" w14:textId="77777777" w:rsidR="00514256" w:rsidRPr="006B3495" w:rsidRDefault="00514256" w:rsidP="00C875C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8"/>
                <w:szCs w:val="28"/>
                <w:u w:val="single"/>
              </w:rPr>
            </w:pPr>
          </w:p>
        </w:tc>
      </w:tr>
      <w:tr w:rsidR="004A617A" w:rsidRPr="006B3495" w14:paraId="63B87B4C" w14:textId="77777777" w:rsidTr="00C875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5" w:type="pct"/>
          </w:tcPr>
          <w:p w14:paraId="0A6CC580" w14:textId="77777777" w:rsidR="00514256" w:rsidRPr="006B3495" w:rsidRDefault="00514256" w:rsidP="00C875C1">
            <w:pPr>
              <w:autoSpaceDE w:val="0"/>
              <w:autoSpaceDN w:val="0"/>
              <w:adjustRightInd w:val="0"/>
              <w:spacing w:line="360" w:lineRule="auto"/>
              <w:rPr>
                <w:rFonts w:asciiTheme="majorBidi" w:eastAsia="Times New Roman" w:hAnsiTheme="majorBidi" w:cstheme="majorBidi"/>
                <w:b w:val="0"/>
                <w:bCs w:val="0"/>
                <w:sz w:val="24"/>
                <w:szCs w:val="24"/>
              </w:rPr>
            </w:pPr>
            <w:r w:rsidRPr="006B3495">
              <w:rPr>
                <w:rFonts w:asciiTheme="majorBidi" w:eastAsia="Times New Roman" w:hAnsiTheme="majorBidi" w:cstheme="majorBidi"/>
                <w:b w:val="0"/>
                <w:bCs w:val="0"/>
                <w:sz w:val="24"/>
                <w:szCs w:val="24"/>
              </w:rPr>
              <w:t>Oozing.</w:t>
            </w:r>
          </w:p>
        </w:tc>
        <w:tc>
          <w:tcPr>
            <w:tcW w:w="614" w:type="pct"/>
          </w:tcPr>
          <w:p w14:paraId="09E16AAA" w14:textId="77777777" w:rsidR="00514256" w:rsidRPr="006B3495" w:rsidRDefault="00514256" w:rsidP="00C875C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8"/>
                <w:szCs w:val="28"/>
                <w:u w:val="single"/>
              </w:rPr>
            </w:pPr>
          </w:p>
        </w:tc>
        <w:tc>
          <w:tcPr>
            <w:tcW w:w="581" w:type="pct"/>
          </w:tcPr>
          <w:p w14:paraId="27C5A0D9" w14:textId="77777777" w:rsidR="00514256" w:rsidRPr="006B3495" w:rsidRDefault="00514256" w:rsidP="00C875C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8"/>
                <w:szCs w:val="28"/>
                <w:u w:val="single"/>
              </w:rPr>
            </w:pPr>
          </w:p>
        </w:tc>
      </w:tr>
      <w:tr w:rsidR="004A617A" w:rsidRPr="006B3495" w14:paraId="66251183" w14:textId="77777777" w:rsidTr="00C875C1">
        <w:tc>
          <w:tcPr>
            <w:cnfStyle w:val="001000000000" w:firstRow="0" w:lastRow="0" w:firstColumn="1" w:lastColumn="0" w:oddVBand="0" w:evenVBand="0" w:oddHBand="0" w:evenHBand="0" w:firstRowFirstColumn="0" w:firstRowLastColumn="0" w:lastRowFirstColumn="0" w:lastRowLastColumn="0"/>
            <w:tcW w:w="3805" w:type="pct"/>
          </w:tcPr>
          <w:p w14:paraId="375F03FA" w14:textId="77777777" w:rsidR="00514256" w:rsidRPr="006B3495" w:rsidRDefault="00514256" w:rsidP="00C875C1">
            <w:pPr>
              <w:autoSpaceDE w:val="0"/>
              <w:autoSpaceDN w:val="0"/>
              <w:adjustRightInd w:val="0"/>
              <w:spacing w:line="360" w:lineRule="auto"/>
              <w:rPr>
                <w:rFonts w:asciiTheme="majorBidi" w:eastAsia="Times New Roman" w:hAnsiTheme="majorBidi" w:cstheme="majorBidi"/>
                <w:b w:val="0"/>
                <w:bCs w:val="0"/>
                <w:sz w:val="24"/>
                <w:szCs w:val="24"/>
              </w:rPr>
            </w:pPr>
            <w:r w:rsidRPr="006B3495">
              <w:rPr>
                <w:rFonts w:asciiTheme="majorBidi" w:eastAsia="Times New Roman" w:hAnsiTheme="majorBidi" w:cstheme="majorBidi"/>
                <w:b w:val="0"/>
                <w:bCs w:val="0"/>
                <w:sz w:val="24"/>
                <w:szCs w:val="24"/>
              </w:rPr>
              <w:t>Patient discomfort.</w:t>
            </w:r>
          </w:p>
        </w:tc>
        <w:tc>
          <w:tcPr>
            <w:tcW w:w="614" w:type="pct"/>
          </w:tcPr>
          <w:p w14:paraId="532860D7" w14:textId="77777777" w:rsidR="00514256" w:rsidRPr="006B3495" w:rsidRDefault="00514256" w:rsidP="00C875C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8"/>
                <w:szCs w:val="28"/>
                <w:u w:val="single"/>
              </w:rPr>
            </w:pPr>
          </w:p>
        </w:tc>
        <w:tc>
          <w:tcPr>
            <w:tcW w:w="581" w:type="pct"/>
          </w:tcPr>
          <w:p w14:paraId="4F17FBD6" w14:textId="77777777" w:rsidR="00514256" w:rsidRPr="006B3495" w:rsidRDefault="00514256" w:rsidP="00C875C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8"/>
                <w:szCs w:val="28"/>
                <w:u w:val="single"/>
              </w:rPr>
            </w:pPr>
          </w:p>
        </w:tc>
      </w:tr>
      <w:tr w:rsidR="004A617A" w:rsidRPr="006B3495" w14:paraId="656B29B1" w14:textId="77777777" w:rsidTr="00C875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5" w:type="pct"/>
          </w:tcPr>
          <w:p w14:paraId="371DC773" w14:textId="77777777" w:rsidR="00514256" w:rsidRPr="006B3495" w:rsidRDefault="00514256" w:rsidP="00C875C1">
            <w:pPr>
              <w:autoSpaceDE w:val="0"/>
              <w:autoSpaceDN w:val="0"/>
              <w:adjustRightInd w:val="0"/>
              <w:spacing w:line="360" w:lineRule="auto"/>
              <w:rPr>
                <w:rFonts w:asciiTheme="majorBidi" w:eastAsia="Times New Roman" w:hAnsiTheme="majorBidi" w:cstheme="majorBidi"/>
                <w:b w:val="0"/>
                <w:bCs w:val="0"/>
                <w:sz w:val="24"/>
                <w:szCs w:val="24"/>
              </w:rPr>
            </w:pPr>
            <w:r w:rsidRPr="006B3495">
              <w:rPr>
                <w:rFonts w:asciiTheme="majorBidi" w:eastAsia="Times New Roman" w:hAnsiTheme="majorBidi" w:cstheme="majorBidi"/>
                <w:b w:val="0"/>
                <w:bCs w:val="0"/>
                <w:sz w:val="24"/>
                <w:szCs w:val="24"/>
              </w:rPr>
              <w:t>Soreness.</w:t>
            </w:r>
          </w:p>
        </w:tc>
        <w:tc>
          <w:tcPr>
            <w:tcW w:w="614" w:type="pct"/>
          </w:tcPr>
          <w:p w14:paraId="0C796018" w14:textId="77777777" w:rsidR="00514256" w:rsidRPr="006B3495" w:rsidRDefault="00514256" w:rsidP="00C875C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8"/>
                <w:szCs w:val="28"/>
                <w:u w:val="single"/>
              </w:rPr>
            </w:pPr>
          </w:p>
        </w:tc>
        <w:tc>
          <w:tcPr>
            <w:tcW w:w="581" w:type="pct"/>
          </w:tcPr>
          <w:p w14:paraId="27683FFA" w14:textId="77777777" w:rsidR="00514256" w:rsidRPr="006B3495" w:rsidRDefault="00514256" w:rsidP="00C875C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8"/>
                <w:szCs w:val="28"/>
                <w:u w:val="single"/>
              </w:rPr>
            </w:pPr>
          </w:p>
        </w:tc>
      </w:tr>
      <w:tr w:rsidR="004A617A" w:rsidRPr="006B3495" w14:paraId="3EB29698" w14:textId="77777777" w:rsidTr="00C875C1">
        <w:tc>
          <w:tcPr>
            <w:cnfStyle w:val="001000000000" w:firstRow="0" w:lastRow="0" w:firstColumn="1" w:lastColumn="0" w:oddVBand="0" w:evenVBand="0" w:oddHBand="0" w:evenHBand="0" w:firstRowFirstColumn="0" w:firstRowLastColumn="0" w:lastRowFirstColumn="0" w:lastRowLastColumn="0"/>
            <w:tcW w:w="3805" w:type="pct"/>
          </w:tcPr>
          <w:p w14:paraId="5B2B5D44" w14:textId="77777777" w:rsidR="00514256" w:rsidRPr="006B3495" w:rsidRDefault="00514256" w:rsidP="00C875C1">
            <w:pPr>
              <w:autoSpaceDE w:val="0"/>
              <w:autoSpaceDN w:val="0"/>
              <w:adjustRightInd w:val="0"/>
              <w:spacing w:line="360" w:lineRule="auto"/>
              <w:rPr>
                <w:rFonts w:asciiTheme="majorBidi" w:eastAsia="Times New Roman" w:hAnsiTheme="majorBidi" w:cstheme="majorBidi"/>
                <w:b w:val="0"/>
                <w:bCs w:val="0"/>
                <w:sz w:val="24"/>
                <w:szCs w:val="24"/>
              </w:rPr>
            </w:pPr>
            <w:r w:rsidRPr="006B3495">
              <w:rPr>
                <w:rFonts w:asciiTheme="majorBidi" w:eastAsia="Times New Roman" w:hAnsiTheme="majorBidi" w:cstheme="majorBidi"/>
                <w:b w:val="0"/>
                <w:bCs w:val="0"/>
                <w:sz w:val="24"/>
                <w:szCs w:val="24"/>
              </w:rPr>
              <w:t>Spasms.</w:t>
            </w:r>
          </w:p>
        </w:tc>
        <w:tc>
          <w:tcPr>
            <w:tcW w:w="614" w:type="pct"/>
          </w:tcPr>
          <w:p w14:paraId="29A5DE1C" w14:textId="77777777" w:rsidR="00514256" w:rsidRPr="006B3495" w:rsidRDefault="00514256" w:rsidP="00C875C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8"/>
                <w:szCs w:val="28"/>
                <w:u w:val="single"/>
              </w:rPr>
            </w:pPr>
          </w:p>
        </w:tc>
        <w:tc>
          <w:tcPr>
            <w:tcW w:w="581" w:type="pct"/>
          </w:tcPr>
          <w:p w14:paraId="5B469AEF" w14:textId="77777777" w:rsidR="00514256" w:rsidRPr="006B3495" w:rsidRDefault="00514256" w:rsidP="00C875C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8"/>
                <w:szCs w:val="28"/>
                <w:u w:val="single"/>
              </w:rPr>
            </w:pPr>
          </w:p>
        </w:tc>
      </w:tr>
      <w:tr w:rsidR="004A617A" w:rsidRPr="006B3495" w14:paraId="6E8A7699" w14:textId="77777777" w:rsidTr="00C875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5" w:type="pct"/>
          </w:tcPr>
          <w:p w14:paraId="644821E7" w14:textId="77777777" w:rsidR="00514256" w:rsidRPr="006B3495" w:rsidRDefault="00514256" w:rsidP="00C875C1">
            <w:pPr>
              <w:autoSpaceDE w:val="0"/>
              <w:autoSpaceDN w:val="0"/>
              <w:adjustRightInd w:val="0"/>
              <w:spacing w:line="360" w:lineRule="auto"/>
              <w:rPr>
                <w:rFonts w:asciiTheme="majorBidi" w:eastAsia="Times New Roman" w:hAnsiTheme="majorBidi" w:cstheme="majorBidi"/>
                <w:b w:val="0"/>
                <w:bCs w:val="0"/>
                <w:sz w:val="24"/>
                <w:szCs w:val="24"/>
              </w:rPr>
            </w:pPr>
            <w:r w:rsidRPr="006B3495">
              <w:rPr>
                <w:rFonts w:asciiTheme="majorBidi" w:eastAsia="Times New Roman" w:hAnsiTheme="majorBidi" w:cstheme="majorBidi"/>
                <w:b w:val="0"/>
                <w:bCs w:val="0"/>
                <w:sz w:val="24"/>
                <w:szCs w:val="24"/>
              </w:rPr>
              <w:t>Arterial occlusion.</w:t>
            </w:r>
          </w:p>
        </w:tc>
        <w:tc>
          <w:tcPr>
            <w:tcW w:w="614" w:type="pct"/>
          </w:tcPr>
          <w:p w14:paraId="3E498F35" w14:textId="77777777" w:rsidR="00514256" w:rsidRPr="006B3495" w:rsidRDefault="00514256" w:rsidP="00C875C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8"/>
                <w:szCs w:val="28"/>
                <w:u w:val="single"/>
              </w:rPr>
            </w:pPr>
          </w:p>
        </w:tc>
        <w:tc>
          <w:tcPr>
            <w:tcW w:w="581" w:type="pct"/>
          </w:tcPr>
          <w:p w14:paraId="2707BA80" w14:textId="77777777" w:rsidR="00514256" w:rsidRPr="006B3495" w:rsidRDefault="00514256" w:rsidP="00C875C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8"/>
                <w:szCs w:val="28"/>
                <w:u w:val="single"/>
              </w:rPr>
            </w:pPr>
          </w:p>
        </w:tc>
      </w:tr>
      <w:tr w:rsidR="004A617A" w:rsidRPr="006B3495" w14:paraId="568A6F9B" w14:textId="77777777" w:rsidTr="00C875C1">
        <w:tc>
          <w:tcPr>
            <w:cnfStyle w:val="001000000000" w:firstRow="0" w:lastRow="0" w:firstColumn="1" w:lastColumn="0" w:oddVBand="0" w:evenVBand="0" w:oddHBand="0" w:evenHBand="0" w:firstRowFirstColumn="0" w:firstRowLastColumn="0" w:lastRowFirstColumn="0" w:lastRowLastColumn="0"/>
            <w:tcW w:w="3805" w:type="pct"/>
            <w:tcBorders>
              <w:bottom w:val="single" w:sz="4" w:space="0" w:color="00B0F0"/>
            </w:tcBorders>
          </w:tcPr>
          <w:p w14:paraId="50F4AAF7" w14:textId="77777777" w:rsidR="00514256" w:rsidRPr="006B3495" w:rsidRDefault="00514256" w:rsidP="00C875C1">
            <w:pPr>
              <w:autoSpaceDE w:val="0"/>
              <w:autoSpaceDN w:val="0"/>
              <w:adjustRightInd w:val="0"/>
              <w:spacing w:line="360" w:lineRule="auto"/>
              <w:rPr>
                <w:rFonts w:asciiTheme="majorBidi" w:eastAsia="Times New Roman" w:hAnsiTheme="majorBidi" w:cstheme="majorBidi"/>
                <w:b w:val="0"/>
                <w:bCs w:val="0"/>
                <w:sz w:val="24"/>
                <w:szCs w:val="24"/>
              </w:rPr>
            </w:pPr>
            <w:r w:rsidRPr="006B3495">
              <w:rPr>
                <w:rFonts w:asciiTheme="majorBidi" w:eastAsia="Times New Roman" w:hAnsiTheme="majorBidi" w:cstheme="majorBidi"/>
                <w:b w:val="0"/>
                <w:bCs w:val="0"/>
                <w:sz w:val="24"/>
                <w:szCs w:val="24"/>
              </w:rPr>
              <w:t>Hematoma.</w:t>
            </w:r>
          </w:p>
        </w:tc>
        <w:tc>
          <w:tcPr>
            <w:tcW w:w="614" w:type="pct"/>
            <w:tcBorders>
              <w:bottom w:val="single" w:sz="4" w:space="0" w:color="00B0F0"/>
            </w:tcBorders>
          </w:tcPr>
          <w:p w14:paraId="554FA869" w14:textId="77777777" w:rsidR="00514256" w:rsidRPr="006B3495" w:rsidRDefault="00514256" w:rsidP="00C875C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8"/>
                <w:szCs w:val="28"/>
                <w:u w:val="single"/>
              </w:rPr>
            </w:pPr>
          </w:p>
        </w:tc>
        <w:tc>
          <w:tcPr>
            <w:tcW w:w="581" w:type="pct"/>
            <w:tcBorders>
              <w:bottom w:val="single" w:sz="4" w:space="0" w:color="00B0F0"/>
            </w:tcBorders>
          </w:tcPr>
          <w:p w14:paraId="6BFCA673" w14:textId="77777777" w:rsidR="00514256" w:rsidRPr="006B3495" w:rsidRDefault="00514256" w:rsidP="00C875C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8"/>
                <w:szCs w:val="28"/>
                <w:u w:val="single"/>
              </w:rPr>
            </w:pPr>
          </w:p>
        </w:tc>
      </w:tr>
      <w:tr w:rsidR="004A617A" w:rsidRPr="006B3495" w14:paraId="2FF71FEF" w14:textId="77777777" w:rsidTr="00C875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5" w:type="pct"/>
            <w:tcBorders>
              <w:top w:val="single" w:sz="4" w:space="0" w:color="00B0F0"/>
              <w:bottom w:val="single" w:sz="4" w:space="0" w:color="00B0F0"/>
            </w:tcBorders>
          </w:tcPr>
          <w:p w14:paraId="17E86175" w14:textId="77777777" w:rsidR="00514256" w:rsidRPr="006B3495" w:rsidRDefault="00514256" w:rsidP="00C875C1">
            <w:pPr>
              <w:autoSpaceDE w:val="0"/>
              <w:autoSpaceDN w:val="0"/>
              <w:adjustRightInd w:val="0"/>
              <w:spacing w:line="360" w:lineRule="auto"/>
              <w:rPr>
                <w:rFonts w:asciiTheme="majorBidi" w:eastAsia="Times New Roman" w:hAnsiTheme="majorBidi" w:cstheme="majorBidi"/>
                <w:b w:val="0"/>
                <w:bCs w:val="0"/>
                <w:sz w:val="24"/>
                <w:szCs w:val="24"/>
              </w:rPr>
            </w:pPr>
            <w:r w:rsidRPr="006B3495">
              <w:rPr>
                <w:rFonts w:asciiTheme="majorBidi" w:eastAsia="Times New Roman" w:hAnsiTheme="majorBidi" w:cstheme="majorBidi"/>
                <w:b w:val="0"/>
                <w:bCs w:val="0"/>
                <w:sz w:val="24"/>
                <w:szCs w:val="24"/>
              </w:rPr>
              <w:t>Bleeding.</w:t>
            </w:r>
          </w:p>
        </w:tc>
        <w:tc>
          <w:tcPr>
            <w:tcW w:w="614" w:type="pct"/>
            <w:tcBorders>
              <w:top w:val="single" w:sz="4" w:space="0" w:color="00B0F0"/>
              <w:bottom w:val="single" w:sz="4" w:space="0" w:color="00B0F0"/>
            </w:tcBorders>
          </w:tcPr>
          <w:p w14:paraId="48EF784E" w14:textId="77777777" w:rsidR="00514256" w:rsidRPr="006B3495" w:rsidRDefault="00514256" w:rsidP="00C875C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8"/>
                <w:szCs w:val="28"/>
                <w:u w:val="single"/>
              </w:rPr>
            </w:pPr>
          </w:p>
        </w:tc>
        <w:tc>
          <w:tcPr>
            <w:tcW w:w="581" w:type="pct"/>
            <w:tcBorders>
              <w:top w:val="single" w:sz="4" w:space="0" w:color="00B0F0"/>
              <w:bottom w:val="single" w:sz="4" w:space="0" w:color="00B0F0"/>
            </w:tcBorders>
          </w:tcPr>
          <w:p w14:paraId="25E72805" w14:textId="77777777" w:rsidR="00514256" w:rsidRPr="006B3495" w:rsidRDefault="00514256" w:rsidP="00C875C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8"/>
                <w:szCs w:val="28"/>
                <w:u w:val="single"/>
              </w:rPr>
            </w:pPr>
          </w:p>
        </w:tc>
      </w:tr>
      <w:tr w:rsidR="004A617A" w:rsidRPr="006B3495" w14:paraId="682E0771" w14:textId="77777777" w:rsidTr="00C875C1">
        <w:tc>
          <w:tcPr>
            <w:cnfStyle w:val="001000000000" w:firstRow="0" w:lastRow="0" w:firstColumn="1" w:lastColumn="0" w:oddVBand="0" w:evenVBand="0" w:oddHBand="0" w:evenHBand="0" w:firstRowFirstColumn="0" w:firstRowLastColumn="0" w:lastRowFirstColumn="0" w:lastRowLastColumn="0"/>
            <w:tcW w:w="3805" w:type="pct"/>
            <w:tcBorders>
              <w:top w:val="single" w:sz="4" w:space="0" w:color="00B0F0"/>
              <w:bottom w:val="single" w:sz="4" w:space="0" w:color="00B0F0"/>
            </w:tcBorders>
          </w:tcPr>
          <w:p w14:paraId="3690DEAE" w14:textId="77777777" w:rsidR="00514256" w:rsidRPr="006B3495" w:rsidRDefault="00514256" w:rsidP="00C875C1">
            <w:pPr>
              <w:autoSpaceDE w:val="0"/>
              <w:autoSpaceDN w:val="0"/>
              <w:adjustRightInd w:val="0"/>
              <w:spacing w:line="360" w:lineRule="auto"/>
              <w:rPr>
                <w:rFonts w:asciiTheme="majorBidi" w:eastAsia="Times New Roman" w:hAnsiTheme="majorBidi" w:cstheme="majorBidi"/>
                <w:b w:val="0"/>
                <w:bCs w:val="0"/>
                <w:sz w:val="24"/>
                <w:szCs w:val="24"/>
              </w:rPr>
            </w:pPr>
            <w:r w:rsidRPr="006B3495">
              <w:rPr>
                <w:rFonts w:asciiTheme="majorBidi" w:eastAsia="Times New Roman" w:hAnsiTheme="majorBidi" w:cstheme="majorBidi"/>
                <w:b w:val="0"/>
                <w:bCs w:val="0"/>
                <w:sz w:val="24"/>
                <w:szCs w:val="24"/>
              </w:rPr>
              <w:t>Adjacent nerve injury or the need for vascular surgical repair.</w:t>
            </w:r>
          </w:p>
        </w:tc>
        <w:tc>
          <w:tcPr>
            <w:tcW w:w="614" w:type="pct"/>
            <w:tcBorders>
              <w:top w:val="single" w:sz="4" w:space="0" w:color="00B0F0"/>
              <w:bottom w:val="single" w:sz="4" w:space="0" w:color="00B0F0"/>
            </w:tcBorders>
          </w:tcPr>
          <w:p w14:paraId="6EBB7E4B" w14:textId="77777777" w:rsidR="00514256" w:rsidRPr="006B3495" w:rsidRDefault="00514256" w:rsidP="00C875C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8"/>
                <w:szCs w:val="28"/>
                <w:u w:val="single"/>
              </w:rPr>
            </w:pPr>
          </w:p>
        </w:tc>
        <w:tc>
          <w:tcPr>
            <w:tcW w:w="581" w:type="pct"/>
            <w:tcBorders>
              <w:top w:val="single" w:sz="4" w:space="0" w:color="00B0F0"/>
              <w:bottom w:val="single" w:sz="4" w:space="0" w:color="00B0F0"/>
            </w:tcBorders>
          </w:tcPr>
          <w:p w14:paraId="29E8EF38" w14:textId="77777777" w:rsidR="00514256" w:rsidRPr="006B3495" w:rsidRDefault="00514256" w:rsidP="00C875C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8"/>
                <w:szCs w:val="28"/>
                <w:u w:val="single"/>
              </w:rPr>
            </w:pPr>
          </w:p>
        </w:tc>
      </w:tr>
      <w:tr w:rsidR="004A617A" w:rsidRPr="006B3495" w14:paraId="7E8CE119" w14:textId="77777777" w:rsidTr="00C875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5" w:type="pct"/>
            <w:tcBorders>
              <w:top w:val="single" w:sz="4" w:space="0" w:color="00B0F0"/>
              <w:bottom w:val="single" w:sz="4" w:space="0" w:color="00B0F0"/>
            </w:tcBorders>
          </w:tcPr>
          <w:p w14:paraId="48E05A8F" w14:textId="77777777" w:rsidR="00514256" w:rsidRPr="006B3495" w:rsidRDefault="00514256" w:rsidP="00C875C1">
            <w:pPr>
              <w:autoSpaceDE w:val="0"/>
              <w:autoSpaceDN w:val="0"/>
              <w:adjustRightInd w:val="0"/>
              <w:spacing w:line="360" w:lineRule="auto"/>
              <w:rPr>
                <w:rFonts w:asciiTheme="majorBidi" w:eastAsia="Times New Roman" w:hAnsiTheme="majorBidi" w:cstheme="majorBidi"/>
                <w:b w:val="0"/>
                <w:bCs w:val="0"/>
                <w:sz w:val="24"/>
                <w:szCs w:val="24"/>
              </w:rPr>
            </w:pPr>
            <w:r w:rsidRPr="006B3495">
              <w:rPr>
                <w:rFonts w:asciiTheme="majorBidi" w:eastAsia="Times New Roman" w:hAnsiTheme="majorBidi" w:cstheme="majorBidi"/>
                <w:b w:val="0"/>
                <w:bCs w:val="0"/>
                <w:sz w:val="24"/>
                <w:szCs w:val="24"/>
              </w:rPr>
              <w:t>Arteriovenous fistula.</w:t>
            </w:r>
          </w:p>
        </w:tc>
        <w:tc>
          <w:tcPr>
            <w:tcW w:w="614" w:type="pct"/>
            <w:tcBorders>
              <w:top w:val="single" w:sz="4" w:space="0" w:color="00B0F0"/>
              <w:bottom w:val="single" w:sz="4" w:space="0" w:color="00B0F0"/>
            </w:tcBorders>
          </w:tcPr>
          <w:p w14:paraId="61FEF7FD" w14:textId="77777777" w:rsidR="00514256" w:rsidRPr="006B3495" w:rsidRDefault="00514256" w:rsidP="00C875C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8"/>
                <w:szCs w:val="28"/>
                <w:u w:val="single"/>
              </w:rPr>
            </w:pPr>
          </w:p>
        </w:tc>
        <w:tc>
          <w:tcPr>
            <w:tcW w:w="581" w:type="pct"/>
            <w:tcBorders>
              <w:top w:val="single" w:sz="4" w:space="0" w:color="00B0F0"/>
              <w:bottom w:val="single" w:sz="4" w:space="0" w:color="00B0F0"/>
            </w:tcBorders>
          </w:tcPr>
          <w:p w14:paraId="0D7C8F29" w14:textId="77777777" w:rsidR="00514256" w:rsidRPr="006B3495" w:rsidRDefault="00514256" w:rsidP="00C875C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8"/>
                <w:szCs w:val="28"/>
                <w:u w:val="single"/>
              </w:rPr>
            </w:pPr>
          </w:p>
        </w:tc>
      </w:tr>
      <w:tr w:rsidR="004A617A" w:rsidRPr="006B3495" w14:paraId="1CB06923" w14:textId="77777777" w:rsidTr="00C875C1">
        <w:tc>
          <w:tcPr>
            <w:cnfStyle w:val="001000000000" w:firstRow="0" w:lastRow="0" w:firstColumn="1" w:lastColumn="0" w:oddVBand="0" w:evenVBand="0" w:oddHBand="0" w:evenHBand="0" w:firstRowFirstColumn="0" w:firstRowLastColumn="0" w:lastRowFirstColumn="0" w:lastRowLastColumn="0"/>
            <w:tcW w:w="3805" w:type="pct"/>
            <w:tcBorders>
              <w:top w:val="single" w:sz="4" w:space="0" w:color="00B0F0"/>
              <w:bottom w:val="single" w:sz="4" w:space="0" w:color="00B0F0"/>
            </w:tcBorders>
          </w:tcPr>
          <w:p w14:paraId="7DA467AD" w14:textId="77777777" w:rsidR="00514256" w:rsidRPr="006B3495" w:rsidRDefault="00514256" w:rsidP="00C875C1">
            <w:pPr>
              <w:autoSpaceDE w:val="0"/>
              <w:autoSpaceDN w:val="0"/>
              <w:adjustRightInd w:val="0"/>
              <w:spacing w:line="360" w:lineRule="auto"/>
              <w:rPr>
                <w:rFonts w:asciiTheme="majorBidi" w:eastAsia="Times New Roman" w:hAnsiTheme="majorBidi" w:cstheme="majorBidi"/>
                <w:b w:val="0"/>
                <w:bCs w:val="0"/>
                <w:sz w:val="24"/>
                <w:szCs w:val="24"/>
              </w:rPr>
            </w:pPr>
            <w:r w:rsidRPr="006B3495">
              <w:rPr>
                <w:rFonts w:asciiTheme="majorBidi" w:eastAsia="Times New Roman" w:hAnsiTheme="majorBidi" w:cstheme="majorBidi"/>
                <w:b w:val="0"/>
                <w:bCs w:val="0"/>
                <w:sz w:val="24"/>
                <w:szCs w:val="24"/>
              </w:rPr>
              <w:t>Compartment syndrome.</w:t>
            </w:r>
          </w:p>
        </w:tc>
        <w:tc>
          <w:tcPr>
            <w:tcW w:w="614" w:type="pct"/>
            <w:tcBorders>
              <w:top w:val="single" w:sz="4" w:space="0" w:color="00B0F0"/>
              <w:bottom w:val="single" w:sz="4" w:space="0" w:color="00B0F0"/>
            </w:tcBorders>
          </w:tcPr>
          <w:p w14:paraId="272A51C2" w14:textId="77777777" w:rsidR="00514256" w:rsidRPr="006B3495" w:rsidRDefault="00514256" w:rsidP="00C875C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8"/>
                <w:szCs w:val="28"/>
                <w:u w:val="single"/>
              </w:rPr>
            </w:pPr>
          </w:p>
        </w:tc>
        <w:tc>
          <w:tcPr>
            <w:tcW w:w="581" w:type="pct"/>
            <w:tcBorders>
              <w:top w:val="single" w:sz="4" w:space="0" w:color="00B0F0"/>
              <w:bottom w:val="single" w:sz="4" w:space="0" w:color="00B0F0"/>
            </w:tcBorders>
          </w:tcPr>
          <w:p w14:paraId="1D8F4756" w14:textId="77777777" w:rsidR="00514256" w:rsidRPr="006B3495" w:rsidRDefault="00514256" w:rsidP="00C875C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8"/>
                <w:szCs w:val="28"/>
                <w:u w:val="single"/>
              </w:rPr>
            </w:pPr>
          </w:p>
        </w:tc>
      </w:tr>
      <w:tr w:rsidR="004A617A" w:rsidRPr="006B3495" w14:paraId="66D86772" w14:textId="77777777" w:rsidTr="00C875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5" w:type="pct"/>
            <w:tcBorders>
              <w:top w:val="single" w:sz="4" w:space="0" w:color="00B0F0"/>
              <w:bottom w:val="single" w:sz="4" w:space="0" w:color="00B0F0"/>
            </w:tcBorders>
          </w:tcPr>
          <w:p w14:paraId="36BE34B7" w14:textId="77777777" w:rsidR="00514256" w:rsidRPr="006B3495" w:rsidRDefault="00514256" w:rsidP="00C875C1">
            <w:pPr>
              <w:autoSpaceDE w:val="0"/>
              <w:autoSpaceDN w:val="0"/>
              <w:adjustRightInd w:val="0"/>
              <w:spacing w:line="360" w:lineRule="auto"/>
              <w:rPr>
                <w:rFonts w:asciiTheme="majorBidi" w:eastAsia="Times New Roman" w:hAnsiTheme="majorBidi" w:cstheme="majorBidi"/>
                <w:b w:val="0"/>
                <w:bCs w:val="0"/>
                <w:sz w:val="24"/>
                <w:szCs w:val="24"/>
              </w:rPr>
            </w:pPr>
            <w:r w:rsidRPr="006B3495">
              <w:rPr>
                <w:rFonts w:asciiTheme="majorBidi" w:eastAsia="Times New Roman" w:hAnsiTheme="majorBidi" w:cstheme="majorBidi"/>
                <w:b w:val="0"/>
                <w:bCs w:val="0"/>
                <w:sz w:val="24"/>
                <w:szCs w:val="24"/>
              </w:rPr>
              <w:t>Infection.</w:t>
            </w:r>
          </w:p>
        </w:tc>
        <w:tc>
          <w:tcPr>
            <w:tcW w:w="614" w:type="pct"/>
            <w:tcBorders>
              <w:top w:val="single" w:sz="4" w:space="0" w:color="00B0F0"/>
              <w:bottom w:val="single" w:sz="4" w:space="0" w:color="00B0F0"/>
            </w:tcBorders>
          </w:tcPr>
          <w:p w14:paraId="39F91185" w14:textId="77777777" w:rsidR="00514256" w:rsidRPr="006B3495" w:rsidRDefault="00514256" w:rsidP="00C875C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8"/>
                <w:szCs w:val="28"/>
                <w:u w:val="single"/>
              </w:rPr>
            </w:pPr>
          </w:p>
        </w:tc>
        <w:tc>
          <w:tcPr>
            <w:tcW w:w="581" w:type="pct"/>
            <w:tcBorders>
              <w:top w:val="single" w:sz="4" w:space="0" w:color="00B0F0"/>
              <w:bottom w:val="single" w:sz="4" w:space="0" w:color="00B0F0"/>
            </w:tcBorders>
          </w:tcPr>
          <w:p w14:paraId="2321E845" w14:textId="77777777" w:rsidR="00514256" w:rsidRPr="006B3495" w:rsidRDefault="00514256" w:rsidP="00C875C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8"/>
                <w:szCs w:val="28"/>
                <w:u w:val="single"/>
              </w:rPr>
            </w:pPr>
          </w:p>
        </w:tc>
      </w:tr>
      <w:tr w:rsidR="004A617A" w:rsidRPr="006B3495" w14:paraId="78505720" w14:textId="77777777" w:rsidTr="00C875C1">
        <w:tc>
          <w:tcPr>
            <w:cnfStyle w:val="001000000000" w:firstRow="0" w:lastRow="0" w:firstColumn="1" w:lastColumn="0" w:oddVBand="0" w:evenVBand="0" w:oddHBand="0" w:evenHBand="0" w:firstRowFirstColumn="0" w:firstRowLastColumn="0" w:lastRowFirstColumn="0" w:lastRowLastColumn="0"/>
            <w:tcW w:w="3805" w:type="pct"/>
            <w:tcBorders>
              <w:top w:val="single" w:sz="4" w:space="0" w:color="00B0F0"/>
              <w:bottom w:val="single" w:sz="4" w:space="0" w:color="00B0F0"/>
            </w:tcBorders>
          </w:tcPr>
          <w:p w14:paraId="17056C17" w14:textId="77777777" w:rsidR="00514256" w:rsidRPr="006B3495" w:rsidRDefault="00514256" w:rsidP="00C875C1">
            <w:pPr>
              <w:autoSpaceDE w:val="0"/>
              <w:autoSpaceDN w:val="0"/>
              <w:adjustRightInd w:val="0"/>
              <w:spacing w:line="360" w:lineRule="auto"/>
              <w:rPr>
                <w:rFonts w:asciiTheme="majorBidi" w:eastAsia="Times New Roman" w:hAnsiTheme="majorBidi" w:cstheme="majorBidi"/>
                <w:b w:val="0"/>
                <w:bCs w:val="0"/>
                <w:sz w:val="24"/>
                <w:szCs w:val="24"/>
              </w:rPr>
            </w:pPr>
            <w:r w:rsidRPr="006B3495">
              <w:rPr>
                <w:rFonts w:asciiTheme="majorBidi" w:eastAsia="Times New Roman" w:hAnsiTheme="majorBidi" w:cstheme="majorBidi"/>
                <w:b w:val="0"/>
                <w:bCs w:val="0"/>
                <w:sz w:val="24"/>
                <w:szCs w:val="24"/>
              </w:rPr>
              <w:t>Leg ischemia.</w:t>
            </w:r>
          </w:p>
        </w:tc>
        <w:tc>
          <w:tcPr>
            <w:tcW w:w="614" w:type="pct"/>
            <w:tcBorders>
              <w:top w:val="single" w:sz="4" w:space="0" w:color="00B0F0"/>
              <w:bottom w:val="single" w:sz="4" w:space="0" w:color="00B0F0"/>
            </w:tcBorders>
          </w:tcPr>
          <w:p w14:paraId="46106281" w14:textId="77777777" w:rsidR="00514256" w:rsidRPr="006B3495" w:rsidRDefault="00514256" w:rsidP="00C875C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8"/>
                <w:szCs w:val="28"/>
                <w:u w:val="single"/>
              </w:rPr>
            </w:pPr>
          </w:p>
        </w:tc>
        <w:tc>
          <w:tcPr>
            <w:tcW w:w="581" w:type="pct"/>
            <w:tcBorders>
              <w:top w:val="single" w:sz="4" w:space="0" w:color="00B0F0"/>
              <w:bottom w:val="single" w:sz="4" w:space="0" w:color="00B0F0"/>
            </w:tcBorders>
          </w:tcPr>
          <w:p w14:paraId="7D9FD8E2" w14:textId="77777777" w:rsidR="00514256" w:rsidRPr="006B3495" w:rsidRDefault="00514256" w:rsidP="00C875C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8"/>
                <w:szCs w:val="28"/>
                <w:u w:val="single"/>
              </w:rPr>
            </w:pPr>
          </w:p>
        </w:tc>
      </w:tr>
      <w:tr w:rsidR="004A617A" w:rsidRPr="006B3495" w14:paraId="2B2C71BC" w14:textId="77777777" w:rsidTr="00C875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5" w:type="pct"/>
            <w:tcBorders>
              <w:top w:val="single" w:sz="4" w:space="0" w:color="00B0F0"/>
              <w:bottom w:val="single" w:sz="4" w:space="0" w:color="00B0F0"/>
            </w:tcBorders>
          </w:tcPr>
          <w:p w14:paraId="3D2B5EBC" w14:textId="691277CB" w:rsidR="00514256" w:rsidRPr="006B3495" w:rsidRDefault="00B80E02" w:rsidP="00C875C1">
            <w:pPr>
              <w:autoSpaceDE w:val="0"/>
              <w:autoSpaceDN w:val="0"/>
              <w:adjustRightInd w:val="0"/>
              <w:spacing w:line="360" w:lineRule="auto"/>
              <w:rPr>
                <w:rFonts w:asciiTheme="majorBidi" w:eastAsia="Times New Roman" w:hAnsiTheme="majorBidi" w:cstheme="majorBidi"/>
                <w:b w:val="0"/>
                <w:bCs w:val="0"/>
                <w:sz w:val="24"/>
                <w:szCs w:val="24"/>
              </w:rPr>
            </w:pPr>
            <w:r>
              <w:rPr>
                <w:rFonts w:asciiTheme="majorBidi" w:eastAsia="Times New Roman" w:hAnsiTheme="majorBidi" w:cstheme="majorBidi"/>
                <w:b w:val="0"/>
                <w:bCs w:val="0"/>
                <w:sz w:val="24"/>
                <w:szCs w:val="24"/>
              </w:rPr>
              <w:t>Upper l</w:t>
            </w:r>
            <w:r w:rsidR="00514256" w:rsidRPr="006B3495">
              <w:rPr>
                <w:rFonts w:asciiTheme="majorBidi" w:eastAsia="Times New Roman" w:hAnsiTheme="majorBidi" w:cstheme="majorBidi"/>
                <w:b w:val="0"/>
                <w:bCs w:val="0"/>
                <w:sz w:val="24"/>
                <w:szCs w:val="24"/>
              </w:rPr>
              <w:t>imb ischemia.</w:t>
            </w:r>
          </w:p>
        </w:tc>
        <w:tc>
          <w:tcPr>
            <w:tcW w:w="614" w:type="pct"/>
            <w:tcBorders>
              <w:top w:val="single" w:sz="4" w:space="0" w:color="00B0F0"/>
              <w:bottom w:val="single" w:sz="4" w:space="0" w:color="00B0F0"/>
            </w:tcBorders>
          </w:tcPr>
          <w:p w14:paraId="43DE32BB" w14:textId="77777777" w:rsidR="00514256" w:rsidRPr="006B3495" w:rsidRDefault="00514256" w:rsidP="00C875C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8"/>
                <w:szCs w:val="28"/>
                <w:u w:val="single"/>
              </w:rPr>
            </w:pPr>
          </w:p>
        </w:tc>
        <w:tc>
          <w:tcPr>
            <w:tcW w:w="581" w:type="pct"/>
            <w:tcBorders>
              <w:top w:val="single" w:sz="4" w:space="0" w:color="00B0F0"/>
              <w:bottom w:val="single" w:sz="4" w:space="0" w:color="00B0F0"/>
            </w:tcBorders>
          </w:tcPr>
          <w:p w14:paraId="3E4D0102" w14:textId="77777777" w:rsidR="00514256" w:rsidRPr="006B3495" w:rsidRDefault="00514256" w:rsidP="00C875C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8"/>
                <w:szCs w:val="28"/>
                <w:u w:val="single"/>
              </w:rPr>
            </w:pPr>
          </w:p>
        </w:tc>
      </w:tr>
      <w:tr w:rsidR="004A617A" w:rsidRPr="006B3495" w14:paraId="71B2D541" w14:textId="77777777" w:rsidTr="00C875C1">
        <w:tc>
          <w:tcPr>
            <w:cnfStyle w:val="001000000000" w:firstRow="0" w:lastRow="0" w:firstColumn="1" w:lastColumn="0" w:oddVBand="0" w:evenVBand="0" w:oddHBand="0" w:evenHBand="0" w:firstRowFirstColumn="0" w:firstRowLastColumn="0" w:lastRowFirstColumn="0" w:lastRowLastColumn="0"/>
            <w:tcW w:w="3805" w:type="pct"/>
            <w:tcBorders>
              <w:top w:val="single" w:sz="4" w:space="0" w:color="00B0F0"/>
              <w:bottom w:val="single" w:sz="4" w:space="0" w:color="00B0F0"/>
            </w:tcBorders>
          </w:tcPr>
          <w:p w14:paraId="63140220" w14:textId="77777777" w:rsidR="00514256" w:rsidRPr="006B3495" w:rsidRDefault="00514256" w:rsidP="00C875C1">
            <w:pPr>
              <w:autoSpaceDE w:val="0"/>
              <w:autoSpaceDN w:val="0"/>
              <w:adjustRightInd w:val="0"/>
              <w:spacing w:line="360" w:lineRule="auto"/>
              <w:rPr>
                <w:rFonts w:asciiTheme="majorBidi" w:eastAsia="Times New Roman" w:hAnsiTheme="majorBidi" w:cstheme="majorBidi"/>
                <w:b w:val="0"/>
                <w:bCs w:val="0"/>
                <w:sz w:val="24"/>
                <w:szCs w:val="24"/>
              </w:rPr>
            </w:pPr>
            <w:r w:rsidRPr="006B3495">
              <w:rPr>
                <w:rFonts w:asciiTheme="majorBidi" w:eastAsia="Times New Roman" w:hAnsiTheme="majorBidi" w:cstheme="majorBidi"/>
                <w:b w:val="0"/>
                <w:bCs w:val="0"/>
                <w:sz w:val="24"/>
                <w:szCs w:val="24"/>
              </w:rPr>
              <w:t>Pseudoaneurysm.</w:t>
            </w:r>
          </w:p>
        </w:tc>
        <w:tc>
          <w:tcPr>
            <w:tcW w:w="614" w:type="pct"/>
            <w:tcBorders>
              <w:top w:val="single" w:sz="4" w:space="0" w:color="00B0F0"/>
              <w:bottom w:val="single" w:sz="4" w:space="0" w:color="00B0F0"/>
            </w:tcBorders>
          </w:tcPr>
          <w:p w14:paraId="11A274BF" w14:textId="77777777" w:rsidR="00514256" w:rsidRPr="006B3495" w:rsidRDefault="00514256" w:rsidP="00C875C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8"/>
                <w:szCs w:val="28"/>
                <w:u w:val="single"/>
              </w:rPr>
            </w:pPr>
          </w:p>
        </w:tc>
        <w:tc>
          <w:tcPr>
            <w:tcW w:w="581" w:type="pct"/>
            <w:tcBorders>
              <w:top w:val="single" w:sz="4" w:space="0" w:color="00B0F0"/>
              <w:bottom w:val="single" w:sz="4" w:space="0" w:color="00B0F0"/>
            </w:tcBorders>
          </w:tcPr>
          <w:p w14:paraId="2065852D" w14:textId="77777777" w:rsidR="00514256" w:rsidRPr="006B3495" w:rsidRDefault="00514256" w:rsidP="00C875C1">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8"/>
                <w:szCs w:val="28"/>
                <w:u w:val="single"/>
              </w:rPr>
            </w:pPr>
          </w:p>
        </w:tc>
      </w:tr>
      <w:tr w:rsidR="004A617A" w:rsidRPr="006B3495" w14:paraId="4A1A169A" w14:textId="77777777" w:rsidTr="00C875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5" w:type="pct"/>
            <w:tcBorders>
              <w:top w:val="single" w:sz="4" w:space="0" w:color="00B0F0"/>
              <w:bottom w:val="single" w:sz="4" w:space="0" w:color="00B0F0"/>
            </w:tcBorders>
          </w:tcPr>
          <w:p w14:paraId="74AC0A82" w14:textId="77777777" w:rsidR="00514256" w:rsidRPr="006B3495" w:rsidRDefault="00514256" w:rsidP="00C875C1">
            <w:pPr>
              <w:autoSpaceDE w:val="0"/>
              <w:autoSpaceDN w:val="0"/>
              <w:adjustRightInd w:val="0"/>
              <w:spacing w:line="360" w:lineRule="auto"/>
              <w:rPr>
                <w:rFonts w:asciiTheme="majorBidi" w:eastAsia="Times New Roman" w:hAnsiTheme="majorBidi" w:cstheme="majorBidi"/>
                <w:b w:val="0"/>
                <w:bCs w:val="0"/>
                <w:sz w:val="24"/>
                <w:szCs w:val="24"/>
              </w:rPr>
            </w:pPr>
            <w:r w:rsidRPr="006B3495">
              <w:rPr>
                <w:rFonts w:asciiTheme="majorBidi" w:eastAsia="Times New Roman" w:hAnsiTheme="majorBidi" w:cstheme="majorBidi"/>
                <w:b w:val="0"/>
                <w:bCs w:val="0"/>
                <w:sz w:val="24"/>
                <w:szCs w:val="24"/>
              </w:rPr>
              <w:t>Another complication: ……………………….</w:t>
            </w:r>
          </w:p>
        </w:tc>
        <w:tc>
          <w:tcPr>
            <w:tcW w:w="614" w:type="pct"/>
            <w:tcBorders>
              <w:top w:val="single" w:sz="4" w:space="0" w:color="00B0F0"/>
              <w:bottom w:val="single" w:sz="4" w:space="0" w:color="00B0F0"/>
            </w:tcBorders>
          </w:tcPr>
          <w:p w14:paraId="071C0CA6" w14:textId="77777777" w:rsidR="00514256" w:rsidRPr="006B3495" w:rsidRDefault="00514256" w:rsidP="00C875C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8"/>
                <w:szCs w:val="28"/>
                <w:u w:val="single"/>
              </w:rPr>
            </w:pPr>
          </w:p>
        </w:tc>
        <w:tc>
          <w:tcPr>
            <w:tcW w:w="581" w:type="pct"/>
            <w:tcBorders>
              <w:top w:val="single" w:sz="4" w:space="0" w:color="00B0F0"/>
              <w:bottom w:val="single" w:sz="4" w:space="0" w:color="00B0F0"/>
            </w:tcBorders>
          </w:tcPr>
          <w:p w14:paraId="5A1DF3AD" w14:textId="77777777" w:rsidR="00514256" w:rsidRPr="006B3495" w:rsidRDefault="00514256" w:rsidP="00C875C1">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8"/>
                <w:szCs w:val="28"/>
                <w:u w:val="single"/>
              </w:rPr>
            </w:pPr>
          </w:p>
        </w:tc>
      </w:tr>
    </w:tbl>
    <w:p w14:paraId="5E407BEE" w14:textId="77777777" w:rsidR="00514256" w:rsidRPr="006B3495" w:rsidRDefault="00514256" w:rsidP="00514256">
      <w:pPr>
        <w:autoSpaceDE w:val="0"/>
        <w:autoSpaceDN w:val="0"/>
        <w:adjustRightInd w:val="0"/>
        <w:spacing w:after="0" w:line="360" w:lineRule="auto"/>
        <w:rPr>
          <w:rFonts w:asciiTheme="majorBidi" w:eastAsia="Times New Roman" w:hAnsiTheme="majorBidi" w:cstheme="majorBidi"/>
          <w:b/>
          <w:bCs/>
          <w:sz w:val="28"/>
          <w:szCs w:val="28"/>
          <w:u w:val="single"/>
        </w:rPr>
      </w:pPr>
    </w:p>
    <w:bookmarkEnd w:id="111"/>
    <w:p w14:paraId="53A60CF7" w14:textId="244C500D" w:rsidR="00A17100" w:rsidRDefault="00A17100">
      <w:r>
        <w:br w:type="page"/>
      </w:r>
    </w:p>
    <w:p w14:paraId="6AE26A63" w14:textId="77777777" w:rsidR="00A17100" w:rsidRPr="00A17100" w:rsidRDefault="00A17100" w:rsidP="00A17100">
      <w:pPr>
        <w:spacing w:after="0" w:line="360" w:lineRule="auto"/>
        <w:rPr>
          <w:rFonts w:ascii="Times New Roman" w:hAnsi="Times New Roman" w:cs="Times New Roman"/>
          <w:color w:val="FF0000"/>
          <w:sz w:val="24"/>
          <w:szCs w:val="24"/>
          <w:lang w:val="en-US"/>
        </w:rPr>
        <w:sectPr w:rsidR="00A17100" w:rsidRPr="00A17100" w:rsidSect="00A17100">
          <w:endnotePr>
            <w:numFmt w:val="decimal"/>
          </w:endnotePr>
          <w:pgSz w:w="11907" w:h="16839"/>
          <w:pgMar w:top="1418" w:right="1418" w:bottom="1418" w:left="1985" w:header="1361" w:footer="720" w:gutter="0"/>
          <w:cols w:space="720"/>
        </w:sectPr>
      </w:pPr>
    </w:p>
    <w:p w14:paraId="0B1839AD" w14:textId="77777777" w:rsidR="00A17100" w:rsidRPr="00A17100" w:rsidRDefault="00A17100" w:rsidP="00A17100">
      <w:pPr>
        <w:spacing w:after="0" w:line="240" w:lineRule="auto"/>
        <w:rPr>
          <w:rFonts w:ascii="Times New Roman" w:hAnsi="Times New Roman" w:cs="Times New Roman"/>
          <w:b/>
          <w:bCs/>
          <w:color w:val="FF0000"/>
          <w:sz w:val="24"/>
          <w:szCs w:val="24"/>
          <w:lang w:val="en-US"/>
        </w:rPr>
      </w:pPr>
    </w:p>
    <w:p w14:paraId="3B694FEE" w14:textId="77777777" w:rsidR="00A17100" w:rsidRPr="00A17100" w:rsidRDefault="00A17100" w:rsidP="00A17100">
      <w:pPr>
        <w:spacing w:after="0" w:line="480" w:lineRule="auto"/>
        <w:rPr>
          <w:rFonts w:ascii="Times New Roman" w:hAnsi="Times New Roman" w:cs="Times New Roman"/>
          <w:b/>
          <w:bCs/>
          <w:color w:val="FF0000"/>
          <w:sz w:val="24"/>
          <w:szCs w:val="24"/>
          <w:lang w:val="en-US"/>
        </w:rPr>
        <w:sectPr w:rsidR="00A17100" w:rsidRPr="00A17100" w:rsidSect="00A17100">
          <w:endnotePr>
            <w:numFmt w:val="decimal"/>
          </w:endnotePr>
          <w:pgSz w:w="11907" w:h="16839"/>
          <w:pgMar w:top="1418" w:right="1418" w:bottom="1418" w:left="1985" w:header="1361" w:footer="720" w:gutter="0"/>
          <w:pgNumType w:fmt="arabicAbjad" w:start="1"/>
          <w:cols w:space="720"/>
        </w:sectPr>
      </w:pPr>
    </w:p>
    <w:p w14:paraId="522C2C23" w14:textId="77777777" w:rsidR="00A17100" w:rsidRPr="00A17100" w:rsidRDefault="00A17100" w:rsidP="00A17100">
      <w:pPr>
        <w:tabs>
          <w:tab w:val="left" w:pos="7097"/>
        </w:tabs>
        <w:spacing w:line="480" w:lineRule="auto"/>
        <w:rPr>
          <w:rFonts w:ascii="Times New Roman" w:hAnsi="Times New Roman" w:cs="Times New Roman"/>
          <w:b/>
          <w:bCs/>
          <w:color w:val="FF0000"/>
          <w:sz w:val="24"/>
          <w:szCs w:val="24"/>
          <w:lang w:val="en-US"/>
        </w:rPr>
      </w:pPr>
    </w:p>
    <w:p w14:paraId="03A609EB" w14:textId="77777777" w:rsidR="00A17100" w:rsidRPr="00A17100" w:rsidRDefault="00A17100" w:rsidP="00A17100">
      <w:pPr>
        <w:spacing w:after="240" w:line="240" w:lineRule="auto"/>
        <w:jc w:val="center"/>
        <w:rPr>
          <w:rFonts w:ascii="Times New Roman" w:hAnsi="Times New Roman" w:cs="Simplified Arabic"/>
          <w:b/>
          <w:bCs/>
          <w:color w:val="FF0000"/>
          <w:sz w:val="32"/>
          <w:szCs w:val="32"/>
          <w:rtl/>
          <w:lang w:val="en-US"/>
        </w:rPr>
      </w:pPr>
    </w:p>
    <w:p w14:paraId="13D72FA0" w14:textId="77777777" w:rsidR="00A17100" w:rsidRPr="00A17100" w:rsidRDefault="00A17100" w:rsidP="00A17100">
      <w:pPr>
        <w:spacing w:after="240" w:line="240" w:lineRule="auto"/>
        <w:rPr>
          <w:rFonts w:ascii="Times New Roman" w:hAnsi="Times New Roman" w:cs="Simplified Arabic"/>
          <w:b/>
          <w:bCs/>
          <w:color w:val="FF0000"/>
          <w:sz w:val="32"/>
          <w:szCs w:val="32"/>
          <w:rtl/>
          <w:lang w:val="en-US"/>
        </w:rPr>
      </w:pPr>
    </w:p>
    <w:p w14:paraId="414AC9E4" w14:textId="77777777" w:rsidR="00A17100" w:rsidRPr="00A17100" w:rsidRDefault="00A17100" w:rsidP="00A17100">
      <w:pPr>
        <w:tabs>
          <w:tab w:val="left" w:pos="3285"/>
          <w:tab w:val="left" w:pos="7796"/>
          <w:tab w:val="left" w:pos="7938"/>
        </w:tabs>
        <w:spacing w:after="0" w:line="256" w:lineRule="auto"/>
        <w:rPr>
          <w:rFonts w:ascii="Times New Roman" w:hAnsi="Times New Roman" w:cs="Simplified Arabic"/>
          <w:b/>
          <w:bCs/>
          <w:sz w:val="28"/>
          <w:szCs w:val="28"/>
          <w:rtl/>
          <w:lang w:val="en-US"/>
        </w:rPr>
      </w:pPr>
    </w:p>
    <w:p w14:paraId="6D301594" w14:textId="77777777" w:rsidR="00A17100" w:rsidRPr="00A17100" w:rsidRDefault="00A17100" w:rsidP="00A17100">
      <w:pPr>
        <w:tabs>
          <w:tab w:val="left" w:pos="3285"/>
          <w:tab w:val="left" w:pos="7796"/>
          <w:tab w:val="left" w:pos="7938"/>
        </w:tabs>
        <w:spacing w:after="0" w:line="256" w:lineRule="auto"/>
        <w:ind w:left="-1"/>
        <w:jc w:val="center"/>
        <w:rPr>
          <w:rFonts w:ascii="Times New Roman" w:hAnsi="Times New Roman" w:cs="Simplified Arabic"/>
          <w:b/>
          <w:bCs/>
          <w:sz w:val="32"/>
          <w:szCs w:val="32"/>
          <w:lang w:val="en-US"/>
        </w:rPr>
      </w:pPr>
      <w:r w:rsidRPr="00A17100">
        <w:rPr>
          <w:noProof/>
          <w:lang w:val="en-US"/>
        </w:rPr>
        <w:drawing>
          <wp:anchor distT="0" distB="0" distL="114300" distR="114300" simplePos="0" relativeHeight="251666432" behindDoc="1" locked="0" layoutInCell="1" allowOverlap="1" wp14:anchorId="4F9499BD" wp14:editId="12DAC28D">
            <wp:simplePos x="0" y="0"/>
            <wp:positionH relativeFrom="margin">
              <wp:align>center</wp:align>
            </wp:positionH>
            <wp:positionV relativeFrom="margin">
              <wp:align>top</wp:align>
            </wp:positionV>
            <wp:extent cx="1548130" cy="1548130"/>
            <wp:effectExtent l="0" t="0" r="0" b="0"/>
            <wp:wrapSquare wrapText="bothSides"/>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8130" cy="1548130"/>
                    </a:xfrm>
                    <a:prstGeom prst="rect">
                      <a:avLst/>
                    </a:prstGeom>
                    <a:noFill/>
                  </pic:spPr>
                </pic:pic>
              </a:graphicData>
            </a:graphic>
            <wp14:sizeRelH relativeFrom="page">
              <wp14:pctWidth>0</wp14:pctWidth>
            </wp14:sizeRelH>
            <wp14:sizeRelV relativeFrom="page">
              <wp14:pctHeight>0</wp14:pctHeight>
            </wp14:sizeRelV>
          </wp:anchor>
        </w:drawing>
      </w:r>
      <w:r w:rsidRPr="00A17100">
        <w:rPr>
          <w:rFonts w:ascii="Times New Roman" w:hAnsi="Times New Roman" w:cs="Simplified Arabic"/>
          <w:b/>
          <w:bCs/>
          <w:sz w:val="32"/>
          <w:szCs w:val="32"/>
          <w:rtl/>
          <w:lang w:val="en-US"/>
        </w:rPr>
        <w:t>جــــامعــــــــة النجاح الوطنية</w:t>
      </w:r>
    </w:p>
    <w:p w14:paraId="68B8C23A" w14:textId="77777777" w:rsidR="00A17100" w:rsidRPr="00A17100" w:rsidRDefault="00A17100" w:rsidP="00A17100">
      <w:pPr>
        <w:tabs>
          <w:tab w:val="left" w:pos="1417"/>
        </w:tabs>
        <w:spacing w:after="0" w:line="256" w:lineRule="auto"/>
        <w:ind w:left="-1"/>
        <w:jc w:val="center"/>
        <w:rPr>
          <w:rFonts w:ascii="Times New Roman" w:hAnsi="Times New Roman" w:cs="Simplified Arabic"/>
          <w:b/>
          <w:bCs/>
          <w:sz w:val="32"/>
          <w:szCs w:val="32"/>
          <w:rtl/>
          <w:lang w:val="en-US"/>
        </w:rPr>
      </w:pPr>
      <w:r w:rsidRPr="00A17100">
        <w:rPr>
          <w:rFonts w:ascii="Times New Roman" w:hAnsi="Times New Roman" w:cs="Simplified Arabic"/>
          <w:b/>
          <w:bCs/>
          <w:sz w:val="32"/>
          <w:szCs w:val="32"/>
          <w:rtl/>
          <w:lang w:val="en-US"/>
        </w:rPr>
        <w:t>كليـــــة الدراســــــــات العليــــــا</w:t>
      </w:r>
    </w:p>
    <w:p w14:paraId="130027D4" w14:textId="77777777" w:rsidR="00A17100" w:rsidRPr="00A17100" w:rsidRDefault="00A17100" w:rsidP="00A17100">
      <w:pPr>
        <w:tabs>
          <w:tab w:val="left" w:pos="6824"/>
        </w:tabs>
        <w:spacing w:after="0" w:line="256" w:lineRule="auto"/>
        <w:ind w:left="-1"/>
        <w:jc w:val="both"/>
        <w:rPr>
          <w:rFonts w:ascii="Times New Roman" w:hAnsi="Times New Roman" w:cs="Simplified Arabic"/>
          <w:b/>
          <w:bCs/>
          <w:color w:val="FF0000"/>
          <w:sz w:val="28"/>
          <w:szCs w:val="28"/>
          <w:rtl/>
          <w:lang w:val="en-US"/>
        </w:rPr>
      </w:pPr>
      <w:r w:rsidRPr="00A17100">
        <w:rPr>
          <w:rFonts w:ascii="Times New Roman" w:hAnsi="Times New Roman" w:cs="Simplified Arabic"/>
          <w:b/>
          <w:bCs/>
          <w:color w:val="FF0000"/>
          <w:sz w:val="28"/>
          <w:szCs w:val="28"/>
          <w:rtl/>
          <w:lang w:val="en-US"/>
        </w:rPr>
        <w:tab/>
      </w:r>
    </w:p>
    <w:p w14:paraId="0804B40E" w14:textId="77777777" w:rsidR="00A17100" w:rsidRPr="00A17100" w:rsidRDefault="00A17100" w:rsidP="00A17100">
      <w:pPr>
        <w:bidi/>
        <w:spacing w:line="240" w:lineRule="auto"/>
        <w:ind w:left="-1"/>
        <w:jc w:val="center"/>
        <w:rPr>
          <w:rFonts w:ascii="Times New Roman" w:hAnsi="Times New Roman" w:cs="Simplified Arabic"/>
          <w:b/>
          <w:bCs/>
          <w:sz w:val="40"/>
          <w:szCs w:val="40"/>
          <w:rtl/>
          <w:lang w:val="en-US"/>
        </w:rPr>
      </w:pPr>
      <w:bookmarkStart w:id="113" w:name="_Hlk101148793"/>
      <w:r w:rsidRPr="00A17100">
        <w:rPr>
          <w:rFonts w:ascii="Times New Roman" w:hAnsi="Times New Roman" w:cs="Simplified Arabic"/>
          <w:b/>
          <w:bCs/>
          <w:sz w:val="40"/>
          <w:szCs w:val="40"/>
          <w:rtl/>
          <w:lang w:val="en-US"/>
        </w:rPr>
        <w:t>المقارنة بين الوصول الشعاعي مقابل الوصول الفخدي باستخدام جهاز اغلاق الاوعية الدموية لسهولة التشغيل ووقت الاجراء ومضاعفات الاوعية الدموية في المرضى الذين يخضعون للتدخل التاجي عن طريق الجلد – دراسة بأثر رجعي.</w:t>
      </w:r>
    </w:p>
    <w:bookmarkEnd w:id="113"/>
    <w:p w14:paraId="377C2DDD" w14:textId="77777777" w:rsidR="00A17100" w:rsidRPr="00A17100" w:rsidRDefault="00A17100" w:rsidP="00A17100">
      <w:pPr>
        <w:spacing w:line="240" w:lineRule="auto"/>
        <w:ind w:left="-1"/>
        <w:jc w:val="center"/>
        <w:rPr>
          <w:rFonts w:ascii="Times New Roman" w:hAnsi="Times New Roman" w:cs="Simplified Arabic"/>
          <w:b/>
          <w:bCs/>
          <w:sz w:val="40"/>
          <w:szCs w:val="40"/>
          <w:rtl/>
          <w:lang w:val="en-US"/>
        </w:rPr>
      </w:pPr>
    </w:p>
    <w:p w14:paraId="31F85AA4" w14:textId="77777777" w:rsidR="00A17100" w:rsidRPr="00A17100" w:rsidRDefault="00A17100" w:rsidP="00A17100">
      <w:pPr>
        <w:tabs>
          <w:tab w:val="left" w:pos="5595"/>
        </w:tabs>
        <w:bidi/>
        <w:spacing w:after="0" w:line="256" w:lineRule="auto"/>
        <w:ind w:left="-1"/>
        <w:jc w:val="center"/>
        <w:rPr>
          <w:rFonts w:ascii="Times New Roman" w:hAnsi="Times New Roman" w:cs="Simplified Arabic"/>
          <w:b/>
          <w:bCs/>
          <w:sz w:val="28"/>
          <w:szCs w:val="28"/>
          <w:lang w:val="en-US"/>
        </w:rPr>
      </w:pPr>
      <w:r w:rsidRPr="00A17100">
        <w:rPr>
          <w:rFonts w:ascii="Times New Roman" w:hAnsi="Times New Roman" w:cs="Simplified Arabic"/>
          <w:b/>
          <w:bCs/>
          <w:sz w:val="28"/>
          <w:szCs w:val="28"/>
          <w:rtl/>
          <w:lang w:val="en-US"/>
        </w:rPr>
        <w:t>إِعداد</w:t>
      </w:r>
    </w:p>
    <w:p w14:paraId="1FBA19E0" w14:textId="77777777" w:rsidR="00A17100" w:rsidRPr="00A17100" w:rsidRDefault="00A17100" w:rsidP="00A17100">
      <w:pPr>
        <w:bidi/>
        <w:spacing w:after="0" w:line="256" w:lineRule="auto"/>
        <w:jc w:val="center"/>
        <w:rPr>
          <w:rFonts w:ascii="Times New Roman" w:eastAsia="Simplified Arabic" w:hAnsi="Times New Roman" w:cs="Simplified Arabic"/>
          <w:bCs/>
          <w:sz w:val="28"/>
          <w:szCs w:val="28"/>
          <w:lang w:val="en-US"/>
        </w:rPr>
      </w:pPr>
      <w:bookmarkStart w:id="114" w:name="_Hlk127614013"/>
      <w:r w:rsidRPr="00A17100">
        <w:rPr>
          <w:rFonts w:ascii="Times New Roman" w:eastAsia="Simplified Arabic" w:hAnsi="Times New Roman" w:cs="Simplified Arabic"/>
          <w:bCs/>
          <w:sz w:val="28"/>
          <w:szCs w:val="28"/>
          <w:rtl/>
          <w:lang w:val="en-US"/>
        </w:rPr>
        <w:t xml:space="preserve">اية صبحي ياسين </w:t>
      </w:r>
    </w:p>
    <w:bookmarkEnd w:id="114"/>
    <w:p w14:paraId="417F671D" w14:textId="77777777" w:rsidR="00A17100" w:rsidRPr="00A17100" w:rsidRDefault="00A17100" w:rsidP="00A17100">
      <w:pPr>
        <w:bidi/>
        <w:spacing w:after="0" w:line="256" w:lineRule="auto"/>
        <w:jc w:val="center"/>
        <w:rPr>
          <w:rFonts w:ascii="Times New Roman" w:eastAsia="Simplified Arabic" w:hAnsi="Times New Roman" w:cs="Simplified Arabic"/>
          <w:bCs/>
          <w:sz w:val="28"/>
          <w:szCs w:val="28"/>
          <w:rtl/>
          <w:lang w:val="en-US"/>
        </w:rPr>
      </w:pPr>
    </w:p>
    <w:p w14:paraId="4FA39AFA" w14:textId="77777777" w:rsidR="00A17100" w:rsidRPr="00A17100" w:rsidRDefault="00A17100" w:rsidP="00A17100">
      <w:pPr>
        <w:tabs>
          <w:tab w:val="left" w:pos="5595"/>
        </w:tabs>
        <w:bidi/>
        <w:spacing w:after="0" w:line="276" w:lineRule="auto"/>
        <w:ind w:left="-1"/>
        <w:jc w:val="center"/>
        <w:rPr>
          <w:rFonts w:ascii="Times New Roman" w:hAnsi="Times New Roman" w:cs="Simplified Arabic"/>
          <w:b/>
          <w:bCs/>
          <w:sz w:val="28"/>
          <w:szCs w:val="28"/>
          <w:rtl/>
          <w:lang w:val="en-US"/>
        </w:rPr>
      </w:pPr>
      <w:r w:rsidRPr="00A17100">
        <w:rPr>
          <w:rFonts w:ascii="Times New Roman" w:hAnsi="Times New Roman" w:cs="Simplified Arabic"/>
          <w:b/>
          <w:bCs/>
          <w:sz w:val="28"/>
          <w:szCs w:val="28"/>
          <w:rtl/>
          <w:lang w:val="en-US"/>
        </w:rPr>
        <w:t>إشراف</w:t>
      </w:r>
    </w:p>
    <w:p w14:paraId="527D41AF" w14:textId="77777777" w:rsidR="00A17100" w:rsidRPr="00A17100" w:rsidRDefault="00A17100" w:rsidP="00A17100">
      <w:pPr>
        <w:tabs>
          <w:tab w:val="left" w:pos="5595"/>
        </w:tabs>
        <w:bidi/>
        <w:spacing w:after="0" w:line="256" w:lineRule="auto"/>
        <w:jc w:val="center"/>
        <w:rPr>
          <w:rFonts w:ascii="Times New Roman" w:hAnsi="Times New Roman" w:cs="Simplified Arabic"/>
          <w:b/>
          <w:bCs/>
          <w:sz w:val="28"/>
          <w:szCs w:val="28"/>
          <w:rtl/>
          <w:lang w:val="en-US"/>
        </w:rPr>
      </w:pPr>
      <w:r w:rsidRPr="00A17100">
        <w:rPr>
          <w:rFonts w:ascii="Times New Roman" w:hAnsi="Times New Roman" w:cs="Simplified Arabic"/>
          <w:b/>
          <w:bCs/>
          <w:sz w:val="28"/>
          <w:szCs w:val="28"/>
          <w:rtl/>
          <w:lang w:val="en-US"/>
        </w:rPr>
        <w:t>د فاطمة حرز الله</w:t>
      </w:r>
    </w:p>
    <w:p w14:paraId="2A4DC0C0" w14:textId="77777777" w:rsidR="00A17100" w:rsidRPr="00A17100" w:rsidRDefault="00A17100" w:rsidP="00A17100">
      <w:pPr>
        <w:tabs>
          <w:tab w:val="left" w:pos="5595"/>
        </w:tabs>
        <w:bidi/>
        <w:spacing w:after="0" w:line="276" w:lineRule="auto"/>
        <w:jc w:val="center"/>
        <w:rPr>
          <w:rFonts w:ascii="Times New Roman" w:hAnsi="Times New Roman" w:cs="Simplified Arabic"/>
          <w:b/>
          <w:bCs/>
          <w:color w:val="FF0000"/>
          <w:sz w:val="10"/>
          <w:szCs w:val="10"/>
          <w:rtl/>
          <w:lang w:val="en-US"/>
        </w:rPr>
      </w:pPr>
    </w:p>
    <w:p w14:paraId="03E847FE" w14:textId="77777777" w:rsidR="00A17100" w:rsidRPr="00A17100" w:rsidRDefault="00A17100" w:rsidP="00A17100">
      <w:pPr>
        <w:tabs>
          <w:tab w:val="left" w:pos="5595"/>
        </w:tabs>
        <w:bidi/>
        <w:spacing w:after="0" w:line="276" w:lineRule="auto"/>
        <w:jc w:val="center"/>
        <w:rPr>
          <w:rFonts w:ascii="Times New Roman" w:hAnsi="Times New Roman" w:cs="Simplified Arabic"/>
          <w:b/>
          <w:bCs/>
          <w:color w:val="FF0000"/>
          <w:sz w:val="28"/>
          <w:szCs w:val="28"/>
          <w:rtl/>
          <w:lang w:val="en-US"/>
        </w:rPr>
      </w:pPr>
    </w:p>
    <w:p w14:paraId="011E7E45" w14:textId="77777777" w:rsidR="00A17100" w:rsidRPr="00A17100" w:rsidRDefault="00A17100" w:rsidP="00A17100">
      <w:pPr>
        <w:tabs>
          <w:tab w:val="left" w:pos="5595"/>
        </w:tabs>
        <w:bidi/>
        <w:spacing w:after="0" w:line="276" w:lineRule="auto"/>
        <w:jc w:val="center"/>
        <w:rPr>
          <w:rFonts w:ascii="Times New Roman" w:hAnsi="Times New Roman" w:cs="Simplified Arabic"/>
          <w:b/>
          <w:bCs/>
          <w:color w:val="FF0000"/>
          <w:sz w:val="28"/>
          <w:szCs w:val="28"/>
          <w:lang w:val="en-US"/>
        </w:rPr>
      </w:pPr>
    </w:p>
    <w:p w14:paraId="09DEC9E1" w14:textId="77777777" w:rsidR="00A17100" w:rsidRPr="00A17100" w:rsidRDefault="00A17100" w:rsidP="00A17100">
      <w:pPr>
        <w:bidi/>
        <w:spacing w:line="256" w:lineRule="auto"/>
        <w:jc w:val="center"/>
        <w:rPr>
          <w:rFonts w:ascii="Simplified Arabic" w:hAnsi="Simplified Arabic" w:cs="Simplified Arabic"/>
          <w:b/>
          <w:bCs/>
          <w:sz w:val="24"/>
          <w:szCs w:val="24"/>
          <w:lang w:val="en-US"/>
        </w:rPr>
      </w:pPr>
      <w:bookmarkStart w:id="115" w:name="_Toc90472917"/>
      <w:r w:rsidRPr="00A17100">
        <w:rPr>
          <w:rFonts w:ascii="Simplified Arabic" w:hAnsi="Simplified Arabic" w:cs="Simplified Arabic"/>
          <w:b/>
          <w:bCs/>
          <w:sz w:val="24"/>
          <w:szCs w:val="24"/>
          <w:rtl/>
          <w:lang w:val="en-US"/>
        </w:rPr>
        <w:t>قدمت هذه الأطروحة استكمالا لمتطلبات الحصول على درجه الماجستير في تمريض العناية المكثفة، من كلية الدراسات العليا، في جامعة النجاح الوطنية، نابلس- فلسطين.</w:t>
      </w:r>
      <w:bookmarkEnd w:id="115"/>
    </w:p>
    <w:p w14:paraId="42F361AE" w14:textId="561F0428" w:rsidR="00A17100" w:rsidRPr="00A17100" w:rsidRDefault="00A17100" w:rsidP="00A17100">
      <w:pPr>
        <w:bidi/>
        <w:spacing w:after="0" w:line="256" w:lineRule="auto"/>
        <w:ind w:left="-1"/>
        <w:jc w:val="center"/>
        <w:rPr>
          <w:rFonts w:ascii="Times New Roman" w:hAnsi="Times New Roman" w:cs="Simplified Arabic"/>
          <w:b/>
          <w:bCs/>
          <w:sz w:val="28"/>
          <w:szCs w:val="28"/>
          <w:rtl/>
          <w:lang w:val="en-US"/>
        </w:rPr>
      </w:pPr>
      <w:r w:rsidRPr="00A17100">
        <w:rPr>
          <w:rFonts w:ascii="Times New Roman" w:hAnsi="Times New Roman" w:cs="Simplified Arabic"/>
          <w:b/>
          <w:bCs/>
          <w:sz w:val="28"/>
          <w:szCs w:val="28"/>
          <w:rtl/>
          <w:lang w:val="en-US"/>
        </w:rPr>
        <w:t>202</w:t>
      </w:r>
      <w:r>
        <w:rPr>
          <w:rFonts w:ascii="Times New Roman" w:hAnsi="Times New Roman" w:cs="Simplified Arabic" w:hint="cs"/>
          <w:b/>
          <w:bCs/>
          <w:sz w:val="28"/>
          <w:szCs w:val="28"/>
          <w:rtl/>
          <w:lang w:val="en-US"/>
        </w:rPr>
        <w:t>5</w:t>
      </w:r>
      <w:r w:rsidRPr="00A17100">
        <w:rPr>
          <w:rFonts w:ascii="Times New Roman" w:hAnsi="Times New Roman" w:cs="Simplified Arabic"/>
          <w:b/>
          <w:bCs/>
          <w:sz w:val="28"/>
          <w:szCs w:val="28"/>
          <w:rtl/>
          <w:lang w:val="en-US"/>
        </w:rPr>
        <w:t xml:space="preserve"> </w:t>
      </w:r>
    </w:p>
    <w:p w14:paraId="0DF7243F" w14:textId="77777777" w:rsidR="00A17100" w:rsidRPr="00A17100" w:rsidRDefault="00A17100" w:rsidP="00A17100">
      <w:pPr>
        <w:spacing w:after="200" w:line="276" w:lineRule="auto"/>
        <w:rPr>
          <w:rFonts w:ascii="Times New Roman" w:hAnsi="Times New Roman" w:cs="Simplified Arabic"/>
          <w:b/>
          <w:bCs/>
          <w:color w:val="FF0000"/>
          <w:sz w:val="32"/>
          <w:szCs w:val="32"/>
          <w:rtl/>
          <w:lang w:val="en-US"/>
        </w:rPr>
      </w:pPr>
      <w:r w:rsidRPr="00A17100">
        <w:rPr>
          <w:rFonts w:ascii="Times New Roman" w:hAnsi="Times New Roman" w:cs="Simplified Arabic"/>
          <w:b/>
          <w:bCs/>
          <w:color w:val="FF0000"/>
          <w:sz w:val="32"/>
          <w:szCs w:val="32"/>
          <w:rtl/>
          <w:lang w:val="en-US"/>
        </w:rPr>
        <w:br w:type="page"/>
      </w:r>
    </w:p>
    <w:p w14:paraId="5D364061" w14:textId="77777777" w:rsidR="00A17100" w:rsidRPr="00A17100" w:rsidRDefault="00A17100" w:rsidP="00A17100">
      <w:pPr>
        <w:bidi/>
        <w:spacing w:after="240" w:line="240" w:lineRule="auto"/>
        <w:jc w:val="center"/>
        <w:rPr>
          <w:rFonts w:ascii="Times New Roman" w:hAnsi="Times New Roman" w:cs="Simplified Arabic"/>
          <w:b/>
          <w:bCs/>
          <w:color w:val="FF0000"/>
          <w:sz w:val="32"/>
          <w:szCs w:val="32"/>
          <w:rtl/>
          <w:lang w:val="en-US"/>
        </w:rPr>
      </w:pPr>
      <w:r w:rsidRPr="00A17100">
        <w:rPr>
          <w:rFonts w:ascii="Times New Roman" w:hAnsi="Times New Roman" w:cs="Simplified Arabic"/>
          <w:b/>
          <w:bCs/>
          <w:sz w:val="32"/>
          <w:szCs w:val="32"/>
          <w:rtl/>
          <w:lang w:val="en-US"/>
        </w:rPr>
        <w:lastRenderedPageBreak/>
        <w:t>المقارنة بين الوصول الشعاعي مقابل الوصول الفخدي باستخدام جهاز اغلاق الاوعية الدموية لسهولة التشغيل ووقت الاجراء ومضاعفات الاوعية الدموية في المرضى الذين يخضعون للتدخل التاجي عن طريق الجلد – دراسة بأثر رجعي</w:t>
      </w:r>
      <w:r w:rsidRPr="00A17100">
        <w:rPr>
          <w:rFonts w:ascii="Times New Roman" w:hAnsi="Times New Roman" w:cs="Simplified Arabic"/>
          <w:b/>
          <w:bCs/>
          <w:color w:val="FF0000"/>
          <w:sz w:val="32"/>
          <w:szCs w:val="32"/>
          <w:rtl/>
          <w:lang w:val="en-US"/>
        </w:rPr>
        <w:t>.</w:t>
      </w:r>
    </w:p>
    <w:p w14:paraId="0550AB9F" w14:textId="77777777" w:rsidR="00A17100" w:rsidRPr="00A17100" w:rsidRDefault="00A17100" w:rsidP="00A17100">
      <w:pPr>
        <w:bidi/>
        <w:spacing w:after="0" w:line="240" w:lineRule="auto"/>
        <w:jc w:val="center"/>
        <w:rPr>
          <w:rFonts w:ascii="Times New Roman" w:hAnsi="Times New Roman" w:cs="Simplified Arabic"/>
          <w:b/>
          <w:bCs/>
          <w:sz w:val="28"/>
          <w:szCs w:val="28"/>
          <w:rtl/>
          <w:lang w:val="en-US"/>
        </w:rPr>
      </w:pPr>
      <w:r w:rsidRPr="00A17100">
        <w:rPr>
          <w:rFonts w:ascii="Times New Roman" w:hAnsi="Times New Roman" w:cs="Simplified Arabic"/>
          <w:b/>
          <w:bCs/>
          <w:sz w:val="28"/>
          <w:szCs w:val="28"/>
          <w:rtl/>
          <w:lang w:val="en-US"/>
        </w:rPr>
        <w:t>اعداد</w:t>
      </w:r>
    </w:p>
    <w:p w14:paraId="02D4B933" w14:textId="77777777" w:rsidR="00A17100" w:rsidRPr="00A17100" w:rsidRDefault="00A17100" w:rsidP="00A17100">
      <w:pPr>
        <w:bidi/>
        <w:spacing w:after="0" w:line="240" w:lineRule="auto"/>
        <w:jc w:val="center"/>
        <w:rPr>
          <w:rFonts w:ascii="Times New Roman" w:eastAsia="Simplified Arabic" w:hAnsi="Times New Roman" w:cs="Simplified Arabic"/>
          <w:bCs/>
          <w:sz w:val="28"/>
          <w:szCs w:val="28"/>
          <w:rtl/>
          <w:lang w:val="en-US"/>
        </w:rPr>
      </w:pPr>
      <w:r w:rsidRPr="00A17100">
        <w:rPr>
          <w:rFonts w:ascii="Times New Roman" w:eastAsia="Simplified Arabic" w:hAnsi="Times New Roman" w:cs="Simplified Arabic"/>
          <w:bCs/>
          <w:sz w:val="28"/>
          <w:szCs w:val="28"/>
          <w:rtl/>
          <w:lang w:val="en-US"/>
        </w:rPr>
        <w:t>اية صبحي ياسين</w:t>
      </w:r>
    </w:p>
    <w:p w14:paraId="35D1831D" w14:textId="77777777" w:rsidR="00A17100" w:rsidRPr="00A17100" w:rsidRDefault="00A17100" w:rsidP="00A17100">
      <w:pPr>
        <w:bidi/>
        <w:spacing w:after="0" w:line="240" w:lineRule="auto"/>
        <w:jc w:val="center"/>
        <w:rPr>
          <w:rFonts w:ascii="Times New Roman" w:hAnsi="Times New Roman" w:cs="Simplified Arabic"/>
          <w:b/>
          <w:bCs/>
          <w:sz w:val="28"/>
          <w:szCs w:val="28"/>
          <w:rtl/>
          <w:lang w:val="en-US"/>
        </w:rPr>
      </w:pPr>
      <w:r w:rsidRPr="00A17100">
        <w:rPr>
          <w:rFonts w:ascii="Times New Roman" w:hAnsi="Times New Roman" w:cs="Simplified Arabic"/>
          <w:b/>
          <w:bCs/>
          <w:sz w:val="28"/>
          <w:szCs w:val="28"/>
          <w:rtl/>
          <w:lang w:val="en-US"/>
        </w:rPr>
        <w:t xml:space="preserve">إشراف   </w:t>
      </w:r>
    </w:p>
    <w:p w14:paraId="419FC21C" w14:textId="77777777" w:rsidR="00A17100" w:rsidRPr="00A17100" w:rsidRDefault="00A17100" w:rsidP="00D15C83">
      <w:pPr>
        <w:bidi/>
        <w:spacing w:after="0" w:line="360" w:lineRule="auto"/>
        <w:jc w:val="center"/>
        <w:rPr>
          <w:rFonts w:ascii="Times New Roman" w:hAnsi="Times New Roman" w:cs="Simplified Arabic"/>
          <w:b/>
          <w:bCs/>
          <w:sz w:val="28"/>
          <w:szCs w:val="28"/>
          <w:rtl/>
          <w:lang w:val="en-US"/>
        </w:rPr>
      </w:pPr>
      <w:bookmarkStart w:id="116" w:name="_Hlk101190049"/>
      <w:r w:rsidRPr="00A17100">
        <w:rPr>
          <w:rFonts w:ascii="Times New Roman" w:hAnsi="Times New Roman" w:cs="Simplified Arabic"/>
          <w:b/>
          <w:bCs/>
          <w:sz w:val="28"/>
          <w:szCs w:val="28"/>
          <w:rtl/>
          <w:lang w:val="en-US"/>
        </w:rPr>
        <w:t>د فاطمة حرز الله</w:t>
      </w:r>
    </w:p>
    <w:p w14:paraId="2D59E227" w14:textId="77777777" w:rsidR="00A17100" w:rsidRPr="00A17100" w:rsidRDefault="00A17100" w:rsidP="00D15C83">
      <w:pPr>
        <w:keepNext/>
        <w:keepLines/>
        <w:bidi/>
        <w:spacing w:after="0" w:line="360" w:lineRule="auto"/>
        <w:jc w:val="center"/>
        <w:outlineLvl w:val="0"/>
        <w:rPr>
          <w:rFonts w:ascii="Simplified Arabic" w:eastAsia="Times New Roman" w:hAnsi="Simplified Arabic" w:cs="Simplified Arabic"/>
          <w:b/>
          <w:bCs/>
          <w:w w:val="110"/>
          <w:kern w:val="2"/>
          <w:sz w:val="32"/>
          <w:szCs w:val="32"/>
          <w:lang w:val="en-US"/>
          <w14:ligatures w14:val="standardContextual"/>
        </w:rPr>
      </w:pPr>
      <w:bookmarkStart w:id="117" w:name="_Toc170299111"/>
      <w:bookmarkStart w:id="118" w:name="_Toc212871544"/>
      <w:bookmarkEnd w:id="116"/>
      <w:r w:rsidRPr="00A17100">
        <w:rPr>
          <w:rFonts w:ascii="Simplified Arabic" w:eastAsia="Times New Roman" w:hAnsi="Simplified Arabic" w:cs="Simplified Arabic" w:hint="cs"/>
          <w:b/>
          <w:bCs/>
          <w:w w:val="110"/>
          <w:kern w:val="2"/>
          <w:sz w:val="32"/>
          <w:szCs w:val="32"/>
          <w:rtl/>
          <w:lang w:val="en-US"/>
          <w14:ligatures w14:val="standardContextual"/>
        </w:rPr>
        <w:t>الملخص</w:t>
      </w:r>
      <w:bookmarkEnd w:id="117"/>
      <w:bookmarkEnd w:id="118"/>
    </w:p>
    <w:p w14:paraId="6DE76817" w14:textId="69A3B330" w:rsidR="001659D7" w:rsidRPr="001659D7" w:rsidRDefault="001659D7" w:rsidP="00D15C83">
      <w:pPr>
        <w:pStyle w:val="NormalWeb"/>
        <w:bidi/>
        <w:spacing w:before="0" w:beforeAutospacing="0" w:after="0" w:afterAutospacing="0" w:line="360" w:lineRule="auto"/>
        <w:jc w:val="both"/>
      </w:pPr>
      <w:r w:rsidRPr="001659D7">
        <w:rPr>
          <w:rStyle w:val="Strong"/>
          <w:rtl/>
        </w:rPr>
        <w:t>الخلفية</w:t>
      </w:r>
      <w:r w:rsidRPr="001659D7">
        <w:rPr>
          <w:rStyle w:val="Strong"/>
        </w:rPr>
        <w:t>:</w:t>
      </w:r>
      <w:r>
        <w:rPr>
          <w:rStyle w:val="Strong"/>
          <w:rFonts w:hint="cs"/>
          <w:rtl/>
        </w:rPr>
        <w:t xml:space="preserve"> </w:t>
      </w:r>
      <w:r w:rsidRPr="001659D7">
        <w:rPr>
          <w:rtl/>
        </w:rPr>
        <w:t xml:space="preserve">يُعد الوصول الشرياني أحد المواقع الرئيسية للمضاعفات النزفية بعد التدخلات التاجية الغازية. ويُعتبر </w:t>
      </w:r>
      <w:r w:rsidR="00D15C83">
        <w:rPr>
          <w:rtl/>
        </w:rPr>
        <w:t>الوصول</w:t>
      </w:r>
      <w:r w:rsidRPr="001659D7">
        <w:rPr>
          <w:rtl/>
        </w:rPr>
        <w:t xml:space="preserve"> عبر الشريان </w:t>
      </w:r>
      <w:r w:rsidR="00D15C83" w:rsidRPr="00D15C83">
        <w:rPr>
          <w:rtl/>
        </w:rPr>
        <w:t>الشعاعي</w:t>
      </w:r>
      <w:r w:rsidR="00D15C83">
        <w:t xml:space="preserve"> </w:t>
      </w:r>
      <w:r w:rsidRPr="001659D7">
        <w:rPr>
          <w:rtl/>
        </w:rPr>
        <w:t>استراتيجية معترف بها لتقليل المضاعفات الوعائية. كما أن أجهزة إغلاق الأوعية الدموية</w:t>
      </w:r>
      <w:r w:rsidRPr="001659D7">
        <w:t xml:space="preserve"> (VCD) </w:t>
      </w:r>
      <w:r w:rsidRPr="001659D7">
        <w:rPr>
          <w:rtl/>
        </w:rPr>
        <w:t>تعمل على تعزيز راحة المريض وتسريع الإرقاء وتقليل الحاجة إلى الراحة في الفراش. ومع ذلك، فإن نقص البيانات المتسقة التي تُظهر سلامتها يحدّ من اعتمادها الروتيني كوسيلة لتجنّب المضاعفات الوعائية</w:t>
      </w:r>
      <w:r w:rsidRPr="001659D7">
        <w:t>.</w:t>
      </w:r>
    </w:p>
    <w:p w14:paraId="619129C6" w14:textId="2C09448C" w:rsidR="001659D7" w:rsidRPr="001659D7" w:rsidRDefault="001659D7" w:rsidP="00D15C83">
      <w:pPr>
        <w:pStyle w:val="NormalWeb"/>
        <w:bidi/>
        <w:spacing w:before="0" w:beforeAutospacing="0" w:after="0" w:afterAutospacing="0" w:line="360" w:lineRule="auto"/>
        <w:jc w:val="both"/>
      </w:pPr>
      <w:r w:rsidRPr="001659D7">
        <w:rPr>
          <w:rStyle w:val="Strong"/>
          <w:rtl/>
        </w:rPr>
        <w:t>الهدف</w:t>
      </w:r>
      <w:r w:rsidRPr="001659D7">
        <w:rPr>
          <w:rStyle w:val="Strong"/>
        </w:rPr>
        <w:t>:</w:t>
      </w:r>
      <w:r>
        <w:rPr>
          <w:rStyle w:val="Strong"/>
          <w:rFonts w:hint="cs"/>
          <w:rtl/>
        </w:rPr>
        <w:t xml:space="preserve"> </w:t>
      </w:r>
      <w:r w:rsidRPr="001659D7">
        <w:rPr>
          <w:rtl/>
        </w:rPr>
        <w:t xml:space="preserve">هدفت الدراسة إلى </w:t>
      </w:r>
      <w:r w:rsidR="00D15C83" w:rsidRPr="00D15C83">
        <w:rPr>
          <w:rtl/>
        </w:rPr>
        <w:t xml:space="preserve">بين الوصول الشعاعي </w:t>
      </w:r>
      <w:r w:rsidR="00D15C83">
        <w:t xml:space="preserve"> </w:t>
      </w:r>
      <w:r w:rsidR="00D15C83" w:rsidRPr="001659D7">
        <w:t xml:space="preserve">(TRA) </w:t>
      </w:r>
      <w:r w:rsidR="00D15C83" w:rsidRPr="00D15C83">
        <w:rPr>
          <w:rtl/>
        </w:rPr>
        <w:t xml:space="preserve">مقابل الوصول الفخدي </w:t>
      </w:r>
      <w:r w:rsidR="00D15C83" w:rsidRPr="001659D7">
        <w:t>(TFA)</w:t>
      </w:r>
      <w:r w:rsidR="00D15C83">
        <w:rPr>
          <w:rFonts w:hint="cs"/>
          <w:rtl/>
        </w:rPr>
        <w:t xml:space="preserve"> </w:t>
      </w:r>
      <w:r w:rsidR="00D15C83" w:rsidRPr="00D15C83">
        <w:rPr>
          <w:rtl/>
        </w:rPr>
        <w:t>باستخدام جهاز اغلاق الاوعية الدموية</w:t>
      </w:r>
      <w:r w:rsidR="00D15C83" w:rsidRPr="001659D7">
        <w:t xml:space="preserve">(VCD) </w:t>
      </w:r>
      <w:r w:rsidR="00D15C83" w:rsidRPr="00D15C83">
        <w:rPr>
          <w:rtl/>
        </w:rPr>
        <w:t xml:space="preserve"> لسهولة التشغيل ووقت الاجراء ومضاعفات الاوعية الدموية في المرضى الذين يخضعون للتدخل التاجي عن طريق الجلد </w:t>
      </w:r>
      <w:r w:rsidR="00D15C83" w:rsidRPr="001659D7">
        <w:rPr>
          <w:rtl/>
        </w:rPr>
        <w:t>الجلد</w:t>
      </w:r>
      <w:r w:rsidR="00D15C83" w:rsidRPr="001659D7">
        <w:t xml:space="preserve"> (PCI)</w:t>
      </w:r>
      <w:r w:rsidRPr="001659D7">
        <w:t xml:space="preserve"> </w:t>
      </w:r>
      <w:r w:rsidRPr="001659D7">
        <w:rPr>
          <w:rtl/>
        </w:rPr>
        <w:t>من حيث سهولة الإجراء، ومدة العملية، والمضاعفات الوعائية، ووقت الحركة بعد العملية، وطول مدة الإقامة في المستشفى لدى المرضى الفلسطينيين الذين خضعوا لتداخلات الشريان التاجي عبر</w:t>
      </w:r>
      <w:r w:rsidRPr="001659D7">
        <w:t>.</w:t>
      </w:r>
    </w:p>
    <w:p w14:paraId="18FC6EAB" w14:textId="4D105988" w:rsidR="001659D7" w:rsidRPr="001659D7" w:rsidRDefault="004E3C0C" w:rsidP="00D15C83">
      <w:pPr>
        <w:pStyle w:val="NormalWeb"/>
        <w:bidi/>
        <w:spacing w:before="0" w:beforeAutospacing="0" w:after="0" w:afterAutospacing="0" w:line="360" w:lineRule="auto"/>
        <w:jc w:val="both"/>
      </w:pPr>
      <w:r w:rsidRPr="004E3C0C">
        <w:rPr>
          <w:rStyle w:val="Strong"/>
          <w:rtl/>
        </w:rPr>
        <w:t>المنهجية</w:t>
      </w:r>
      <w:r w:rsidR="001659D7" w:rsidRPr="001659D7">
        <w:rPr>
          <w:rStyle w:val="Strong"/>
        </w:rPr>
        <w:t>:</w:t>
      </w:r>
      <w:r>
        <w:rPr>
          <w:rStyle w:val="Strong"/>
          <w:rFonts w:hint="cs"/>
          <w:rtl/>
        </w:rPr>
        <w:t xml:space="preserve"> </w:t>
      </w:r>
      <w:r w:rsidR="001659D7" w:rsidRPr="001659D7">
        <w:rPr>
          <w:rtl/>
        </w:rPr>
        <w:t>اُستخدم تصميم دراسة كمية استعادية. شملت الدراسة جميع المرضى الذين أُدخلوا إلى وحدة القسطرة في مستشفى النجاح الوطني الجامعي</w:t>
      </w:r>
      <w:r w:rsidR="001659D7" w:rsidRPr="001659D7">
        <w:t xml:space="preserve"> (NNUH) </w:t>
      </w:r>
      <w:r w:rsidR="001659D7" w:rsidRPr="001659D7">
        <w:rPr>
          <w:rtl/>
        </w:rPr>
        <w:t>لإجراء تداخل تاجي عبر الجلد. تكونت العينة من 200 مريض خضعوا لإجراء</w:t>
      </w:r>
      <w:r w:rsidR="001659D7" w:rsidRPr="001659D7">
        <w:t xml:space="preserve"> PCI </w:t>
      </w:r>
      <w:r w:rsidR="001659D7" w:rsidRPr="001659D7">
        <w:rPr>
          <w:rtl/>
        </w:rPr>
        <w:t xml:space="preserve">باستخدام </w:t>
      </w:r>
      <w:r w:rsidR="00D15C83">
        <w:rPr>
          <w:rtl/>
        </w:rPr>
        <w:t>الوصول</w:t>
      </w:r>
      <w:r w:rsidR="001659D7" w:rsidRPr="001659D7">
        <w:rPr>
          <w:rtl/>
        </w:rPr>
        <w:t xml:space="preserve"> </w:t>
      </w:r>
      <w:r w:rsidR="00D15C83" w:rsidRPr="00D15C83">
        <w:rPr>
          <w:rtl/>
        </w:rPr>
        <w:t>الشعاعي</w:t>
      </w:r>
      <w:r w:rsidR="001659D7" w:rsidRPr="001659D7">
        <w:t xml:space="preserve"> (TRA) </w:t>
      </w:r>
      <w:r w:rsidR="001659D7" w:rsidRPr="001659D7">
        <w:rPr>
          <w:rtl/>
        </w:rPr>
        <w:t xml:space="preserve">أو </w:t>
      </w:r>
      <w:r w:rsidR="00D15C83">
        <w:rPr>
          <w:rtl/>
        </w:rPr>
        <w:t>الوصول</w:t>
      </w:r>
      <w:r w:rsidR="001659D7" w:rsidRPr="001659D7">
        <w:rPr>
          <w:rtl/>
        </w:rPr>
        <w:t xml:space="preserve"> الفخذي</w:t>
      </w:r>
      <w:r w:rsidR="001659D7" w:rsidRPr="001659D7">
        <w:t xml:space="preserve"> (TFA) </w:t>
      </w:r>
      <w:r w:rsidR="001659D7" w:rsidRPr="001659D7">
        <w:rPr>
          <w:rtl/>
        </w:rPr>
        <w:t>مع استخدام جهاز إغلاق الأوعية الدموية</w:t>
      </w:r>
      <w:r w:rsidR="001659D7" w:rsidRPr="001659D7">
        <w:t xml:space="preserve"> (VCD).</w:t>
      </w:r>
    </w:p>
    <w:p w14:paraId="5566B500" w14:textId="2269D11D" w:rsidR="001659D7" w:rsidRDefault="001659D7" w:rsidP="00D15C83">
      <w:pPr>
        <w:pStyle w:val="NormalWeb"/>
        <w:bidi/>
        <w:spacing w:before="0" w:beforeAutospacing="0" w:after="0" w:afterAutospacing="0" w:line="360" w:lineRule="auto"/>
        <w:jc w:val="both"/>
        <w:rPr>
          <w:rStyle w:val="Strong"/>
          <w:rtl/>
        </w:rPr>
      </w:pPr>
      <w:r w:rsidRPr="001659D7">
        <w:rPr>
          <w:rStyle w:val="Strong"/>
          <w:rtl/>
        </w:rPr>
        <w:t>النتائج</w:t>
      </w:r>
      <w:r>
        <w:rPr>
          <w:rStyle w:val="Strong"/>
          <w:rFonts w:hint="cs"/>
          <w:rtl/>
        </w:rPr>
        <w:t xml:space="preserve">: </w:t>
      </w:r>
      <w:r>
        <w:rPr>
          <w:rtl/>
        </w:rPr>
        <w:t xml:space="preserve">أظهرت النتائج فروقًا إحصائية ذات دلالة عالية في معدل المضاعفات لدى مجموعة </w:t>
      </w:r>
      <w:r w:rsidR="00D15C83">
        <w:rPr>
          <w:rtl/>
        </w:rPr>
        <w:t>الوصول</w:t>
      </w:r>
      <w:r>
        <w:rPr>
          <w:rtl/>
        </w:rPr>
        <w:t xml:space="preserve"> الفخذي مع جهاز الإغلاق مقارنةً بمجموعة </w:t>
      </w:r>
      <w:r w:rsidR="00D15C83">
        <w:rPr>
          <w:rtl/>
        </w:rPr>
        <w:t>الوصول</w:t>
      </w:r>
      <w:r>
        <w:rPr>
          <w:rtl/>
        </w:rPr>
        <w:t xml:space="preserve"> </w:t>
      </w:r>
      <w:r w:rsidR="00D15C83" w:rsidRPr="00D15C83">
        <w:rPr>
          <w:rtl/>
        </w:rPr>
        <w:t>الشعاعي</w:t>
      </w:r>
      <w:r>
        <w:rPr>
          <w:rtl/>
        </w:rPr>
        <w:t>، وذلك في</w:t>
      </w:r>
      <w:r>
        <w:t xml:space="preserve">: </w:t>
      </w:r>
      <w:r>
        <w:rPr>
          <w:rtl/>
        </w:rPr>
        <w:t>الخدر</w:t>
      </w:r>
      <w:r>
        <w:t xml:space="preserve"> 37.5% </w:t>
      </w:r>
      <w:r>
        <w:rPr>
          <w:rtl/>
        </w:rPr>
        <w:t xml:space="preserve">مقابل </w:t>
      </w:r>
      <w:r w:rsidR="004E3C0C">
        <w:t>24.2</w:t>
      </w:r>
      <w:r>
        <w:t>%</w:t>
      </w:r>
      <w:r>
        <w:rPr>
          <w:rtl/>
        </w:rPr>
        <w:t xml:space="preserve">، </w:t>
      </w:r>
      <w:r>
        <w:t>P=0.025</w:t>
      </w:r>
      <w:r>
        <w:rPr>
          <w:rtl/>
        </w:rPr>
        <w:t>، الألم الموضعي</w:t>
      </w:r>
      <w:r>
        <w:t xml:space="preserve"> 15.8% </w:t>
      </w:r>
      <w:r>
        <w:rPr>
          <w:rtl/>
        </w:rPr>
        <w:t xml:space="preserve">مقابل </w:t>
      </w:r>
      <w:r w:rsidR="004E3C0C">
        <w:t>5</w:t>
      </w:r>
      <w:r>
        <w:t>%</w:t>
      </w:r>
      <w:r>
        <w:rPr>
          <w:rtl/>
        </w:rPr>
        <w:t xml:space="preserve">، </w:t>
      </w:r>
      <w:r>
        <w:t>P=0.006)</w:t>
      </w:r>
      <w:r>
        <w:rPr>
          <w:rtl/>
        </w:rPr>
        <w:t>، انسداد الشريان</w:t>
      </w:r>
      <w:r>
        <w:t xml:space="preserve">16.7% </w:t>
      </w:r>
      <w:r>
        <w:rPr>
          <w:rtl/>
        </w:rPr>
        <w:t xml:space="preserve">مقابل </w:t>
      </w:r>
      <w:r w:rsidR="004E3C0C">
        <w:t>5.8</w:t>
      </w:r>
      <w:r>
        <w:t>%</w:t>
      </w:r>
      <w:r>
        <w:rPr>
          <w:rtl/>
        </w:rPr>
        <w:t xml:space="preserve">، </w:t>
      </w:r>
      <w:r>
        <w:t>P=0.008</w:t>
      </w:r>
      <w:r>
        <w:rPr>
          <w:rtl/>
        </w:rPr>
        <w:t>، النزيف</w:t>
      </w:r>
      <w:r>
        <w:t xml:space="preserve"> 10.8% </w:t>
      </w:r>
      <w:r>
        <w:rPr>
          <w:rtl/>
        </w:rPr>
        <w:t xml:space="preserve">مقابل </w:t>
      </w:r>
      <w:r w:rsidR="004E3C0C">
        <w:t>6.7</w:t>
      </w:r>
      <w:r>
        <w:t>%</w:t>
      </w:r>
      <w:r>
        <w:rPr>
          <w:rtl/>
        </w:rPr>
        <w:t xml:space="preserve">، </w:t>
      </w:r>
      <w:r>
        <w:t>P=0.253</w:t>
      </w:r>
      <w:r>
        <w:rPr>
          <w:rtl/>
        </w:rPr>
        <w:t>، الناسور الشرياني الوريدي</w:t>
      </w:r>
      <w:r>
        <w:t xml:space="preserve"> 10.8% </w:t>
      </w:r>
      <w:r>
        <w:rPr>
          <w:rtl/>
        </w:rPr>
        <w:t xml:space="preserve">مقابل </w:t>
      </w:r>
      <w:r w:rsidR="004E3C0C">
        <w:t>0.8</w:t>
      </w:r>
      <w:r>
        <w:t>%</w:t>
      </w:r>
      <w:r>
        <w:rPr>
          <w:rtl/>
        </w:rPr>
        <w:t xml:space="preserve">، </w:t>
      </w:r>
      <w:r>
        <w:t>P=0.001</w:t>
      </w:r>
      <w:r>
        <w:rPr>
          <w:rtl/>
        </w:rPr>
        <w:t>، متلازمة الحيّز (</w:t>
      </w:r>
      <w:r w:rsidR="004E3C0C">
        <w:t>15</w:t>
      </w:r>
      <w:r>
        <w:rPr>
          <w:rtl/>
        </w:rPr>
        <w:t xml:space="preserve">% مقابل </w:t>
      </w:r>
      <w:r w:rsidR="004E3C0C">
        <w:t>0</w:t>
      </w:r>
      <w:r>
        <w:t>%</w:t>
      </w:r>
      <w:r>
        <w:rPr>
          <w:rtl/>
        </w:rPr>
        <w:t xml:space="preserve">، </w:t>
      </w:r>
      <w:r>
        <w:t>P&lt;0.001</w:t>
      </w:r>
      <w:r>
        <w:rPr>
          <w:rtl/>
        </w:rPr>
        <w:t xml:space="preserve">، العدوى </w:t>
      </w:r>
      <w:r w:rsidR="004E3C0C">
        <w:t>15.8%</w:t>
      </w:r>
      <w:r>
        <w:rPr>
          <w:rtl/>
        </w:rPr>
        <w:t xml:space="preserve"> مقابل </w:t>
      </w:r>
      <w:r w:rsidR="004E3C0C">
        <w:t>2.5</w:t>
      </w:r>
      <w:r>
        <w:t>%</w:t>
      </w:r>
      <w:r>
        <w:rPr>
          <w:rtl/>
        </w:rPr>
        <w:t xml:space="preserve">، </w:t>
      </w:r>
      <w:r>
        <w:t>P&lt;0.001</w:t>
      </w:r>
      <w:r>
        <w:rPr>
          <w:rtl/>
        </w:rPr>
        <w:t>، الإقفار الطرفي للساق (14.2% مقابل 0</w:t>
      </w:r>
      <w:r>
        <w:t>%</w:t>
      </w:r>
      <w:r>
        <w:rPr>
          <w:rtl/>
        </w:rPr>
        <w:t xml:space="preserve">، </w:t>
      </w:r>
      <w:r>
        <w:t>P&lt;0.001)</w:t>
      </w:r>
      <w:r>
        <w:rPr>
          <w:rtl/>
        </w:rPr>
        <w:t>، والتمدد الكاذب للشريان (</w:t>
      </w:r>
      <w:r w:rsidR="004E3C0C">
        <w:t>10</w:t>
      </w:r>
      <w:r>
        <w:rPr>
          <w:rtl/>
        </w:rPr>
        <w:t xml:space="preserve">% مقابل </w:t>
      </w:r>
      <w:r w:rsidR="004E3C0C">
        <w:t>0</w:t>
      </w:r>
      <w:r>
        <w:t>%</w:t>
      </w:r>
      <w:r>
        <w:rPr>
          <w:rtl/>
        </w:rPr>
        <w:t xml:space="preserve">، </w:t>
      </w:r>
      <w:r w:rsidR="004E3C0C">
        <w:t xml:space="preserve"> </w:t>
      </w:r>
      <w:r>
        <w:t xml:space="preserve">P&lt;0.00 </w:t>
      </w:r>
      <w:r>
        <w:rPr>
          <w:rtl/>
        </w:rPr>
        <w:t xml:space="preserve">في المقابل، كان عدم الارتياح العام لدى المرضى أقل إحصائيًا في مجموعة </w:t>
      </w:r>
      <w:r w:rsidR="00D15C83">
        <w:rPr>
          <w:rtl/>
        </w:rPr>
        <w:t>الوصول</w:t>
      </w:r>
      <w:r>
        <w:rPr>
          <w:rtl/>
        </w:rPr>
        <w:t xml:space="preserve"> الفخذي مع جهاز الإغلاق مقارنةً ب</w:t>
      </w:r>
      <w:r w:rsidR="00D15C83">
        <w:rPr>
          <w:rtl/>
        </w:rPr>
        <w:t>الوصول</w:t>
      </w:r>
      <w:r>
        <w:rPr>
          <w:rtl/>
        </w:rPr>
        <w:t xml:space="preserve"> </w:t>
      </w:r>
      <w:r w:rsidR="00D15C83" w:rsidRPr="00D15C83">
        <w:rPr>
          <w:rtl/>
        </w:rPr>
        <w:t>الشعاعي</w:t>
      </w:r>
      <w:r>
        <w:t xml:space="preserve"> 26.7% </w:t>
      </w:r>
      <w:r>
        <w:rPr>
          <w:rtl/>
        </w:rPr>
        <w:t xml:space="preserve">مقابل </w:t>
      </w:r>
      <w:r w:rsidR="004E3C0C">
        <w:t>40.7</w:t>
      </w:r>
      <w:r>
        <w:t>%</w:t>
      </w:r>
      <w:r>
        <w:rPr>
          <w:rtl/>
        </w:rPr>
        <w:t xml:space="preserve">، </w:t>
      </w:r>
      <w:r w:rsidR="004E3C0C">
        <w:t xml:space="preserve"> </w:t>
      </w:r>
      <w:r>
        <w:t xml:space="preserve">P=0.014 </w:t>
      </w:r>
      <w:r>
        <w:rPr>
          <w:rtl/>
        </w:rPr>
        <w:t>كما أظهرت النتائج أن الألم في موقع الوصول كان متقاربًا بين المجموعتين (</w:t>
      </w:r>
      <w:r w:rsidR="004E3C0C">
        <w:t>55</w:t>
      </w:r>
      <w:r>
        <w:rPr>
          <w:rtl/>
        </w:rPr>
        <w:t xml:space="preserve">% مقابل </w:t>
      </w:r>
      <w:r w:rsidR="004E3C0C">
        <w:lastRenderedPageBreak/>
        <w:t>58.3</w:t>
      </w:r>
      <w:r>
        <w:t>%</w:t>
      </w:r>
      <w:r>
        <w:rPr>
          <w:rtl/>
        </w:rPr>
        <w:t xml:space="preserve">، </w:t>
      </w:r>
      <w:r>
        <w:t>P&gt;0.05</w:t>
      </w:r>
      <w:r w:rsidR="004E3C0C">
        <w:t xml:space="preserve"> </w:t>
      </w:r>
      <w:r>
        <w:rPr>
          <w:rtl/>
        </w:rPr>
        <w:t xml:space="preserve"> ولم يكن هناك فرق ذو دلالة إحصائية في وقت الحركة بعد الإجراء بين المجموعتين</w:t>
      </w:r>
      <w:r>
        <w:t xml:space="preserve"> (P&gt;0.05)</w:t>
      </w:r>
      <w:r w:rsidR="004E3C0C">
        <w:rPr>
          <w:rFonts w:hint="cs"/>
          <w:rtl/>
        </w:rPr>
        <w:t>.</w:t>
      </w:r>
    </w:p>
    <w:p w14:paraId="372054DD" w14:textId="7C4724CE" w:rsidR="001659D7" w:rsidRPr="001659D7" w:rsidRDefault="004E3C0C" w:rsidP="00D15C83">
      <w:pPr>
        <w:pStyle w:val="NormalWeb"/>
        <w:bidi/>
        <w:spacing w:before="0" w:beforeAutospacing="0" w:after="0" w:afterAutospacing="0" w:line="360" w:lineRule="auto"/>
        <w:jc w:val="both"/>
      </w:pPr>
      <w:r w:rsidRPr="004E3C0C">
        <w:rPr>
          <w:rStyle w:val="Strong"/>
          <w:rtl/>
        </w:rPr>
        <w:t>الاستنتاج</w:t>
      </w:r>
      <w:r w:rsidR="001659D7" w:rsidRPr="001659D7">
        <w:rPr>
          <w:rStyle w:val="Strong"/>
        </w:rPr>
        <w:t>:</w:t>
      </w:r>
      <w:r w:rsidR="001659D7">
        <w:rPr>
          <w:rStyle w:val="Strong"/>
          <w:rFonts w:hint="cs"/>
          <w:rtl/>
        </w:rPr>
        <w:t xml:space="preserve"> </w:t>
      </w:r>
      <w:r w:rsidR="001659D7" w:rsidRPr="001659D7">
        <w:rPr>
          <w:rtl/>
        </w:rPr>
        <w:t xml:space="preserve">ارتبط </w:t>
      </w:r>
      <w:r w:rsidR="00D15C83">
        <w:rPr>
          <w:rtl/>
        </w:rPr>
        <w:t>الوصول</w:t>
      </w:r>
      <w:r w:rsidR="001659D7" w:rsidRPr="001659D7">
        <w:rPr>
          <w:rtl/>
        </w:rPr>
        <w:t xml:space="preserve"> الفخذي باستخدام جهاز الإغلاق بوقت أطول للحركة بعد العملية وبإقامة أطول في المستشفى، لكنه تميز بوقت أقصر لتحقيق الإرقاء. كانت المضاعفات الوعائية مثل انسداد الشريان والإقفار الطرفي أكثر شيوعًا في مجموعة </w:t>
      </w:r>
      <w:r w:rsidR="00D15C83">
        <w:rPr>
          <w:rtl/>
        </w:rPr>
        <w:t>الوصول</w:t>
      </w:r>
      <w:r w:rsidR="001659D7" w:rsidRPr="001659D7">
        <w:rPr>
          <w:rtl/>
        </w:rPr>
        <w:t xml:space="preserve"> الفخذي مع جهاز الإغلاق مقارنةً ب</w:t>
      </w:r>
      <w:r w:rsidR="00D15C83">
        <w:rPr>
          <w:rtl/>
        </w:rPr>
        <w:t>الوصول</w:t>
      </w:r>
      <w:r w:rsidR="001659D7" w:rsidRPr="001659D7">
        <w:rPr>
          <w:rtl/>
        </w:rPr>
        <w:t xml:space="preserve"> </w:t>
      </w:r>
      <w:r w:rsidR="00D15C83" w:rsidRPr="00D15C83">
        <w:rPr>
          <w:rtl/>
        </w:rPr>
        <w:t>الشعاعي</w:t>
      </w:r>
      <w:r w:rsidR="001659D7" w:rsidRPr="001659D7">
        <w:rPr>
          <w:rtl/>
        </w:rPr>
        <w:t>، بينما كان عدم الارتياح لدى المرضى أقل</w:t>
      </w:r>
      <w:r w:rsidR="001659D7" w:rsidRPr="001659D7">
        <w:t>.</w:t>
      </w:r>
    </w:p>
    <w:p w14:paraId="6E6483FD" w14:textId="0BEEFEE5" w:rsidR="001659D7" w:rsidRPr="001659D7" w:rsidRDefault="001659D7" w:rsidP="00D15C83">
      <w:pPr>
        <w:pStyle w:val="NormalWeb"/>
        <w:bidi/>
        <w:spacing w:before="0" w:beforeAutospacing="0" w:after="0" w:afterAutospacing="0" w:line="360" w:lineRule="auto"/>
        <w:jc w:val="both"/>
      </w:pPr>
      <w:r w:rsidRPr="001659D7">
        <w:rPr>
          <w:rStyle w:val="Strong"/>
          <w:rtl/>
        </w:rPr>
        <w:t>الكلمات المفتاحية</w:t>
      </w:r>
      <w:r w:rsidRPr="001659D7">
        <w:rPr>
          <w:rStyle w:val="Strong"/>
        </w:rPr>
        <w:t>:</w:t>
      </w:r>
      <w:r>
        <w:rPr>
          <w:rStyle w:val="Strong"/>
          <w:rFonts w:hint="cs"/>
          <w:rtl/>
        </w:rPr>
        <w:t xml:space="preserve"> </w:t>
      </w:r>
      <w:r w:rsidRPr="001659D7">
        <w:rPr>
          <w:rtl/>
        </w:rPr>
        <w:t xml:space="preserve">الوصول </w:t>
      </w:r>
      <w:r w:rsidR="00D15C83" w:rsidRPr="00D15C83">
        <w:rPr>
          <w:rtl/>
        </w:rPr>
        <w:t>الشعاعي</w:t>
      </w:r>
      <w:r w:rsidRPr="001659D7">
        <w:rPr>
          <w:rtl/>
        </w:rPr>
        <w:t>، الوصول الفخذي، جهاز إغلاق الأوعية الدموية، التداخل التاجي عبر الجلد</w:t>
      </w:r>
      <w:r w:rsidRPr="001659D7">
        <w:t>.</w:t>
      </w:r>
    </w:p>
    <w:p w14:paraId="1EA7C0EA" w14:textId="77777777" w:rsidR="00A17100" w:rsidRPr="001659D7" w:rsidRDefault="00A17100" w:rsidP="00D15C83">
      <w:pPr>
        <w:bidi/>
        <w:spacing w:after="0" w:line="360" w:lineRule="auto"/>
        <w:jc w:val="both"/>
        <w:rPr>
          <w:sz w:val="24"/>
          <w:szCs w:val="24"/>
        </w:rPr>
      </w:pPr>
    </w:p>
    <w:sectPr w:rsidR="00A17100" w:rsidRPr="001659D7" w:rsidSect="00044144">
      <w:footerReference w:type="default" r:id="rId14"/>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89357" w14:textId="77777777" w:rsidR="00A845AA" w:rsidRPr="006B3495" w:rsidRDefault="00A845AA" w:rsidP="001F68F1">
      <w:pPr>
        <w:spacing w:after="0" w:line="240" w:lineRule="auto"/>
      </w:pPr>
      <w:r w:rsidRPr="006B3495">
        <w:separator/>
      </w:r>
    </w:p>
  </w:endnote>
  <w:endnote w:type="continuationSeparator" w:id="0">
    <w:p w14:paraId="545C68A4" w14:textId="77777777" w:rsidR="00A845AA" w:rsidRPr="006B3495" w:rsidRDefault="00A845AA" w:rsidP="001F68F1">
      <w:pPr>
        <w:spacing w:after="0" w:line="240" w:lineRule="auto"/>
      </w:pPr>
      <w:r w:rsidRPr="006B34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Simplified Arabic">
    <w:panose1 w:val="02020603050405020304"/>
    <w:charset w:val="00"/>
    <w:family w:val="roman"/>
    <w:pitch w:val="variable"/>
    <w:sig w:usb0="00002003" w:usb1="00000000" w:usb2="00000000" w:usb3="00000000" w:csb0="00000041" w:csb1="00000000"/>
  </w:font>
  <w:font w:name="MinionPro-Semibold">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inherit">
    <w:altName w:val="Times New Roman"/>
    <w:panose1 w:val="00000000000000000000"/>
    <w:charset w:val="00"/>
    <w:family w:val="roman"/>
    <w:notTrueType/>
    <w:pitch w:val="default"/>
  </w:font>
  <w:font w:name="+mn-e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435294"/>
      <w:docPartObj>
        <w:docPartGallery w:val="Page Numbers (Bottom of Page)"/>
        <w:docPartUnique/>
      </w:docPartObj>
    </w:sdtPr>
    <w:sdtContent>
      <w:p w14:paraId="3C492E2C" w14:textId="48A9BE8C" w:rsidR="00F716DA" w:rsidRPr="006B3495" w:rsidRDefault="00F716DA">
        <w:pPr>
          <w:pStyle w:val="Footer"/>
          <w:jc w:val="center"/>
        </w:pPr>
        <w:r w:rsidRPr="006B3495">
          <w:fldChar w:fldCharType="begin"/>
        </w:r>
        <w:r w:rsidRPr="006B3495">
          <w:instrText xml:space="preserve"> PAGE   \* MERGEFORMAT </w:instrText>
        </w:r>
        <w:r w:rsidRPr="006B3495">
          <w:fldChar w:fldCharType="separate"/>
        </w:r>
        <w:r w:rsidR="009C4871">
          <w:rPr>
            <w:noProof/>
          </w:rPr>
          <w:t>4</w:t>
        </w:r>
        <w:r w:rsidRPr="006B3495">
          <w:fldChar w:fldCharType="end"/>
        </w:r>
      </w:p>
    </w:sdtContent>
  </w:sdt>
  <w:p w14:paraId="33D2803A" w14:textId="77777777" w:rsidR="00F716DA" w:rsidRPr="006B3495" w:rsidRDefault="00F716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72588" w14:textId="77777777" w:rsidR="00A845AA" w:rsidRPr="006B3495" w:rsidRDefault="00A845AA" w:rsidP="001F68F1">
      <w:pPr>
        <w:spacing w:after="0" w:line="240" w:lineRule="auto"/>
      </w:pPr>
      <w:r w:rsidRPr="006B3495">
        <w:separator/>
      </w:r>
    </w:p>
  </w:footnote>
  <w:footnote w:type="continuationSeparator" w:id="0">
    <w:p w14:paraId="68A69423" w14:textId="77777777" w:rsidR="00A845AA" w:rsidRPr="006B3495" w:rsidRDefault="00A845AA" w:rsidP="001F68F1">
      <w:pPr>
        <w:spacing w:after="0" w:line="240" w:lineRule="auto"/>
      </w:pPr>
      <w:r w:rsidRPr="006B349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60632"/>
    <w:multiLevelType w:val="hybridMultilevel"/>
    <w:tmpl w:val="D1D2E3EC"/>
    <w:lvl w:ilvl="0" w:tplc="802C917E">
      <w:start w:val="1"/>
      <w:numFmt w:val="bullet"/>
      <w:lvlText w:val=""/>
      <w:lvlJc w:val="left"/>
      <w:pPr>
        <w:ind w:left="1210" w:hanging="360"/>
      </w:pPr>
      <w:rPr>
        <w:rFonts w:ascii="Symbol" w:hAnsi="Symbol" w:hint="default"/>
      </w:rPr>
    </w:lvl>
    <w:lvl w:ilvl="1" w:tplc="04090003">
      <w:start w:val="1"/>
      <w:numFmt w:val="bullet"/>
      <w:lvlText w:val="o"/>
      <w:lvlJc w:val="left"/>
      <w:pPr>
        <w:ind w:left="1930" w:hanging="360"/>
      </w:pPr>
      <w:rPr>
        <w:rFonts w:ascii="Courier New" w:hAnsi="Courier New" w:cs="Courier New" w:hint="default"/>
      </w:rPr>
    </w:lvl>
    <w:lvl w:ilvl="2" w:tplc="04090005">
      <w:start w:val="1"/>
      <w:numFmt w:val="bullet"/>
      <w:lvlText w:val=""/>
      <w:lvlJc w:val="left"/>
      <w:pPr>
        <w:ind w:left="2650" w:hanging="360"/>
      </w:pPr>
      <w:rPr>
        <w:rFonts w:ascii="Wingdings" w:hAnsi="Wingdings" w:hint="default"/>
      </w:rPr>
    </w:lvl>
    <w:lvl w:ilvl="3" w:tplc="04090001">
      <w:start w:val="1"/>
      <w:numFmt w:val="bullet"/>
      <w:lvlText w:val=""/>
      <w:lvlJc w:val="left"/>
      <w:pPr>
        <w:ind w:left="3370" w:hanging="360"/>
      </w:pPr>
      <w:rPr>
        <w:rFonts w:ascii="Symbol" w:hAnsi="Symbol" w:hint="default"/>
      </w:rPr>
    </w:lvl>
    <w:lvl w:ilvl="4" w:tplc="04090003">
      <w:start w:val="1"/>
      <w:numFmt w:val="bullet"/>
      <w:lvlText w:val="o"/>
      <w:lvlJc w:val="left"/>
      <w:pPr>
        <w:ind w:left="4090" w:hanging="360"/>
      </w:pPr>
      <w:rPr>
        <w:rFonts w:ascii="Courier New" w:hAnsi="Courier New" w:cs="Courier New" w:hint="default"/>
      </w:rPr>
    </w:lvl>
    <w:lvl w:ilvl="5" w:tplc="04090005">
      <w:start w:val="1"/>
      <w:numFmt w:val="bullet"/>
      <w:lvlText w:val=""/>
      <w:lvlJc w:val="left"/>
      <w:pPr>
        <w:ind w:left="4810" w:hanging="360"/>
      </w:pPr>
      <w:rPr>
        <w:rFonts w:ascii="Wingdings" w:hAnsi="Wingdings" w:hint="default"/>
      </w:rPr>
    </w:lvl>
    <w:lvl w:ilvl="6" w:tplc="04090001">
      <w:start w:val="1"/>
      <w:numFmt w:val="bullet"/>
      <w:lvlText w:val=""/>
      <w:lvlJc w:val="left"/>
      <w:pPr>
        <w:ind w:left="5530" w:hanging="360"/>
      </w:pPr>
      <w:rPr>
        <w:rFonts w:ascii="Symbol" w:hAnsi="Symbol" w:hint="default"/>
      </w:rPr>
    </w:lvl>
    <w:lvl w:ilvl="7" w:tplc="04090003">
      <w:start w:val="1"/>
      <w:numFmt w:val="bullet"/>
      <w:lvlText w:val="o"/>
      <w:lvlJc w:val="left"/>
      <w:pPr>
        <w:ind w:left="6250" w:hanging="360"/>
      </w:pPr>
      <w:rPr>
        <w:rFonts w:ascii="Courier New" w:hAnsi="Courier New" w:cs="Courier New" w:hint="default"/>
      </w:rPr>
    </w:lvl>
    <w:lvl w:ilvl="8" w:tplc="04090005">
      <w:start w:val="1"/>
      <w:numFmt w:val="bullet"/>
      <w:lvlText w:val=""/>
      <w:lvlJc w:val="left"/>
      <w:pPr>
        <w:ind w:left="6970" w:hanging="360"/>
      </w:pPr>
      <w:rPr>
        <w:rFonts w:ascii="Wingdings" w:hAnsi="Wingdings" w:hint="default"/>
      </w:rPr>
    </w:lvl>
  </w:abstractNum>
  <w:abstractNum w:abstractNumId="1" w15:restartNumberingAfterBreak="0">
    <w:nsid w:val="0EF75354"/>
    <w:multiLevelType w:val="hybridMultilevel"/>
    <w:tmpl w:val="1E90C3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9272B5"/>
    <w:multiLevelType w:val="multilevel"/>
    <w:tmpl w:val="C494FC56"/>
    <w:lvl w:ilvl="0">
      <w:start w:val="2"/>
      <w:numFmt w:val="decimal"/>
      <w:lvlText w:val="%1"/>
      <w:lvlJc w:val="left"/>
      <w:pPr>
        <w:ind w:left="480" w:hanging="480"/>
      </w:pPr>
      <w:rPr>
        <w:rFonts w:hint="default"/>
      </w:rPr>
    </w:lvl>
    <w:lvl w:ilvl="1">
      <w:start w:val="7"/>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9E22334"/>
    <w:multiLevelType w:val="hybridMultilevel"/>
    <w:tmpl w:val="60A61B00"/>
    <w:lvl w:ilvl="0" w:tplc="3708A192">
      <w:start w:val="1"/>
      <w:numFmt w:val="bullet"/>
      <w:lvlText w:val="•"/>
      <w:lvlJc w:val="left"/>
      <w:pPr>
        <w:tabs>
          <w:tab w:val="num" w:pos="720"/>
        </w:tabs>
        <w:ind w:left="720" w:hanging="360"/>
      </w:pPr>
      <w:rPr>
        <w:rFonts w:ascii="Times New Roman" w:hAnsi="Times New Roman" w:hint="default"/>
      </w:rPr>
    </w:lvl>
    <w:lvl w:ilvl="1" w:tplc="FEE8D944" w:tentative="1">
      <w:start w:val="1"/>
      <w:numFmt w:val="bullet"/>
      <w:lvlText w:val="•"/>
      <w:lvlJc w:val="left"/>
      <w:pPr>
        <w:tabs>
          <w:tab w:val="num" w:pos="1440"/>
        </w:tabs>
        <w:ind w:left="1440" w:hanging="360"/>
      </w:pPr>
      <w:rPr>
        <w:rFonts w:ascii="Times New Roman" w:hAnsi="Times New Roman" w:hint="default"/>
      </w:rPr>
    </w:lvl>
    <w:lvl w:ilvl="2" w:tplc="ACB2CDB0" w:tentative="1">
      <w:start w:val="1"/>
      <w:numFmt w:val="bullet"/>
      <w:lvlText w:val="•"/>
      <w:lvlJc w:val="left"/>
      <w:pPr>
        <w:tabs>
          <w:tab w:val="num" w:pos="2160"/>
        </w:tabs>
        <w:ind w:left="2160" w:hanging="360"/>
      </w:pPr>
      <w:rPr>
        <w:rFonts w:ascii="Times New Roman" w:hAnsi="Times New Roman" w:hint="default"/>
      </w:rPr>
    </w:lvl>
    <w:lvl w:ilvl="3" w:tplc="5AA4DA14" w:tentative="1">
      <w:start w:val="1"/>
      <w:numFmt w:val="bullet"/>
      <w:lvlText w:val="•"/>
      <w:lvlJc w:val="left"/>
      <w:pPr>
        <w:tabs>
          <w:tab w:val="num" w:pos="2880"/>
        </w:tabs>
        <w:ind w:left="2880" w:hanging="360"/>
      </w:pPr>
      <w:rPr>
        <w:rFonts w:ascii="Times New Roman" w:hAnsi="Times New Roman" w:hint="default"/>
      </w:rPr>
    </w:lvl>
    <w:lvl w:ilvl="4" w:tplc="E6863C96" w:tentative="1">
      <w:start w:val="1"/>
      <w:numFmt w:val="bullet"/>
      <w:lvlText w:val="•"/>
      <w:lvlJc w:val="left"/>
      <w:pPr>
        <w:tabs>
          <w:tab w:val="num" w:pos="3600"/>
        </w:tabs>
        <w:ind w:left="3600" w:hanging="360"/>
      </w:pPr>
      <w:rPr>
        <w:rFonts w:ascii="Times New Roman" w:hAnsi="Times New Roman" w:hint="default"/>
      </w:rPr>
    </w:lvl>
    <w:lvl w:ilvl="5" w:tplc="9E92B756" w:tentative="1">
      <w:start w:val="1"/>
      <w:numFmt w:val="bullet"/>
      <w:lvlText w:val="•"/>
      <w:lvlJc w:val="left"/>
      <w:pPr>
        <w:tabs>
          <w:tab w:val="num" w:pos="4320"/>
        </w:tabs>
        <w:ind w:left="4320" w:hanging="360"/>
      </w:pPr>
      <w:rPr>
        <w:rFonts w:ascii="Times New Roman" w:hAnsi="Times New Roman" w:hint="default"/>
      </w:rPr>
    </w:lvl>
    <w:lvl w:ilvl="6" w:tplc="DD3862BE" w:tentative="1">
      <w:start w:val="1"/>
      <w:numFmt w:val="bullet"/>
      <w:lvlText w:val="•"/>
      <w:lvlJc w:val="left"/>
      <w:pPr>
        <w:tabs>
          <w:tab w:val="num" w:pos="5040"/>
        </w:tabs>
        <w:ind w:left="5040" w:hanging="360"/>
      </w:pPr>
      <w:rPr>
        <w:rFonts w:ascii="Times New Roman" w:hAnsi="Times New Roman" w:hint="default"/>
      </w:rPr>
    </w:lvl>
    <w:lvl w:ilvl="7" w:tplc="68F4D41A" w:tentative="1">
      <w:start w:val="1"/>
      <w:numFmt w:val="bullet"/>
      <w:lvlText w:val="•"/>
      <w:lvlJc w:val="left"/>
      <w:pPr>
        <w:tabs>
          <w:tab w:val="num" w:pos="5760"/>
        </w:tabs>
        <w:ind w:left="5760" w:hanging="360"/>
      </w:pPr>
      <w:rPr>
        <w:rFonts w:ascii="Times New Roman" w:hAnsi="Times New Roman" w:hint="default"/>
      </w:rPr>
    </w:lvl>
    <w:lvl w:ilvl="8" w:tplc="60923B5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95B51EC"/>
    <w:multiLevelType w:val="hybridMultilevel"/>
    <w:tmpl w:val="6BFACB32"/>
    <w:lvl w:ilvl="0" w:tplc="08090001">
      <w:start w:val="1"/>
      <w:numFmt w:val="bullet"/>
      <w:lvlText w:val=""/>
      <w:lvlJc w:val="left"/>
      <w:pPr>
        <w:ind w:left="720" w:hanging="360"/>
      </w:pPr>
      <w:rPr>
        <w:rFonts w:ascii="Symbol" w:hAnsi="Symbol" w:hint="default"/>
      </w:rPr>
    </w:lvl>
    <w:lvl w:ilvl="1" w:tplc="F5B24AC4">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FE195B"/>
    <w:multiLevelType w:val="hybridMultilevel"/>
    <w:tmpl w:val="D24C6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B90BB7"/>
    <w:multiLevelType w:val="hybridMultilevel"/>
    <w:tmpl w:val="297E5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6925F5"/>
    <w:multiLevelType w:val="hybridMultilevel"/>
    <w:tmpl w:val="AFA838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CE6529"/>
    <w:multiLevelType w:val="hybridMultilevel"/>
    <w:tmpl w:val="767E4E72"/>
    <w:lvl w:ilvl="0" w:tplc="F1F00C5C">
      <w:start w:val="1"/>
      <w:numFmt w:val="lowerLetter"/>
      <w:lvlText w:val="%1-"/>
      <w:lvlJc w:val="left"/>
      <w:pPr>
        <w:ind w:left="720" w:hanging="360"/>
      </w:pPr>
      <w:rPr>
        <w:rFonts w:asciiTheme="majorBidi" w:eastAsia="Calibri" w:hAnsiTheme="majorBidi" w:cstheme="majorBid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CC7270"/>
    <w:multiLevelType w:val="hybridMultilevel"/>
    <w:tmpl w:val="F16A0370"/>
    <w:lvl w:ilvl="0" w:tplc="04090009">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132" w:hanging="360"/>
      </w:pPr>
      <w:rPr>
        <w:rFonts w:ascii="Courier New" w:hAnsi="Courier New" w:cs="Courier New" w:hint="default"/>
      </w:rPr>
    </w:lvl>
    <w:lvl w:ilvl="2" w:tplc="04090005" w:tentative="1">
      <w:start w:val="1"/>
      <w:numFmt w:val="bullet"/>
      <w:lvlText w:val=""/>
      <w:lvlJc w:val="left"/>
      <w:pPr>
        <w:ind w:left="1852" w:hanging="360"/>
      </w:pPr>
      <w:rPr>
        <w:rFonts w:ascii="Wingdings" w:hAnsi="Wingdings" w:hint="default"/>
      </w:rPr>
    </w:lvl>
    <w:lvl w:ilvl="3" w:tplc="04090001" w:tentative="1">
      <w:start w:val="1"/>
      <w:numFmt w:val="bullet"/>
      <w:lvlText w:val=""/>
      <w:lvlJc w:val="left"/>
      <w:pPr>
        <w:ind w:left="2572" w:hanging="360"/>
      </w:pPr>
      <w:rPr>
        <w:rFonts w:ascii="Symbol" w:hAnsi="Symbol" w:hint="default"/>
      </w:rPr>
    </w:lvl>
    <w:lvl w:ilvl="4" w:tplc="04090003" w:tentative="1">
      <w:start w:val="1"/>
      <w:numFmt w:val="bullet"/>
      <w:lvlText w:val="o"/>
      <w:lvlJc w:val="left"/>
      <w:pPr>
        <w:ind w:left="3292" w:hanging="360"/>
      </w:pPr>
      <w:rPr>
        <w:rFonts w:ascii="Courier New" w:hAnsi="Courier New" w:cs="Courier New" w:hint="default"/>
      </w:rPr>
    </w:lvl>
    <w:lvl w:ilvl="5" w:tplc="04090005" w:tentative="1">
      <w:start w:val="1"/>
      <w:numFmt w:val="bullet"/>
      <w:lvlText w:val=""/>
      <w:lvlJc w:val="left"/>
      <w:pPr>
        <w:ind w:left="4012" w:hanging="360"/>
      </w:pPr>
      <w:rPr>
        <w:rFonts w:ascii="Wingdings" w:hAnsi="Wingdings" w:hint="default"/>
      </w:rPr>
    </w:lvl>
    <w:lvl w:ilvl="6" w:tplc="04090001" w:tentative="1">
      <w:start w:val="1"/>
      <w:numFmt w:val="bullet"/>
      <w:lvlText w:val=""/>
      <w:lvlJc w:val="left"/>
      <w:pPr>
        <w:ind w:left="4732" w:hanging="360"/>
      </w:pPr>
      <w:rPr>
        <w:rFonts w:ascii="Symbol" w:hAnsi="Symbol" w:hint="default"/>
      </w:rPr>
    </w:lvl>
    <w:lvl w:ilvl="7" w:tplc="04090003" w:tentative="1">
      <w:start w:val="1"/>
      <w:numFmt w:val="bullet"/>
      <w:lvlText w:val="o"/>
      <w:lvlJc w:val="left"/>
      <w:pPr>
        <w:ind w:left="5452" w:hanging="360"/>
      </w:pPr>
      <w:rPr>
        <w:rFonts w:ascii="Courier New" w:hAnsi="Courier New" w:cs="Courier New" w:hint="default"/>
      </w:rPr>
    </w:lvl>
    <w:lvl w:ilvl="8" w:tplc="04090005" w:tentative="1">
      <w:start w:val="1"/>
      <w:numFmt w:val="bullet"/>
      <w:lvlText w:val=""/>
      <w:lvlJc w:val="left"/>
      <w:pPr>
        <w:ind w:left="6172" w:hanging="360"/>
      </w:pPr>
      <w:rPr>
        <w:rFonts w:ascii="Wingdings" w:hAnsi="Wingdings" w:hint="default"/>
      </w:rPr>
    </w:lvl>
  </w:abstractNum>
  <w:abstractNum w:abstractNumId="10" w15:restartNumberingAfterBreak="0">
    <w:nsid w:val="44326F8A"/>
    <w:multiLevelType w:val="multilevel"/>
    <w:tmpl w:val="66D0985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351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50101A8"/>
    <w:multiLevelType w:val="hybridMultilevel"/>
    <w:tmpl w:val="8A381BE2"/>
    <w:lvl w:ilvl="0" w:tplc="9C2EFE4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BB06784"/>
    <w:multiLevelType w:val="multilevel"/>
    <w:tmpl w:val="1EE6AC0C"/>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1347464"/>
    <w:multiLevelType w:val="multilevel"/>
    <w:tmpl w:val="BD2017CE"/>
    <w:lvl w:ilvl="0">
      <w:start w:val="4"/>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3DF53C6"/>
    <w:multiLevelType w:val="hybridMultilevel"/>
    <w:tmpl w:val="57D4FC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911812"/>
    <w:multiLevelType w:val="hybridMultilevel"/>
    <w:tmpl w:val="265AA6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6F66063"/>
    <w:multiLevelType w:val="hybridMultilevel"/>
    <w:tmpl w:val="E9F62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341EE2"/>
    <w:multiLevelType w:val="hybridMultilevel"/>
    <w:tmpl w:val="FBC2E8D4"/>
    <w:lvl w:ilvl="0" w:tplc="802C917E">
      <w:start w:val="1"/>
      <w:numFmt w:val="bullet"/>
      <w:lvlText w:val=""/>
      <w:lvlJc w:val="left"/>
      <w:pPr>
        <w:ind w:left="1210" w:hanging="360"/>
      </w:pPr>
      <w:rPr>
        <w:rFonts w:ascii="Symbol" w:hAnsi="Symbol" w:hint="default"/>
      </w:rPr>
    </w:lvl>
    <w:lvl w:ilvl="1" w:tplc="04090003">
      <w:start w:val="1"/>
      <w:numFmt w:val="bullet"/>
      <w:lvlText w:val="o"/>
      <w:lvlJc w:val="left"/>
      <w:pPr>
        <w:ind w:left="1930" w:hanging="360"/>
      </w:pPr>
      <w:rPr>
        <w:rFonts w:ascii="Courier New" w:hAnsi="Courier New" w:cs="Courier New" w:hint="default"/>
      </w:rPr>
    </w:lvl>
    <w:lvl w:ilvl="2" w:tplc="04090005">
      <w:start w:val="1"/>
      <w:numFmt w:val="bullet"/>
      <w:lvlText w:val=""/>
      <w:lvlJc w:val="left"/>
      <w:pPr>
        <w:ind w:left="2650" w:hanging="360"/>
      </w:pPr>
      <w:rPr>
        <w:rFonts w:ascii="Wingdings" w:hAnsi="Wingdings" w:hint="default"/>
      </w:rPr>
    </w:lvl>
    <w:lvl w:ilvl="3" w:tplc="04090001">
      <w:start w:val="1"/>
      <w:numFmt w:val="bullet"/>
      <w:lvlText w:val=""/>
      <w:lvlJc w:val="left"/>
      <w:pPr>
        <w:ind w:left="3370" w:hanging="360"/>
      </w:pPr>
      <w:rPr>
        <w:rFonts w:ascii="Symbol" w:hAnsi="Symbol" w:hint="default"/>
      </w:rPr>
    </w:lvl>
    <w:lvl w:ilvl="4" w:tplc="04090003">
      <w:start w:val="1"/>
      <w:numFmt w:val="bullet"/>
      <w:lvlText w:val="o"/>
      <w:lvlJc w:val="left"/>
      <w:pPr>
        <w:ind w:left="4090" w:hanging="360"/>
      </w:pPr>
      <w:rPr>
        <w:rFonts w:ascii="Courier New" w:hAnsi="Courier New" w:cs="Courier New" w:hint="default"/>
      </w:rPr>
    </w:lvl>
    <w:lvl w:ilvl="5" w:tplc="04090005">
      <w:start w:val="1"/>
      <w:numFmt w:val="bullet"/>
      <w:lvlText w:val=""/>
      <w:lvlJc w:val="left"/>
      <w:pPr>
        <w:ind w:left="4810" w:hanging="360"/>
      </w:pPr>
      <w:rPr>
        <w:rFonts w:ascii="Wingdings" w:hAnsi="Wingdings" w:hint="default"/>
      </w:rPr>
    </w:lvl>
    <w:lvl w:ilvl="6" w:tplc="04090001">
      <w:start w:val="1"/>
      <w:numFmt w:val="bullet"/>
      <w:lvlText w:val=""/>
      <w:lvlJc w:val="left"/>
      <w:pPr>
        <w:ind w:left="5530" w:hanging="360"/>
      </w:pPr>
      <w:rPr>
        <w:rFonts w:ascii="Symbol" w:hAnsi="Symbol" w:hint="default"/>
      </w:rPr>
    </w:lvl>
    <w:lvl w:ilvl="7" w:tplc="04090003">
      <w:start w:val="1"/>
      <w:numFmt w:val="bullet"/>
      <w:lvlText w:val="o"/>
      <w:lvlJc w:val="left"/>
      <w:pPr>
        <w:ind w:left="6250" w:hanging="360"/>
      </w:pPr>
      <w:rPr>
        <w:rFonts w:ascii="Courier New" w:hAnsi="Courier New" w:cs="Courier New" w:hint="default"/>
      </w:rPr>
    </w:lvl>
    <w:lvl w:ilvl="8" w:tplc="04090005">
      <w:start w:val="1"/>
      <w:numFmt w:val="bullet"/>
      <w:lvlText w:val=""/>
      <w:lvlJc w:val="left"/>
      <w:pPr>
        <w:ind w:left="6970" w:hanging="360"/>
      </w:pPr>
      <w:rPr>
        <w:rFonts w:ascii="Wingdings" w:hAnsi="Wingdings" w:hint="default"/>
      </w:rPr>
    </w:lvl>
  </w:abstractNum>
  <w:abstractNum w:abstractNumId="18" w15:restartNumberingAfterBreak="0">
    <w:nsid w:val="6399411C"/>
    <w:multiLevelType w:val="multilevel"/>
    <w:tmpl w:val="0E1A65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260E97"/>
    <w:multiLevelType w:val="hybridMultilevel"/>
    <w:tmpl w:val="C2A02D9E"/>
    <w:lvl w:ilvl="0" w:tplc="04090003">
      <w:start w:val="1"/>
      <w:numFmt w:val="bullet"/>
      <w:lvlText w:val="o"/>
      <w:lvlJc w:val="left"/>
      <w:pPr>
        <w:ind w:left="1777" w:hanging="360"/>
      </w:pPr>
      <w:rPr>
        <w:rFonts w:ascii="Courier New" w:hAnsi="Courier New" w:cs="Courier New" w:hint="default"/>
      </w:rPr>
    </w:lvl>
    <w:lvl w:ilvl="1" w:tplc="04090003" w:tentative="1">
      <w:start w:val="1"/>
      <w:numFmt w:val="bullet"/>
      <w:lvlText w:val="o"/>
      <w:lvlJc w:val="left"/>
      <w:pPr>
        <w:ind w:left="2497" w:hanging="360"/>
      </w:pPr>
      <w:rPr>
        <w:rFonts w:ascii="Courier New" w:hAnsi="Courier New" w:cs="Courier New" w:hint="default"/>
      </w:rPr>
    </w:lvl>
    <w:lvl w:ilvl="2" w:tplc="04090005" w:tentative="1">
      <w:start w:val="1"/>
      <w:numFmt w:val="bullet"/>
      <w:lvlText w:val=""/>
      <w:lvlJc w:val="left"/>
      <w:pPr>
        <w:ind w:left="3217" w:hanging="360"/>
      </w:pPr>
      <w:rPr>
        <w:rFonts w:ascii="Wingdings" w:hAnsi="Wingdings" w:hint="default"/>
      </w:rPr>
    </w:lvl>
    <w:lvl w:ilvl="3" w:tplc="04090001" w:tentative="1">
      <w:start w:val="1"/>
      <w:numFmt w:val="bullet"/>
      <w:lvlText w:val=""/>
      <w:lvlJc w:val="left"/>
      <w:pPr>
        <w:ind w:left="3937" w:hanging="360"/>
      </w:pPr>
      <w:rPr>
        <w:rFonts w:ascii="Symbol" w:hAnsi="Symbol" w:hint="default"/>
      </w:rPr>
    </w:lvl>
    <w:lvl w:ilvl="4" w:tplc="04090003" w:tentative="1">
      <w:start w:val="1"/>
      <w:numFmt w:val="bullet"/>
      <w:lvlText w:val="o"/>
      <w:lvlJc w:val="left"/>
      <w:pPr>
        <w:ind w:left="4657" w:hanging="360"/>
      </w:pPr>
      <w:rPr>
        <w:rFonts w:ascii="Courier New" w:hAnsi="Courier New" w:cs="Courier New" w:hint="default"/>
      </w:rPr>
    </w:lvl>
    <w:lvl w:ilvl="5" w:tplc="04090005" w:tentative="1">
      <w:start w:val="1"/>
      <w:numFmt w:val="bullet"/>
      <w:lvlText w:val=""/>
      <w:lvlJc w:val="left"/>
      <w:pPr>
        <w:ind w:left="5377" w:hanging="360"/>
      </w:pPr>
      <w:rPr>
        <w:rFonts w:ascii="Wingdings" w:hAnsi="Wingdings" w:hint="default"/>
      </w:rPr>
    </w:lvl>
    <w:lvl w:ilvl="6" w:tplc="04090001" w:tentative="1">
      <w:start w:val="1"/>
      <w:numFmt w:val="bullet"/>
      <w:lvlText w:val=""/>
      <w:lvlJc w:val="left"/>
      <w:pPr>
        <w:ind w:left="6097" w:hanging="360"/>
      </w:pPr>
      <w:rPr>
        <w:rFonts w:ascii="Symbol" w:hAnsi="Symbol" w:hint="default"/>
      </w:rPr>
    </w:lvl>
    <w:lvl w:ilvl="7" w:tplc="04090003" w:tentative="1">
      <w:start w:val="1"/>
      <w:numFmt w:val="bullet"/>
      <w:lvlText w:val="o"/>
      <w:lvlJc w:val="left"/>
      <w:pPr>
        <w:ind w:left="6817" w:hanging="360"/>
      </w:pPr>
      <w:rPr>
        <w:rFonts w:ascii="Courier New" w:hAnsi="Courier New" w:cs="Courier New" w:hint="default"/>
      </w:rPr>
    </w:lvl>
    <w:lvl w:ilvl="8" w:tplc="04090005" w:tentative="1">
      <w:start w:val="1"/>
      <w:numFmt w:val="bullet"/>
      <w:lvlText w:val=""/>
      <w:lvlJc w:val="left"/>
      <w:pPr>
        <w:ind w:left="7537" w:hanging="360"/>
      </w:pPr>
      <w:rPr>
        <w:rFonts w:ascii="Wingdings" w:hAnsi="Wingdings" w:hint="default"/>
      </w:rPr>
    </w:lvl>
  </w:abstractNum>
  <w:abstractNum w:abstractNumId="20" w15:restartNumberingAfterBreak="0">
    <w:nsid w:val="666D42B5"/>
    <w:multiLevelType w:val="hybridMultilevel"/>
    <w:tmpl w:val="A0CC48AC"/>
    <w:lvl w:ilvl="0" w:tplc="387E997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1D6646E"/>
    <w:multiLevelType w:val="hybridMultilevel"/>
    <w:tmpl w:val="2646D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C946AF"/>
    <w:multiLevelType w:val="multilevel"/>
    <w:tmpl w:val="E5EADF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D313AF"/>
    <w:multiLevelType w:val="hybridMultilevel"/>
    <w:tmpl w:val="CDDABC8E"/>
    <w:lvl w:ilvl="0" w:tplc="2926063C">
      <w:start w:val="1"/>
      <w:numFmt w:val="bullet"/>
      <w:lvlText w:val="•"/>
      <w:lvlJc w:val="left"/>
      <w:pPr>
        <w:tabs>
          <w:tab w:val="num" w:pos="720"/>
        </w:tabs>
        <w:ind w:left="720" w:hanging="360"/>
      </w:pPr>
      <w:rPr>
        <w:rFonts w:ascii="Arial" w:hAnsi="Arial" w:hint="default"/>
      </w:rPr>
    </w:lvl>
    <w:lvl w:ilvl="1" w:tplc="92B8226A" w:tentative="1">
      <w:start w:val="1"/>
      <w:numFmt w:val="bullet"/>
      <w:lvlText w:val="•"/>
      <w:lvlJc w:val="left"/>
      <w:pPr>
        <w:tabs>
          <w:tab w:val="num" w:pos="1440"/>
        </w:tabs>
        <w:ind w:left="1440" w:hanging="360"/>
      </w:pPr>
      <w:rPr>
        <w:rFonts w:ascii="Arial" w:hAnsi="Arial" w:hint="default"/>
      </w:rPr>
    </w:lvl>
    <w:lvl w:ilvl="2" w:tplc="C57CD9E0" w:tentative="1">
      <w:start w:val="1"/>
      <w:numFmt w:val="bullet"/>
      <w:lvlText w:val="•"/>
      <w:lvlJc w:val="left"/>
      <w:pPr>
        <w:tabs>
          <w:tab w:val="num" w:pos="2160"/>
        </w:tabs>
        <w:ind w:left="2160" w:hanging="360"/>
      </w:pPr>
      <w:rPr>
        <w:rFonts w:ascii="Arial" w:hAnsi="Arial" w:hint="default"/>
      </w:rPr>
    </w:lvl>
    <w:lvl w:ilvl="3" w:tplc="26A85C3A" w:tentative="1">
      <w:start w:val="1"/>
      <w:numFmt w:val="bullet"/>
      <w:lvlText w:val="•"/>
      <w:lvlJc w:val="left"/>
      <w:pPr>
        <w:tabs>
          <w:tab w:val="num" w:pos="2880"/>
        </w:tabs>
        <w:ind w:left="2880" w:hanging="360"/>
      </w:pPr>
      <w:rPr>
        <w:rFonts w:ascii="Arial" w:hAnsi="Arial" w:hint="default"/>
      </w:rPr>
    </w:lvl>
    <w:lvl w:ilvl="4" w:tplc="A6BACE88" w:tentative="1">
      <w:start w:val="1"/>
      <w:numFmt w:val="bullet"/>
      <w:lvlText w:val="•"/>
      <w:lvlJc w:val="left"/>
      <w:pPr>
        <w:tabs>
          <w:tab w:val="num" w:pos="3600"/>
        </w:tabs>
        <w:ind w:left="3600" w:hanging="360"/>
      </w:pPr>
      <w:rPr>
        <w:rFonts w:ascii="Arial" w:hAnsi="Arial" w:hint="default"/>
      </w:rPr>
    </w:lvl>
    <w:lvl w:ilvl="5" w:tplc="E57C8264" w:tentative="1">
      <w:start w:val="1"/>
      <w:numFmt w:val="bullet"/>
      <w:lvlText w:val="•"/>
      <w:lvlJc w:val="left"/>
      <w:pPr>
        <w:tabs>
          <w:tab w:val="num" w:pos="4320"/>
        </w:tabs>
        <w:ind w:left="4320" w:hanging="360"/>
      </w:pPr>
      <w:rPr>
        <w:rFonts w:ascii="Arial" w:hAnsi="Arial" w:hint="default"/>
      </w:rPr>
    </w:lvl>
    <w:lvl w:ilvl="6" w:tplc="C16AB602" w:tentative="1">
      <w:start w:val="1"/>
      <w:numFmt w:val="bullet"/>
      <w:lvlText w:val="•"/>
      <w:lvlJc w:val="left"/>
      <w:pPr>
        <w:tabs>
          <w:tab w:val="num" w:pos="5040"/>
        </w:tabs>
        <w:ind w:left="5040" w:hanging="360"/>
      </w:pPr>
      <w:rPr>
        <w:rFonts w:ascii="Arial" w:hAnsi="Arial" w:hint="default"/>
      </w:rPr>
    </w:lvl>
    <w:lvl w:ilvl="7" w:tplc="1B5E67D4" w:tentative="1">
      <w:start w:val="1"/>
      <w:numFmt w:val="bullet"/>
      <w:lvlText w:val="•"/>
      <w:lvlJc w:val="left"/>
      <w:pPr>
        <w:tabs>
          <w:tab w:val="num" w:pos="5760"/>
        </w:tabs>
        <w:ind w:left="5760" w:hanging="360"/>
      </w:pPr>
      <w:rPr>
        <w:rFonts w:ascii="Arial" w:hAnsi="Arial" w:hint="default"/>
      </w:rPr>
    </w:lvl>
    <w:lvl w:ilvl="8" w:tplc="98429768" w:tentative="1">
      <w:start w:val="1"/>
      <w:numFmt w:val="bullet"/>
      <w:lvlText w:val="•"/>
      <w:lvlJc w:val="left"/>
      <w:pPr>
        <w:tabs>
          <w:tab w:val="num" w:pos="6480"/>
        </w:tabs>
        <w:ind w:left="6480" w:hanging="360"/>
      </w:pPr>
      <w:rPr>
        <w:rFonts w:ascii="Arial" w:hAnsi="Arial" w:hint="default"/>
      </w:rPr>
    </w:lvl>
  </w:abstractNum>
  <w:num w:numId="1" w16cid:durableId="2117674512">
    <w:abstractNumId w:val="12"/>
  </w:num>
  <w:num w:numId="2" w16cid:durableId="714692733">
    <w:abstractNumId w:val="13"/>
  </w:num>
  <w:num w:numId="3" w16cid:durableId="171260995">
    <w:abstractNumId w:val="4"/>
  </w:num>
  <w:num w:numId="4" w16cid:durableId="1967277464">
    <w:abstractNumId w:val="10"/>
  </w:num>
  <w:num w:numId="5" w16cid:durableId="931819893">
    <w:abstractNumId w:val="16"/>
  </w:num>
  <w:num w:numId="6" w16cid:durableId="421879423">
    <w:abstractNumId w:val="17"/>
  </w:num>
  <w:num w:numId="7" w16cid:durableId="1118525343">
    <w:abstractNumId w:val="5"/>
  </w:num>
  <w:num w:numId="8" w16cid:durableId="1002852353">
    <w:abstractNumId w:val="7"/>
  </w:num>
  <w:num w:numId="9" w16cid:durableId="1531843199">
    <w:abstractNumId w:val="6"/>
  </w:num>
  <w:num w:numId="10" w16cid:durableId="683821428">
    <w:abstractNumId w:val="21"/>
  </w:num>
  <w:num w:numId="11" w16cid:durableId="780153021">
    <w:abstractNumId w:val="15"/>
  </w:num>
  <w:num w:numId="12" w16cid:durableId="1542864654">
    <w:abstractNumId w:val="0"/>
  </w:num>
  <w:num w:numId="13" w16cid:durableId="1398435168">
    <w:abstractNumId w:val="9"/>
  </w:num>
  <w:num w:numId="14" w16cid:durableId="2062825168">
    <w:abstractNumId w:val="19"/>
  </w:num>
  <w:num w:numId="15" w16cid:durableId="19557926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9136994">
    <w:abstractNumId w:val="22"/>
  </w:num>
  <w:num w:numId="17" w16cid:durableId="1300845514">
    <w:abstractNumId w:val="18"/>
  </w:num>
  <w:num w:numId="18" w16cid:durableId="1237325665">
    <w:abstractNumId w:val="8"/>
  </w:num>
  <w:num w:numId="19" w16cid:durableId="2101756171">
    <w:abstractNumId w:val="2"/>
  </w:num>
  <w:num w:numId="20" w16cid:durableId="473792136">
    <w:abstractNumId w:val="20"/>
  </w:num>
  <w:num w:numId="21" w16cid:durableId="1025331731">
    <w:abstractNumId w:val="1"/>
  </w:num>
  <w:num w:numId="22" w16cid:durableId="1938754349">
    <w:abstractNumId w:val="14"/>
  </w:num>
  <w:num w:numId="23" w16cid:durableId="940722298">
    <w:abstractNumId w:val="3"/>
  </w:num>
  <w:num w:numId="24" w16cid:durableId="37022637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awNDM3tTAwsDA1NTdT0lEKTi0uzszPAykwrAUAuTf+VCwAAAA="/>
  </w:docVars>
  <w:rsids>
    <w:rsidRoot w:val="00EC74E8"/>
    <w:rsid w:val="0000257C"/>
    <w:rsid w:val="0000283E"/>
    <w:rsid w:val="000029C5"/>
    <w:rsid w:val="000029CF"/>
    <w:rsid w:val="00002A82"/>
    <w:rsid w:val="00004AAA"/>
    <w:rsid w:val="00013B23"/>
    <w:rsid w:val="00016A1C"/>
    <w:rsid w:val="00024254"/>
    <w:rsid w:val="0002487B"/>
    <w:rsid w:val="00024E01"/>
    <w:rsid w:val="0002513C"/>
    <w:rsid w:val="000257E3"/>
    <w:rsid w:val="0002708C"/>
    <w:rsid w:val="000271E5"/>
    <w:rsid w:val="0003017D"/>
    <w:rsid w:val="000304C8"/>
    <w:rsid w:val="00030EAE"/>
    <w:rsid w:val="000311CC"/>
    <w:rsid w:val="00032361"/>
    <w:rsid w:val="00032B90"/>
    <w:rsid w:val="00033E6A"/>
    <w:rsid w:val="00035168"/>
    <w:rsid w:val="00036B37"/>
    <w:rsid w:val="00043DB3"/>
    <w:rsid w:val="00044144"/>
    <w:rsid w:val="000466D3"/>
    <w:rsid w:val="00046C1F"/>
    <w:rsid w:val="0005146C"/>
    <w:rsid w:val="00051845"/>
    <w:rsid w:val="0005383F"/>
    <w:rsid w:val="00056644"/>
    <w:rsid w:val="000575CD"/>
    <w:rsid w:val="00057FD2"/>
    <w:rsid w:val="00063DA6"/>
    <w:rsid w:val="00063E0C"/>
    <w:rsid w:val="00063F19"/>
    <w:rsid w:val="00066290"/>
    <w:rsid w:val="00066C86"/>
    <w:rsid w:val="00066CFA"/>
    <w:rsid w:val="000676F2"/>
    <w:rsid w:val="000734C8"/>
    <w:rsid w:val="00074CC9"/>
    <w:rsid w:val="0007580B"/>
    <w:rsid w:val="00075CDE"/>
    <w:rsid w:val="00080586"/>
    <w:rsid w:val="00084477"/>
    <w:rsid w:val="00084B86"/>
    <w:rsid w:val="00092958"/>
    <w:rsid w:val="000949DF"/>
    <w:rsid w:val="00095955"/>
    <w:rsid w:val="000A068B"/>
    <w:rsid w:val="000A263F"/>
    <w:rsid w:val="000A4C98"/>
    <w:rsid w:val="000A5454"/>
    <w:rsid w:val="000A7BE7"/>
    <w:rsid w:val="000B0B26"/>
    <w:rsid w:val="000B1BAC"/>
    <w:rsid w:val="000B23C6"/>
    <w:rsid w:val="000B312E"/>
    <w:rsid w:val="000B42C1"/>
    <w:rsid w:val="000B57FE"/>
    <w:rsid w:val="000B77A4"/>
    <w:rsid w:val="000B7F17"/>
    <w:rsid w:val="000C0EFA"/>
    <w:rsid w:val="000C1255"/>
    <w:rsid w:val="000C15B6"/>
    <w:rsid w:val="000D07CA"/>
    <w:rsid w:val="000D3326"/>
    <w:rsid w:val="000D463E"/>
    <w:rsid w:val="000D5A11"/>
    <w:rsid w:val="000D6F22"/>
    <w:rsid w:val="000D76DF"/>
    <w:rsid w:val="000E2D00"/>
    <w:rsid w:val="000E51CA"/>
    <w:rsid w:val="000F328A"/>
    <w:rsid w:val="000F4FC8"/>
    <w:rsid w:val="000F5557"/>
    <w:rsid w:val="000F6AED"/>
    <w:rsid w:val="000F6E28"/>
    <w:rsid w:val="000F7B32"/>
    <w:rsid w:val="001009EF"/>
    <w:rsid w:val="0010159F"/>
    <w:rsid w:val="00102C12"/>
    <w:rsid w:val="001041FB"/>
    <w:rsid w:val="001047DA"/>
    <w:rsid w:val="00104B7C"/>
    <w:rsid w:val="0010583E"/>
    <w:rsid w:val="00112222"/>
    <w:rsid w:val="001138B9"/>
    <w:rsid w:val="00114C08"/>
    <w:rsid w:val="001169D8"/>
    <w:rsid w:val="00122581"/>
    <w:rsid w:val="00122A41"/>
    <w:rsid w:val="00133B32"/>
    <w:rsid w:val="00133EB0"/>
    <w:rsid w:val="00141042"/>
    <w:rsid w:val="001415F7"/>
    <w:rsid w:val="00141B30"/>
    <w:rsid w:val="00141D8D"/>
    <w:rsid w:val="00141EDE"/>
    <w:rsid w:val="00142A76"/>
    <w:rsid w:val="00142B80"/>
    <w:rsid w:val="00146490"/>
    <w:rsid w:val="00146677"/>
    <w:rsid w:val="00147339"/>
    <w:rsid w:val="00150995"/>
    <w:rsid w:val="00156425"/>
    <w:rsid w:val="00162994"/>
    <w:rsid w:val="00165024"/>
    <w:rsid w:val="001659D7"/>
    <w:rsid w:val="00166F3D"/>
    <w:rsid w:val="00167140"/>
    <w:rsid w:val="00170F1B"/>
    <w:rsid w:val="00172944"/>
    <w:rsid w:val="00174EE1"/>
    <w:rsid w:val="00176D14"/>
    <w:rsid w:val="0017753D"/>
    <w:rsid w:val="00181AFC"/>
    <w:rsid w:val="00182507"/>
    <w:rsid w:val="001858EF"/>
    <w:rsid w:val="00191ABF"/>
    <w:rsid w:val="00192C0D"/>
    <w:rsid w:val="00194BB9"/>
    <w:rsid w:val="001A0726"/>
    <w:rsid w:val="001A4CA9"/>
    <w:rsid w:val="001A6DF9"/>
    <w:rsid w:val="001A7413"/>
    <w:rsid w:val="001B13D9"/>
    <w:rsid w:val="001B182A"/>
    <w:rsid w:val="001B2BCA"/>
    <w:rsid w:val="001C3B77"/>
    <w:rsid w:val="001C4356"/>
    <w:rsid w:val="001C7C1B"/>
    <w:rsid w:val="001D0238"/>
    <w:rsid w:val="001D09F2"/>
    <w:rsid w:val="001D385D"/>
    <w:rsid w:val="001D39AE"/>
    <w:rsid w:val="001D3D74"/>
    <w:rsid w:val="001D44FC"/>
    <w:rsid w:val="001E004B"/>
    <w:rsid w:val="001E1775"/>
    <w:rsid w:val="001E24AB"/>
    <w:rsid w:val="001E2A2B"/>
    <w:rsid w:val="001E3295"/>
    <w:rsid w:val="001E3800"/>
    <w:rsid w:val="001E7B02"/>
    <w:rsid w:val="001F01A6"/>
    <w:rsid w:val="001F63C4"/>
    <w:rsid w:val="001F68F1"/>
    <w:rsid w:val="00201A43"/>
    <w:rsid w:val="00204357"/>
    <w:rsid w:val="00204375"/>
    <w:rsid w:val="00206A3A"/>
    <w:rsid w:val="00211CDD"/>
    <w:rsid w:val="00212183"/>
    <w:rsid w:val="00212946"/>
    <w:rsid w:val="00215B4C"/>
    <w:rsid w:val="00217E9F"/>
    <w:rsid w:val="00220E3E"/>
    <w:rsid w:val="00221CE5"/>
    <w:rsid w:val="00221EE4"/>
    <w:rsid w:val="0022244D"/>
    <w:rsid w:val="00225975"/>
    <w:rsid w:val="00230081"/>
    <w:rsid w:val="00230396"/>
    <w:rsid w:val="002306FE"/>
    <w:rsid w:val="00230DEB"/>
    <w:rsid w:val="0023494F"/>
    <w:rsid w:val="00235FA1"/>
    <w:rsid w:val="00236721"/>
    <w:rsid w:val="00237245"/>
    <w:rsid w:val="002372C8"/>
    <w:rsid w:val="00237C96"/>
    <w:rsid w:val="0024148A"/>
    <w:rsid w:val="00243B64"/>
    <w:rsid w:val="0024561B"/>
    <w:rsid w:val="002519EC"/>
    <w:rsid w:val="00251E0E"/>
    <w:rsid w:val="00254CC3"/>
    <w:rsid w:val="002576FA"/>
    <w:rsid w:val="00260754"/>
    <w:rsid w:val="00264B6A"/>
    <w:rsid w:val="002703C3"/>
    <w:rsid w:val="00274603"/>
    <w:rsid w:val="0028107F"/>
    <w:rsid w:val="00283901"/>
    <w:rsid w:val="00284DE3"/>
    <w:rsid w:val="002864DB"/>
    <w:rsid w:val="00286C3D"/>
    <w:rsid w:val="00287A5D"/>
    <w:rsid w:val="002907E6"/>
    <w:rsid w:val="0029203E"/>
    <w:rsid w:val="00293292"/>
    <w:rsid w:val="002969E2"/>
    <w:rsid w:val="002A09F5"/>
    <w:rsid w:val="002A25F8"/>
    <w:rsid w:val="002A444F"/>
    <w:rsid w:val="002A471B"/>
    <w:rsid w:val="002B1669"/>
    <w:rsid w:val="002B2249"/>
    <w:rsid w:val="002B304D"/>
    <w:rsid w:val="002B4D75"/>
    <w:rsid w:val="002B75C8"/>
    <w:rsid w:val="002B7D30"/>
    <w:rsid w:val="002C01EC"/>
    <w:rsid w:val="002C1340"/>
    <w:rsid w:val="002C1543"/>
    <w:rsid w:val="002C743D"/>
    <w:rsid w:val="002D0090"/>
    <w:rsid w:val="002D00A7"/>
    <w:rsid w:val="002D267D"/>
    <w:rsid w:val="002D3ADF"/>
    <w:rsid w:val="002D4915"/>
    <w:rsid w:val="002E0C1F"/>
    <w:rsid w:val="002E1D5B"/>
    <w:rsid w:val="002E1E4C"/>
    <w:rsid w:val="002E3572"/>
    <w:rsid w:val="002E47BF"/>
    <w:rsid w:val="002E5131"/>
    <w:rsid w:val="002E67C8"/>
    <w:rsid w:val="002E77A0"/>
    <w:rsid w:val="002F0245"/>
    <w:rsid w:val="002F0F3E"/>
    <w:rsid w:val="002F1465"/>
    <w:rsid w:val="002F156D"/>
    <w:rsid w:val="002F28F4"/>
    <w:rsid w:val="002F34D8"/>
    <w:rsid w:val="002F35F7"/>
    <w:rsid w:val="002F56B6"/>
    <w:rsid w:val="002F5E94"/>
    <w:rsid w:val="003001D6"/>
    <w:rsid w:val="003010EB"/>
    <w:rsid w:val="003025FE"/>
    <w:rsid w:val="00303129"/>
    <w:rsid w:val="00304D63"/>
    <w:rsid w:val="00316F0F"/>
    <w:rsid w:val="00317D9F"/>
    <w:rsid w:val="0032745D"/>
    <w:rsid w:val="003315FA"/>
    <w:rsid w:val="00334B2A"/>
    <w:rsid w:val="0033685F"/>
    <w:rsid w:val="00341518"/>
    <w:rsid w:val="00341FE5"/>
    <w:rsid w:val="003421BD"/>
    <w:rsid w:val="00342489"/>
    <w:rsid w:val="00343360"/>
    <w:rsid w:val="00344F93"/>
    <w:rsid w:val="003470BB"/>
    <w:rsid w:val="003473EB"/>
    <w:rsid w:val="0035091F"/>
    <w:rsid w:val="00352752"/>
    <w:rsid w:val="00352CD5"/>
    <w:rsid w:val="003550CE"/>
    <w:rsid w:val="003614F1"/>
    <w:rsid w:val="00361987"/>
    <w:rsid w:val="00363C67"/>
    <w:rsid w:val="00364087"/>
    <w:rsid w:val="00365E79"/>
    <w:rsid w:val="0037037F"/>
    <w:rsid w:val="0037313F"/>
    <w:rsid w:val="003742DD"/>
    <w:rsid w:val="0037557D"/>
    <w:rsid w:val="003755A3"/>
    <w:rsid w:val="00377708"/>
    <w:rsid w:val="0037797A"/>
    <w:rsid w:val="003779AB"/>
    <w:rsid w:val="0038018F"/>
    <w:rsid w:val="00381487"/>
    <w:rsid w:val="0038626F"/>
    <w:rsid w:val="00387C0F"/>
    <w:rsid w:val="00390ED7"/>
    <w:rsid w:val="003920F0"/>
    <w:rsid w:val="00394A97"/>
    <w:rsid w:val="00395118"/>
    <w:rsid w:val="003960B9"/>
    <w:rsid w:val="003A0396"/>
    <w:rsid w:val="003A0742"/>
    <w:rsid w:val="003A181B"/>
    <w:rsid w:val="003A41B4"/>
    <w:rsid w:val="003A4446"/>
    <w:rsid w:val="003A5479"/>
    <w:rsid w:val="003B2ADA"/>
    <w:rsid w:val="003B2DD7"/>
    <w:rsid w:val="003B5B28"/>
    <w:rsid w:val="003B5F62"/>
    <w:rsid w:val="003B653C"/>
    <w:rsid w:val="003B6839"/>
    <w:rsid w:val="003B748F"/>
    <w:rsid w:val="003C5099"/>
    <w:rsid w:val="003D033F"/>
    <w:rsid w:val="003D0824"/>
    <w:rsid w:val="003D206F"/>
    <w:rsid w:val="003D264F"/>
    <w:rsid w:val="003D410A"/>
    <w:rsid w:val="003D5C81"/>
    <w:rsid w:val="003D659D"/>
    <w:rsid w:val="003D7B6D"/>
    <w:rsid w:val="003E128D"/>
    <w:rsid w:val="003E2A3D"/>
    <w:rsid w:val="003E5354"/>
    <w:rsid w:val="003E6709"/>
    <w:rsid w:val="003E7A64"/>
    <w:rsid w:val="003F005D"/>
    <w:rsid w:val="003F1804"/>
    <w:rsid w:val="003F23CD"/>
    <w:rsid w:val="003F31E1"/>
    <w:rsid w:val="003F5821"/>
    <w:rsid w:val="003F7ABF"/>
    <w:rsid w:val="00400065"/>
    <w:rsid w:val="00400EB3"/>
    <w:rsid w:val="00402D8A"/>
    <w:rsid w:val="00407A6D"/>
    <w:rsid w:val="00412EEC"/>
    <w:rsid w:val="00413516"/>
    <w:rsid w:val="004141FE"/>
    <w:rsid w:val="00416565"/>
    <w:rsid w:val="0041741C"/>
    <w:rsid w:val="00422404"/>
    <w:rsid w:val="00424053"/>
    <w:rsid w:val="0042554A"/>
    <w:rsid w:val="00425B15"/>
    <w:rsid w:val="00430F60"/>
    <w:rsid w:val="00430F84"/>
    <w:rsid w:val="00434240"/>
    <w:rsid w:val="00434610"/>
    <w:rsid w:val="00434BAF"/>
    <w:rsid w:val="00435976"/>
    <w:rsid w:val="00441BE9"/>
    <w:rsid w:val="00445095"/>
    <w:rsid w:val="00446F87"/>
    <w:rsid w:val="0045026B"/>
    <w:rsid w:val="0045290F"/>
    <w:rsid w:val="00455E8C"/>
    <w:rsid w:val="004564AA"/>
    <w:rsid w:val="00460D45"/>
    <w:rsid w:val="004616D7"/>
    <w:rsid w:val="00463E7D"/>
    <w:rsid w:val="004644CA"/>
    <w:rsid w:val="004654BC"/>
    <w:rsid w:val="00466D03"/>
    <w:rsid w:val="00467DC9"/>
    <w:rsid w:val="004705CD"/>
    <w:rsid w:val="0047309C"/>
    <w:rsid w:val="00473418"/>
    <w:rsid w:val="00474E74"/>
    <w:rsid w:val="004754DD"/>
    <w:rsid w:val="004759C9"/>
    <w:rsid w:val="00475FE8"/>
    <w:rsid w:val="00476320"/>
    <w:rsid w:val="004827F0"/>
    <w:rsid w:val="004852CA"/>
    <w:rsid w:val="00485781"/>
    <w:rsid w:val="0048709B"/>
    <w:rsid w:val="00490D76"/>
    <w:rsid w:val="004944B1"/>
    <w:rsid w:val="004947B1"/>
    <w:rsid w:val="004949FD"/>
    <w:rsid w:val="00495159"/>
    <w:rsid w:val="00495777"/>
    <w:rsid w:val="004A0421"/>
    <w:rsid w:val="004A1992"/>
    <w:rsid w:val="004A305A"/>
    <w:rsid w:val="004A3663"/>
    <w:rsid w:val="004A5C67"/>
    <w:rsid w:val="004A617A"/>
    <w:rsid w:val="004A7314"/>
    <w:rsid w:val="004B4B08"/>
    <w:rsid w:val="004B5500"/>
    <w:rsid w:val="004C0521"/>
    <w:rsid w:val="004C109E"/>
    <w:rsid w:val="004C1C59"/>
    <w:rsid w:val="004C1F01"/>
    <w:rsid w:val="004C35A8"/>
    <w:rsid w:val="004D3172"/>
    <w:rsid w:val="004E0B6D"/>
    <w:rsid w:val="004E0C94"/>
    <w:rsid w:val="004E14DF"/>
    <w:rsid w:val="004E26E1"/>
    <w:rsid w:val="004E3C0C"/>
    <w:rsid w:val="004E4641"/>
    <w:rsid w:val="004E530B"/>
    <w:rsid w:val="004E569F"/>
    <w:rsid w:val="004F0892"/>
    <w:rsid w:val="004F1FFC"/>
    <w:rsid w:val="004F331D"/>
    <w:rsid w:val="004F61CF"/>
    <w:rsid w:val="004F71FC"/>
    <w:rsid w:val="00500038"/>
    <w:rsid w:val="005043A5"/>
    <w:rsid w:val="00504C23"/>
    <w:rsid w:val="00514256"/>
    <w:rsid w:val="00520AF2"/>
    <w:rsid w:val="005217C1"/>
    <w:rsid w:val="00522334"/>
    <w:rsid w:val="0052404C"/>
    <w:rsid w:val="00524E73"/>
    <w:rsid w:val="00532541"/>
    <w:rsid w:val="005345BE"/>
    <w:rsid w:val="00534C13"/>
    <w:rsid w:val="0054123C"/>
    <w:rsid w:val="005412F9"/>
    <w:rsid w:val="0054144D"/>
    <w:rsid w:val="00543EAE"/>
    <w:rsid w:val="005449FF"/>
    <w:rsid w:val="00544D2E"/>
    <w:rsid w:val="00545126"/>
    <w:rsid w:val="00546A16"/>
    <w:rsid w:val="00547C8C"/>
    <w:rsid w:val="00550B74"/>
    <w:rsid w:val="005528A2"/>
    <w:rsid w:val="005534AE"/>
    <w:rsid w:val="005558A0"/>
    <w:rsid w:val="00556EB5"/>
    <w:rsid w:val="005618CA"/>
    <w:rsid w:val="00561CB5"/>
    <w:rsid w:val="00565028"/>
    <w:rsid w:val="005659F4"/>
    <w:rsid w:val="00566803"/>
    <w:rsid w:val="00567029"/>
    <w:rsid w:val="005729E8"/>
    <w:rsid w:val="00576724"/>
    <w:rsid w:val="00581B72"/>
    <w:rsid w:val="00582417"/>
    <w:rsid w:val="00582669"/>
    <w:rsid w:val="0058271C"/>
    <w:rsid w:val="00584E2A"/>
    <w:rsid w:val="0058611E"/>
    <w:rsid w:val="005879FF"/>
    <w:rsid w:val="00590990"/>
    <w:rsid w:val="00590C0F"/>
    <w:rsid w:val="005916D5"/>
    <w:rsid w:val="005921A1"/>
    <w:rsid w:val="00592BDE"/>
    <w:rsid w:val="00593A87"/>
    <w:rsid w:val="00596E4D"/>
    <w:rsid w:val="00597769"/>
    <w:rsid w:val="005A0EEF"/>
    <w:rsid w:val="005A109A"/>
    <w:rsid w:val="005A5EC6"/>
    <w:rsid w:val="005B0009"/>
    <w:rsid w:val="005B04A4"/>
    <w:rsid w:val="005B0847"/>
    <w:rsid w:val="005B20DE"/>
    <w:rsid w:val="005B22BF"/>
    <w:rsid w:val="005B23EA"/>
    <w:rsid w:val="005B3222"/>
    <w:rsid w:val="005B386F"/>
    <w:rsid w:val="005B535B"/>
    <w:rsid w:val="005B5734"/>
    <w:rsid w:val="005B59C5"/>
    <w:rsid w:val="005B5BCE"/>
    <w:rsid w:val="005B6BD7"/>
    <w:rsid w:val="005B7B3A"/>
    <w:rsid w:val="005B7B3D"/>
    <w:rsid w:val="005C3CFD"/>
    <w:rsid w:val="005C3F64"/>
    <w:rsid w:val="005C4DDC"/>
    <w:rsid w:val="005C51DE"/>
    <w:rsid w:val="005D04E5"/>
    <w:rsid w:val="005D0AEF"/>
    <w:rsid w:val="005D3D71"/>
    <w:rsid w:val="005D66E9"/>
    <w:rsid w:val="005E0A9D"/>
    <w:rsid w:val="005E25BD"/>
    <w:rsid w:val="005E36C4"/>
    <w:rsid w:val="005E47C5"/>
    <w:rsid w:val="005E738A"/>
    <w:rsid w:val="005F176C"/>
    <w:rsid w:val="005F1951"/>
    <w:rsid w:val="005F5025"/>
    <w:rsid w:val="005F510D"/>
    <w:rsid w:val="005F5343"/>
    <w:rsid w:val="005F6BD9"/>
    <w:rsid w:val="00600761"/>
    <w:rsid w:val="00600915"/>
    <w:rsid w:val="00600E7F"/>
    <w:rsid w:val="00605EDA"/>
    <w:rsid w:val="0060683A"/>
    <w:rsid w:val="00606CEC"/>
    <w:rsid w:val="00610B1B"/>
    <w:rsid w:val="0061335F"/>
    <w:rsid w:val="00613BC7"/>
    <w:rsid w:val="00613EBC"/>
    <w:rsid w:val="00613FFB"/>
    <w:rsid w:val="00622761"/>
    <w:rsid w:val="00622BF8"/>
    <w:rsid w:val="00623C35"/>
    <w:rsid w:val="00624942"/>
    <w:rsid w:val="00624D12"/>
    <w:rsid w:val="0062569F"/>
    <w:rsid w:val="00625EDA"/>
    <w:rsid w:val="00627B0C"/>
    <w:rsid w:val="006312FB"/>
    <w:rsid w:val="00633C52"/>
    <w:rsid w:val="00634426"/>
    <w:rsid w:val="006355F2"/>
    <w:rsid w:val="00640F81"/>
    <w:rsid w:val="006424C6"/>
    <w:rsid w:val="00645ABF"/>
    <w:rsid w:val="00650A50"/>
    <w:rsid w:val="0065110C"/>
    <w:rsid w:val="00652543"/>
    <w:rsid w:val="00653E3B"/>
    <w:rsid w:val="006560AA"/>
    <w:rsid w:val="006565F5"/>
    <w:rsid w:val="00657703"/>
    <w:rsid w:val="00657955"/>
    <w:rsid w:val="006610F7"/>
    <w:rsid w:val="00661DFA"/>
    <w:rsid w:val="00661F79"/>
    <w:rsid w:val="00665457"/>
    <w:rsid w:val="00665AD7"/>
    <w:rsid w:val="00666065"/>
    <w:rsid w:val="006715CA"/>
    <w:rsid w:val="00673E5E"/>
    <w:rsid w:val="00677848"/>
    <w:rsid w:val="00684997"/>
    <w:rsid w:val="00687B2A"/>
    <w:rsid w:val="00690DFA"/>
    <w:rsid w:val="00691280"/>
    <w:rsid w:val="006939B9"/>
    <w:rsid w:val="0069762A"/>
    <w:rsid w:val="00697C81"/>
    <w:rsid w:val="006B1AC2"/>
    <w:rsid w:val="006B3495"/>
    <w:rsid w:val="006B786D"/>
    <w:rsid w:val="006B7963"/>
    <w:rsid w:val="006C2052"/>
    <w:rsid w:val="006C3246"/>
    <w:rsid w:val="006C4E23"/>
    <w:rsid w:val="006C5641"/>
    <w:rsid w:val="006C5739"/>
    <w:rsid w:val="006D11B9"/>
    <w:rsid w:val="006D49AD"/>
    <w:rsid w:val="006D513D"/>
    <w:rsid w:val="006D6373"/>
    <w:rsid w:val="006D70A1"/>
    <w:rsid w:val="006E2155"/>
    <w:rsid w:val="006E3F3C"/>
    <w:rsid w:val="006F273A"/>
    <w:rsid w:val="006F4774"/>
    <w:rsid w:val="006F76AE"/>
    <w:rsid w:val="007003D5"/>
    <w:rsid w:val="00701605"/>
    <w:rsid w:val="007016F5"/>
    <w:rsid w:val="00703C2C"/>
    <w:rsid w:val="00705566"/>
    <w:rsid w:val="0070696D"/>
    <w:rsid w:val="00707D98"/>
    <w:rsid w:val="007109B1"/>
    <w:rsid w:val="00711B7F"/>
    <w:rsid w:val="00713BBA"/>
    <w:rsid w:val="00721A59"/>
    <w:rsid w:val="007236AC"/>
    <w:rsid w:val="00723DD8"/>
    <w:rsid w:val="0072567D"/>
    <w:rsid w:val="00726DD7"/>
    <w:rsid w:val="007310EE"/>
    <w:rsid w:val="00731E34"/>
    <w:rsid w:val="00733EAB"/>
    <w:rsid w:val="00736A47"/>
    <w:rsid w:val="0074056C"/>
    <w:rsid w:val="00741FE6"/>
    <w:rsid w:val="007431C6"/>
    <w:rsid w:val="00743396"/>
    <w:rsid w:val="0074572E"/>
    <w:rsid w:val="00745F4E"/>
    <w:rsid w:val="0074662C"/>
    <w:rsid w:val="00747A22"/>
    <w:rsid w:val="00750BF3"/>
    <w:rsid w:val="0075191C"/>
    <w:rsid w:val="007536CE"/>
    <w:rsid w:val="00757509"/>
    <w:rsid w:val="00764167"/>
    <w:rsid w:val="00764279"/>
    <w:rsid w:val="007702B9"/>
    <w:rsid w:val="00774048"/>
    <w:rsid w:val="007742FF"/>
    <w:rsid w:val="0077440A"/>
    <w:rsid w:val="00775817"/>
    <w:rsid w:val="00775EC0"/>
    <w:rsid w:val="007774F0"/>
    <w:rsid w:val="00780647"/>
    <w:rsid w:val="00780D21"/>
    <w:rsid w:val="00781E28"/>
    <w:rsid w:val="0078401D"/>
    <w:rsid w:val="00785BBA"/>
    <w:rsid w:val="00786481"/>
    <w:rsid w:val="00791901"/>
    <w:rsid w:val="0079483C"/>
    <w:rsid w:val="007952AA"/>
    <w:rsid w:val="00796191"/>
    <w:rsid w:val="007A0609"/>
    <w:rsid w:val="007A1657"/>
    <w:rsid w:val="007A22CA"/>
    <w:rsid w:val="007A38D2"/>
    <w:rsid w:val="007A44DB"/>
    <w:rsid w:val="007A687E"/>
    <w:rsid w:val="007A7C7B"/>
    <w:rsid w:val="007A7E4A"/>
    <w:rsid w:val="007B12F7"/>
    <w:rsid w:val="007B284E"/>
    <w:rsid w:val="007B35C9"/>
    <w:rsid w:val="007C1A34"/>
    <w:rsid w:val="007C1F2B"/>
    <w:rsid w:val="007C4183"/>
    <w:rsid w:val="007C4E3F"/>
    <w:rsid w:val="007C4F9A"/>
    <w:rsid w:val="007C53E2"/>
    <w:rsid w:val="007C6C84"/>
    <w:rsid w:val="007C7D04"/>
    <w:rsid w:val="007D0A8D"/>
    <w:rsid w:val="007D0F35"/>
    <w:rsid w:val="007D1EDF"/>
    <w:rsid w:val="007D2BB7"/>
    <w:rsid w:val="007D5CB2"/>
    <w:rsid w:val="007E0109"/>
    <w:rsid w:val="007E0E6E"/>
    <w:rsid w:val="007E14F9"/>
    <w:rsid w:val="007E19B6"/>
    <w:rsid w:val="007E2116"/>
    <w:rsid w:val="007E382F"/>
    <w:rsid w:val="007E5BEA"/>
    <w:rsid w:val="007F19D0"/>
    <w:rsid w:val="007F5529"/>
    <w:rsid w:val="007F62C7"/>
    <w:rsid w:val="007F6D12"/>
    <w:rsid w:val="007F797F"/>
    <w:rsid w:val="008008D2"/>
    <w:rsid w:val="0080542C"/>
    <w:rsid w:val="00806212"/>
    <w:rsid w:val="008062CD"/>
    <w:rsid w:val="00814C0F"/>
    <w:rsid w:val="00815F4C"/>
    <w:rsid w:val="00816E65"/>
    <w:rsid w:val="00817B86"/>
    <w:rsid w:val="008209D3"/>
    <w:rsid w:val="00823F63"/>
    <w:rsid w:val="00827503"/>
    <w:rsid w:val="00830D86"/>
    <w:rsid w:val="0083425F"/>
    <w:rsid w:val="0084251B"/>
    <w:rsid w:val="0084256D"/>
    <w:rsid w:val="0084341B"/>
    <w:rsid w:val="00843E6C"/>
    <w:rsid w:val="00847B10"/>
    <w:rsid w:val="00851EA9"/>
    <w:rsid w:val="00853188"/>
    <w:rsid w:val="00857EF7"/>
    <w:rsid w:val="008649CF"/>
    <w:rsid w:val="00867D7C"/>
    <w:rsid w:val="0087070F"/>
    <w:rsid w:val="00872847"/>
    <w:rsid w:val="00872B7F"/>
    <w:rsid w:val="00872C7F"/>
    <w:rsid w:val="00873859"/>
    <w:rsid w:val="008769D0"/>
    <w:rsid w:val="00877EB6"/>
    <w:rsid w:val="00880556"/>
    <w:rsid w:val="00880A46"/>
    <w:rsid w:val="00880C33"/>
    <w:rsid w:val="00884635"/>
    <w:rsid w:val="00887356"/>
    <w:rsid w:val="00887417"/>
    <w:rsid w:val="00890984"/>
    <w:rsid w:val="00890EEE"/>
    <w:rsid w:val="008924A3"/>
    <w:rsid w:val="00894292"/>
    <w:rsid w:val="00896423"/>
    <w:rsid w:val="00897747"/>
    <w:rsid w:val="00897C2E"/>
    <w:rsid w:val="008A16DF"/>
    <w:rsid w:val="008A29EE"/>
    <w:rsid w:val="008A5C6F"/>
    <w:rsid w:val="008A6D25"/>
    <w:rsid w:val="008B0B53"/>
    <w:rsid w:val="008B2722"/>
    <w:rsid w:val="008B68AE"/>
    <w:rsid w:val="008C3FB8"/>
    <w:rsid w:val="008C7C49"/>
    <w:rsid w:val="008D06F2"/>
    <w:rsid w:val="008D0A90"/>
    <w:rsid w:val="008D102D"/>
    <w:rsid w:val="008D1D70"/>
    <w:rsid w:val="008D25AA"/>
    <w:rsid w:val="008D5CE9"/>
    <w:rsid w:val="008E1A50"/>
    <w:rsid w:val="008E2D51"/>
    <w:rsid w:val="008E32CE"/>
    <w:rsid w:val="008E33F5"/>
    <w:rsid w:val="008E57D9"/>
    <w:rsid w:val="008E5A7B"/>
    <w:rsid w:val="008F26F3"/>
    <w:rsid w:val="008F2FEF"/>
    <w:rsid w:val="008F3A57"/>
    <w:rsid w:val="008F4F85"/>
    <w:rsid w:val="008F6C78"/>
    <w:rsid w:val="00900D50"/>
    <w:rsid w:val="00900EA8"/>
    <w:rsid w:val="00903E70"/>
    <w:rsid w:val="009051F6"/>
    <w:rsid w:val="0091063C"/>
    <w:rsid w:val="00910EA8"/>
    <w:rsid w:val="0091123A"/>
    <w:rsid w:val="00911F6F"/>
    <w:rsid w:val="00913250"/>
    <w:rsid w:val="00913E6E"/>
    <w:rsid w:val="00914364"/>
    <w:rsid w:val="009147B4"/>
    <w:rsid w:val="00917E05"/>
    <w:rsid w:val="00922A27"/>
    <w:rsid w:val="0092424B"/>
    <w:rsid w:val="009254D1"/>
    <w:rsid w:val="00926552"/>
    <w:rsid w:val="009305A4"/>
    <w:rsid w:val="00930679"/>
    <w:rsid w:val="00932445"/>
    <w:rsid w:val="009337D1"/>
    <w:rsid w:val="00935641"/>
    <w:rsid w:val="00935F00"/>
    <w:rsid w:val="009370B6"/>
    <w:rsid w:val="00937625"/>
    <w:rsid w:val="009445B4"/>
    <w:rsid w:val="00944BF2"/>
    <w:rsid w:val="00944CBE"/>
    <w:rsid w:val="00945982"/>
    <w:rsid w:val="00946AFD"/>
    <w:rsid w:val="00947096"/>
    <w:rsid w:val="00950387"/>
    <w:rsid w:val="00951AD9"/>
    <w:rsid w:val="00952A47"/>
    <w:rsid w:val="00954D5B"/>
    <w:rsid w:val="00957890"/>
    <w:rsid w:val="0096050E"/>
    <w:rsid w:val="0096070D"/>
    <w:rsid w:val="00964664"/>
    <w:rsid w:val="00970DD6"/>
    <w:rsid w:val="009711AF"/>
    <w:rsid w:val="0097271F"/>
    <w:rsid w:val="00973875"/>
    <w:rsid w:val="00976B2C"/>
    <w:rsid w:val="009825D4"/>
    <w:rsid w:val="0099009D"/>
    <w:rsid w:val="00993ACB"/>
    <w:rsid w:val="009940DD"/>
    <w:rsid w:val="00996D7A"/>
    <w:rsid w:val="009A49F5"/>
    <w:rsid w:val="009A6C2F"/>
    <w:rsid w:val="009A78D3"/>
    <w:rsid w:val="009B132E"/>
    <w:rsid w:val="009B270C"/>
    <w:rsid w:val="009B2BD0"/>
    <w:rsid w:val="009B3F00"/>
    <w:rsid w:val="009B477D"/>
    <w:rsid w:val="009B5140"/>
    <w:rsid w:val="009B5FAB"/>
    <w:rsid w:val="009B6720"/>
    <w:rsid w:val="009B6C00"/>
    <w:rsid w:val="009B73D9"/>
    <w:rsid w:val="009C0CD8"/>
    <w:rsid w:val="009C1994"/>
    <w:rsid w:val="009C1C70"/>
    <w:rsid w:val="009C2AC2"/>
    <w:rsid w:val="009C2CF8"/>
    <w:rsid w:val="009C4871"/>
    <w:rsid w:val="009C49EF"/>
    <w:rsid w:val="009C5862"/>
    <w:rsid w:val="009C759A"/>
    <w:rsid w:val="009C7C8A"/>
    <w:rsid w:val="009D0361"/>
    <w:rsid w:val="009D1800"/>
    <w:rsid w:val="009D1C33"/>
    <w:rsid w:val="009D1F15"/>
    <w:rsid w:val="009D4A2A"/>
    <w:rsid w:val="009E20B8"/>
    <w:rsid w:val="009E293C"/>
    <w:rsid w:val="009E3A01"/>
    <w:rsid w:val="009E509F"/>
    <w:rsid w:val="009E78BD"/>
    <w:rsid w:val="009E79FD"/>
    <w:rsid w:val="009F0AC1"/>
    <w:rsid w:val="009F4590"/>
    <w:rsid w:val="009F4F4F"/>
    <w:rsid w:val="009F5D41"/>
    <w:rsid w:val="009F610E"/>
    <w:rsid w:val="009F7991"/>
    <w:rsid w:val="00A003BA"/>
    <w:rsid w:val="00A02D95"/>
    <w:rsid w:val="00A0352D"/>
    <w:rsid w:val="00A04F30"/>
    <w:rsid w:val="00A0648D"/>
    <w:rsid w:val="00A07033"/>
    <w:rsid w:val="00A078A3"/>
    <w:rsid w:val="00A10D64"/>
    <w:rsid w:val="00A11B6B"/>
    <w:rsid w:val="00A1205F"/>
    <w:rsid w:val="00A17100"/>
    <w:rsid w:val="00A178A7"/>
    <w:rsid w:val="00A17F83"/>
    <w:rsid w:val="00A21DC8"/>
    <w:rsid w:val="00A23233"/>
    <w:rsid w:val="00A243D7"/>
    <w:rsid w:val="00A24683"/>
    <w:rsid w:val="00A249D9"/>
    <w:rsid w:val="00A27220"/>
    <w:rsid w:val="00A274BA"/>
    <w:rsid w:val="00A30E09"/>
    <w:rsid w:val="00A3221E"/>
    <w:rsid w:val="00A357CB"/>
    <w:rsid w:val="00A37A87"/>
    <w:rsid w:val="00A440BC"/>
    <w:rsid w:val="00A462F6"/>
    <w:rsid w:val="00A468E0"/>
    <w:rsid w:val="00A51118"/>
    <w:rsid w:val="00A51BFD"/>
    <w:rsid w:val="00A5318F"/>
    <w:rsid w:val="00A536B3"/>
    <w:rsid w:val="00A54DF6"/>
    <w:rsid w:val="00A570EA"/>
    <w:rsid w:val="00A6296A"/>
    <w:rsid w:val="00A6318B"/>
    <w:rsid w:val="00A63BA7"/>
    <w:rsid w:val="00A647C0"/>
    <w:rsid w:val="00A65050"/>
    <w:rsid w:val="00A65BB4"/>
    <w:rsid w:val="00A6671C"/>
    <w:rsid w:val="00A66B7F"/>
    <w:rsid w:val="00A67736"/>
    <w:rsid w:val="00A7024A"/>
    <w:rsid w:val="00A71095"/>
    <w:rsid w:val="00A72477"/>
    <w:rsid w:val="00A73B42"/>
    <w:rsid w:val="00A75EE2"/>
    <w:rsid w:val="00A80466"/>
    <w:rsid w:val="00A80CC7"/>
    <w:rsid w:val="00A82ACA"/>
    <w:rsid w:val="00A83220"/>
    <w:rsid w:val="00A83722"/>
    <w:rsid w:val="00A837A2"/>
    <w:rsid w:val="00A845AA"/>
    <w:rsid w:val="00A84F8D"/>
    <w:rsid w:val="00A866C7"/>
    <w:rsid w:val="00A86F88"/>
    <w:rsid w:val="00A913DA"/>
    <w:rsid w:val="00A936B3"/>
    <w:rsid w:val="00A95587"/>
    <w:rsid w:val="00A96CA7"/>
    <w:rsid w:val="00A9738C"/>
    <w:rsid w:val="00AA0288"/>
    <w:rsid w:val="00AA161B"/>
    <w:rsid w:val="00AA1D72"/>
    <w:rsid w:val="00AA34B9"/>
    <w:rsid w:val="00AA6FC0"/>
    <w:rsid w:val="00AB00A5"/>
    <w:rsid w:val="00AB189D"/>
    <w:rsid w:val="00AB318E"/>
    <w:rsid w:val="00AB5E36"/>
    <w:rsid w:val="00AB6773"/>
    <w:rsid w:val="00AB7B43"/>
    <w:rsid w:val="00AC4200"/>
    <w:rsid w:val="00AC66B5"/>
    <w:rsid w:val="00AC71D3"/>
    <w:rsid w:val="00AC741F"/>
    <w:rsid w:val="00AD0148"/>
    <w:rsid w:val="00AD0D38"/>
    <w:rsid w:val="00AD1804"/>
    <w:rsid w:val="00AE082A"/>
    <w:rsid w:val="00AE12E2"/>
    <w:rsid w:val="00AE253A"/>
    <w:rsid w:val="00AE611C"/>
    <w:rsid w:val="00AE7A74"/>
    <w:rsid w:val="00AF0FC5"/>
    <w:rsid w:val="00B00A84"/>
    <w:rsid w:val="00B00B53"/>
    <w:rsid w:val="00B03EE8"/>
    <w:rsid w:val="00B05916"/>
    <w:rsid w:val="00B07370"/>
    <w:rsid w:val="00B07DC6"/>
    <w:rsid w:val="00B11885"/>
    <w:rsid w:val="00B11DE4"/>
    <w:rsid w:val="00B13237"/>
    <w:rsid w:val="00B16223"/>
    <w:rsid w:val="00B177F3"/>
    <w:rsid w:val="00B20FCC"/>
    <w:rsid w:val="00B211BE"/>
    <w:rsid w:val="00B21E6D"/>
    <w:rsid w:val="00B22E95"/>
    <w:rsid w:val="00B26382"/>
    <w:rsid w:val="00B26BAA"/>
    <w:rsid w:val="00B27562"/>
    <w:rsid w:val="00B27D38"/>
    <w:rsid w:val="00B30AB1"/>
    <w:rsid w:val="00B3124B"/>
    <w:rsid w:val="00B32113"/>
    <w:rsid w:val="00B339D6"/>
    <w:rsid w:val="00B47AD7"/>
    <w:rsid w:val="00B502C5"/>
    <w:rsid w:val="00B521AF"/>
    <w:rsid w:val="00B5304B"/>
    <w:rsid w:val="00B53CD9"/>
    <w:rsid w:val="00B601E2"/>
    <w:rsid w:val="00B62311"/>
    <w:rsid w:val="00B6472E"/>
    <w:rsid w:val="00B651DC"/>
    <w:rsid w:val="00B65C17"/>
    <w:rsid w:val="00B71BFF"/>
    <w:rsid w:val="00B7503B"/>
    <w:rsid w:val="00B761FE"/>
    <w:rsid w:val="00B80E02"/>
    <w:rsid w:val="00B80F96"/>
    <w:rsid w:val="00B83BBD"/>
    <w:rsid w:val="00B84A35"/>
    <w:rsid w:val="00B85968"/>
    <w:rsid w:val="00B90BF8"/>
    <w:rsid w:val="00B910FF"/>
    <w:rsid w:val="00B94913"/>
    <w:rsid w:val="00BA215A"/>
    <w:rsid w:val="00BA2F6E"/>
    <w:rsid w:val="00BA69A4"/>
    <w:rsid w:val="00BB4735"/>
    <w:rsid w:val="00BB5532"/>
    <w:rsid w:val="00BC0094"/>
    <w:rsid w:val="00BC15EC"/>
    <w:rsid w:val="00BC5811"/>
    <w:rsid w:val="00BC76F3"/>
    <w:rsid w:val="00BD4104"/>
    <w:rsid w:val="00BD5A5B"/>
    <w:rsid w:val="00BD7892"/>
    <w:rsid w:val="00BE0AEE"/>
    <w:rsid w:val="00BE1932"/>
    <w:rsid w:val="00BE632C"/>
    <w:rsid w:val="00BE7D2C"/>
    <w:rsid w:val="00BF186D"/>
    <w:rsid w:val="00BF40C2"/>
    <w:rsid w:val="00BF4155"/>
    <w:rsid w:val="00BF4BAA"/>
    <w:rsid w:val="00BF5283"/>
    <w:rsid w:val="00BF53DC"/>
    <w:rsid w:val="00BF6906"/>
    <w:rsid w:val="00C0080A"/>
    <w:rsid w:val="00C0219A"/>
    <w:rsid w:val="00C026F5"/>
    <w:rsid w:val="00C04CC5"/>
    <w:rsid w:val="00C05011"/>
    <w:rsid w:val="00C064A6"/>
    <w:rsid w:val="00C06DA6"/>
    <w:rsid w:val="00C07C8D"/>
    <w:rsid w:val="00C10A62"/>
    <w:rsid w:val="00C1201F"/>
    <w:rsid w:val="00C127B3"/>
    <w:rsid w:val="00C159D2"/>
    <w:rsid w:val="00C204A3"/>
    <w:rsid w:val="00C2124C"/>
    <w:rsid w:val="00C221AE"/>
    <w:rsid w:val="00C27326"/>
    <w:rsid w:val="00C32458"/>
    <w:rsid w:val="00C3301F"/>
    <w:rsid w:val="00C3476B"/>
    <w:rsid w:val="00C355A4"/>
    <w:rsid w:val="00C41368"/>
    <w:rsid w:val="00C4249B"/>
    <w:rsid w:val="00C42AB1"/>
    <w:rsid w:val="00C44B0F"/>
    <w:rsid w:val="00C4513A"/>
    <w:rsid w:val="00C4534B"/>
    <w:rsid w:val="00C4662C"/>
    <w:rsid w:val="00C46725"/>
    <w:rsid w:val="00C479AD"/>
    <w:rsid w:val="00C50788"/>
    <w:rsid w:val="00C51208"/>
    <w:rsid w:val="00C54472"/>
    <w:rsid w:val="00C577C7"/>
    <w:rsid w:val="00C57B4D"/>
    <w:rsid w:val="00C619A8"/>
    <w:rsid w:val="00C66963"/>
    <w:rsid w:val="00C70055"/>
    <w:rsid w:val="00C7137A"/>
    <w:rsid w:val="00C71530"/>
    <w:rsid w:val="00C7188F"/>
    <w:rsid w:val="00C73BE0"/>
    <w:rsid w:val="00C750BA"/>
    <w:rsid w:val="00C75E08"/>
    <w:rsid w:val="00C7664C"/>
    <w:rsid w:val="00C84551"/>
    <w:rsid w:val="00C8611A"/>
    <w:rsid w:val="00C8736D"/>
    <w:rsid w:val="00C875C1"/>
    <w:rsid w:val="00C87AA9"/>
    <w:rsid w:val="00C901D3"/>
    <w:rsid w:val="00C904EC"/>
    <w:rsid w:val="00C92AD8"/>
    <w:rsid w:val="00C934CA"/>
    <w:rsid w:val="00C94052"/>
    <w:rsid w:val="00C954ED"/>
    <w:rsid w:val="00C95C98"/>
    <w:rsid w:val="00CA0F3D"/>
    <w:rsid w:val="00CA264F"/>
    <w:rsid w:val="00CA2C87"/>
    <w:rsid w:val="00CA6221"/>
    <w:rsid w:val="00CB2588"/>
    <w:rsid w:val="00CB454E"/>
    <w:rsid w:val="00CB477D"/>
    <w:rsid w:val="00CB4C4B"/>
    <w:rsid w:val="00CB5561"/>
    <w:rsid w:val="00CB7C0B"/>
    <w:rsid w:val="00CC16C7"/>
    <w:rsid w:val="00CC22B1"/>
    <w:rsid w:val="00CC4225"/>
    <w:rsid w:val="00CC4BB1"/>
    <w:rsid w:val="00CC5CE3"/>
    <w:rsid w:val="00CC66FD"/>
    <w:rsid w:val="00CD12DC"/>
    <w:rsid w:val="00CD1A02"/>
    <w:rsid w:val="00CD4F33"/>
    <w:rsid w:val="00CD5417"/>
    <w:rsid w:val="00CD6CF7"/>
    <w:rsid w:val="00CE027F"/>
    <w:rsid w:val="00CE0BED"/>
    <w:rsid w:val="00CE328A"/>
    <w:rsid w:val="00CE4380"/>
    <w:rsid w:val="00CF1ECF"/>
    <w:rsid w:val="00CF343C"/>
    <w:rsid w:val="00CF3D14"/>
    <w:rsid w:val="00CF4F07"/>
    <w:rsid w:val="00CF5999"/>
    <w:rsid w:val="00CF75C8"/>
    <w:rsid w:val="00D00B03"/>
    <w:rsid w:val="00D034DC"/>
    <w:rsid w:val="00D05391"/>
    <w:rsid w:val="00D068BD"/>
    <w:rsid w:val="00D10B9F"/>
    <w:rsid w:val="00D15C83"/>
    <w:rsid w:val="00D173A7"/>
    <w:rsid w:val="00D17B4D"/>
    <w:rsid w:val="00D20F5F"/>
    <w:rsid w:val="00D24D8F"/>
    <w:rsid w:val="00D26884"/>
    <w:rsid w:val="00D301C7"/>
    <w:rsid w:val="00D303F2"/>
    <w:rsid w:val="00D33D5C"/>
    <w:rsid w:val="00D33D87"/>
    <w:rsid w:val="00D35D0D"/>
    <w:rsid w:val="00D35ED5"/>
    <w:rsid w:val="00D36AAD"/>
    <w:rsid w:val="00D42934"/>
    <w:rsid w:val="00D47D20"/>
    <w:rsid w:val="00D52CFB"/>
    <w:rsid w:val="00D534F6"/>
    <w:rsid w:val="00D538BF"/>
    <w:rsid w:val="00D53908"/>
    <w:rsid w:val="00D53999"/>
    <w:rsid w:val="00D55B3A"/>
    <w:rsid w:val="00D5674C"/>
    <w:rsid w:val="00D57BCE"/>
    <w:rsid w:val="00D66066"/>
    <w:rsid w:val="00D66A80"/>
    <w:rsid w:val="00D7085D"/>
    <w:rsid w:val="00D743B4"/>
    <w:rsid w:val="00D746E8"/>
    <w:rsid w:val="00D74B5E"/>
    <w:rsid w:val="00D75412"/>
    <w:rsid w:val="00D7577D"/>
    <w:rsid w:val="00D764DE"/>
    <w:rsid w:val="00D77F3D"/>
    <w:rsid w:val="00D808AD"/>
    <w:rsid w:val="00D80A96"/>
    <w:rsid w:val="00D82EB0"/>
    <w:rsid w:val="00D8389E"/>
    <w:rsid w:val="00DA37A5"/>
    <w:rsid w:val="00DA44AF"/>
    <w:rsid w:val="00DA4DA8"/>
    <w:rsid w:val="00DA6F1C"/>
    <w:rsid w:val="00DA7EB7"/>
    <w:rsid w:val="00DB11A3"/>
    <w:rsid w:val="00DB12BC"/>
    <w:rsid w:val="00DB1844"/>
    <w:rsid w:val="00DB4FDA"/>
    <w:rsid w:val="00DB5B74"/>
    <w:rsid w:val="00DC2CDB"/>
    <w:rsid w:val="00DC73C0"/>
    <w:rsid w:val="00DD0DFF"/>
    <w:rsid w:val="00DD1296"/>
    <w:rsid w:val="00DD318E"/>
    <w:rsid w:val="00DD4028"/>
    <w:rsid w:val="00DD5B85"/>
    <w:rsid w:val="00DE262E"/>
    <w:rsid w:val="00DE360C"/>
    <w:rsid w:val="00DE3854"/>
    <w:rsid w:val="00DE38FE"/>
    <w:rsid w:val="00DE3B59"/>
    <w:rsid w:val="00DE62CA"/>
    <w:rsid w:val="00DE6689"/>
    <w:rsid w:val="00DE76B2"/>
    <w:rsid w:val="00DF5CAB"/>
    <w:rsid w:val="00DF67E0"/>
    <w:rsid w:val="00E00F4A"/>
    <w:rsid w:val="00E0143D"/>
    <w:rsid w:val="00E02165"/>
    <w:rsid w:val="00E02316"/>
    <w:rsid w:val="00E0238F"/>
    <w:rsid w:val="00E0467D"/>
    <w:rsid w:val="00E07E64"/>
    <w:rsid w:val="00E1326B"/>
    <w:rsid w:val="00E14595"/>
    <w:rsid w:val="00E160C8"/>
    <w:rsid w:val="00E20803"/>
    <w:rsid w:val="00E22DD0"/>
    <w:rsid w:val="00E26BE4"/>
    <w:rsid w:val="00E30180"/>
    <w:rsid w:val="00E30B55"/>
    <w:rsid w:val="00E31708"/>
    <w:rsid w:val="00E326FF"/>
    <w:rsid w:val="00E32ED0"/>
    <w:rsid w:val="00E33FDE"/>
    <w:rsid w:val="00E3501B"/>
    <w:rsid w:val="00E37E02"/>
    <w:rsid w:val="00E401C0"/>
    <w:rsid w:val="00E45EA6"/>
    <w:rsid w:val="00E4783B"/>
    <w:rsid w:val="00E47F57"/>
    <w:rsid w:val="00E509CF"/>
    <w:rsid w:val="00E5283E"/>
    <w:rsid w:val="00E5513A"/>
    <w:rsid w:val="00E55E26"/>
    <w:rsid w:val="00E5641A"/>
    <w:rsid w:val="00E6020E"/>
    <w:rsid w:val="00E61B2E"/>
    <w:rsid w:val="00E6200A"/>
    <w:rsid w:val="00E6215C"/>
    <w:rsid w:val="00E6231B"/>
    <w:rsid w:val="00E6249E"/>
    <w:rsid w:val="00E641A9"/>
    <w:rsid w:val="00E65235"/>
    <w:rsid w:val="00E65681"/>
    <w:rsid w:val="00E676C1"/>
    <w:rsid w:val="00E70A24"/>
    <w:rsid w:val="00E70D79"/>
    <w:rsid w:val="00E721F2"/>
    <w:rsid w:val="00E72F67"/>
    <w:rsid w:val="00E74307"/>
    <w:rsid w:val="00E74682"/>
    <w:rsid w:val="00E764E4"/>
    <w:rsid w:val="00E767F1"/>
    <w:rsid w:val="00E80907"/>
    <w:rsid w:val="00E82519"/>
    <w:rsid w:val="00E906B2"/>
    <w:rsid w:val="00E915FA"/>
    <w:rsid w:val="00E93260"/>
    <w:rsid w:val="00E95EA9"/>
    <w:rsid w:val="00E96D5F"/>
    <w:rsid w:val="00E97FC9"/>
    <w:rsid w:val="00EA0701"/>
    <w:rsid w:val="00EA1015"/>
    <w:rsid w:val="00EA1810"/>
    <w:rsid w:val="00EA3025"/>
    <w:rsid w:val="00EA715E"/>
    <w:rsid w:val="00EB3E2B"/>
    <w:rsid w:val="00EB49B3"/>
    <w:rsid w:val="00EB4D67"/>
    <w:rsid w:val="00EC06D8"/>
    <w:rsid w:val="00EC1171"/>
    <w:rsid w:val="00EC231F"/>
    <w:rsid w:val="00EC2F2C"/>
    <w:rsid w:val="00EC42E3"/>
    <w:rsid w:val="00EC6860"/>
    <w:rsid w:val="00EC729F"/>
    <w:rsid w:val="00EC74E8"/>
    <w:rsid w:val="00ED0FA5"/>
    <w:rsid w:val="00ED0FF2"/>
    <w:rsid w:val="00ED1CA7"/>
    <w:rsid w:val="00ED2221"/>
    <w:rsid w:val="00ED2CC7"/>
    <w:rsid w:val="00EE1034"/>
    <w:rsid w:val="00EE231F"/>
    <w:rsid w:val="00EE5FD1"/>
    <w:rsid w:val="00EE778B"/>
    <w:rsid w:val="00EE7B6F"/>
    <w:rsid w:val="00EF13B3"/>
    <w:rsid w:val="00EF28F3"/>
    <w:rsid w:val="00EF360C"/>
    <w:rsid w:val="00EF46D4"/>
    <w:rsid w:val="00EF6871"/>
    <w:rsid w:val="00EF6F1C"/>
    <w:rsid w:val="00F00A77"/>
    <w:rsid w:val="00F021F8"/>
    <w:rsid w:val="00F0243A"/>
    <w:rsid w:val="00F02EEE"/>
    <w:rsid w:val="00F03985"/>
    <w:rsid w:val="00F06279"/>
    <w:rsid w:val="00F1015E"/>
    <w:rsid w:val="00F1300D"/>
    <w:rsid w:val="00F16378"/>
    <w:rsid w:val="00F177EC"/>
    <w:rsid w:val="00F21996"/>
    <w:rsid w:val="00F21F44"/>
    <w:rsid w:val="00F23772"/>
    <w:rsid w:val="00F26BDA"/>
    <w:rsid w:val="00F30E48"/>
    <w:rsid w:val="00F320CC"/>
    <w:rsid w:val="00F357F9"/>
    <w:rsid w:val="00F4034D"/>
    <w:rsid w:val="00F4250C"/>
    <w:rsid w:val="00F429AE"/>
    <w:rsid w:val="00F42B60"/>
    <w:rsid w:val="00F536FE"/>
    <w:rsid w:val="00F55AB0"/>
    <w:rsid w:val="00F56822"/>
    <w:rsid w:val="00F6003B"/>
    <w:rsid w:val="00F60837"/>
    <w:rsid w:val="00F63BFF"/>
    <w:rsid w:val="00F65829"/>
    <w:rsid w:val="00F716DA"/>
    <w:rsid w:val="00F81AD9"/>
    <w:rsid w:val="00F81D22"/>
    <w:rsid w:val="00F82AAA"/>
    <w:rsid w:val="00F83119"/>
    <w:rsid w:val="00F84CB4"/>
    <w:rsid w:val="00F874FD"/>
    <w:rsid w:val="00F87A96"/>
    <w:rsid w:val="00F93171"/>
    <w:rsid w:val="00F93408"/>
    <w:rsid w:val="00F941A1"/>
    <w:rsid w:val="00F952D7"/>
    <w:rsid w:val="00F96FA2"/>
    <w:rsid w:val="00FA2322"/>
    <w:rsid w:val="00FA24D5"/>
    <w:rsid w:val="00FA264A"/>
    <w:rsid w:val="00FA3CAF"/>
    <w:rsid w:val="00FA5087"/>
    <w:rsid w:val="00FA6866"/>
    <w:rsid w:val="00FB17B6"/>
    <w:rsid w:val="00FB309F"/>
    <w:rsid w:val="00FB5CA9"/>
    <w:rsid w:val="00FB6720"/>
    <w:rsid w:val="00FB7A4D"/>
    <w:rsid w:val="00FC232C"/>
    <w:rsid w:val="00FC485F"/>
    <w:rsid w:val="00FC4AD3"/>
    <w:rsid w:val="00FD0262"/>
    <w:rsid w:val="00FD0897"/>
    <w:rsid w:val="00FD3B5B"/>
    <w:rsid w:val="00FD471A"/>
    <w:rsid w:val="00FD4EC1"/>
    <w:rsid w:val="00FD7F8B"/>
    <w:rsid w:val="00FF6D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C37933"/>
  <w15:docId w15:val="{DC50066F-D1D2-4604-B920-1763A1276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4E8"/>
    <w:rPr>
      <w:rFonts w:ascii="Calibri" w:eastAsia="Calibri" w:hAnsi="Calibri" w:cs="Arial"/>
      <w:kern w:val="0"/>
      <w:lang w:val="en-GB"/>
      <w14:ligatures w14:val="none"/>
    </w:rPr>
  </w:style>
  <w:style w:type="paragraph" w:styleId="Heading1">
    <w:name w:val="heading 1"/>
    <w:basedOn w:val="Normal"/>
    <w:next w:val="Normal"/>
    <w:link w:val="Heading1Char"/>
    <w:uiPriority w:val="9"/>
    <w:qFormat/>
    <w:rsid w:val="00EC74E8"/>
    <w:pPr>
      <w:keepNext/>
      <w:keepLines/>
      <w:spacing w:before="240" w:after="0"/>
      <w:jc w:val="center"/>
      <w:outlineLvl w:val="0"/>
    </w:pPr>
    <w:rPr>
      <w:rFonts w:ascii="Times New Roman" w:eastAsia="Times New Roman" w:hAnsi="Times New Roman" w:cs="Times New Roman"/>
      <w:b/>
      <w:bCs/>
      <w:color w:val="000000"/>
      <w:w w:val="110"/>
      <w:sz w:val="36"/>
      <w:szCs w:val="62"/>
    </w:rPr>
  </w:style>
  <w:style w:type="paragraph" w:styleId="Heading2">
    <w:name w:val="heading 2"/>
    <w:basedOn w:val="Normal"/>
    <w:next w:val="Normal"/>
    <w:link w:val="Heading2Char"/>
    <w:autoRedefine/>
    <w:uiPriority w:val="9"/>
    <w:unhideWhenUsed/>
    <w:qFormat/>
    <w:rsid w:val="00EC74E8"/>
    <w:pPr>
      <w:keepNext/>
      <w:keepLines/>
      <w:spacing w:after="120" w:line="560" w:lineRule="atLeast"/>
      <w:ind w:left="851" w:right="-401" w:hanging="851"/>
      <w:jc w:val="both"/>
      <w:outlineLvl w:val="1"/>
    </w:pPr>
    <w:rPr>
      <w:rFonts w:ascii="Times New Roman" w:eastAsia="Times New Roman" w:hAnsi="Times New Roman" w:cs="Times New Roman"/>
      <w:b/>
      <w:bCs/>
      <w:w w:val="110"/>
      <w:sz w:val="24"/>
      <w:szCs w:val="24"/>
    </w:rPr>
  </w:style>
  <w:style w:type="paragraph" w:styleId="Heading3">
    <w:name w:val="heading 3"/>
    <w:basedOn w:val="Normal"/>
    <w:next w:val="Normal"/>
    <w:link w:val="Heading3Char"/>
    <w:autoRedefine/>
    <w:uiPriority w:val="9"/>
    <w:unhideWhenUsed/>
    <w:qFormat/>
    <w:rsid w:val="00EC74E8"/>
    <w:pPr>
      <w:keepNext/>
      <w:keepLines/>
      <w:spacing w:before="240" w:after="120" w:line="560" w:lineRule="atLeast"/>
      <w:ind w:left="990" w:hanging="990"/>
      <w:jc w:val="both"/>
      <w:outlineLvl w:val="2"/>
    </w:pPr>
    <w:rPr>
      <w:rFonts w:ascii="Times New Roman" w:eastAsia="Times New Roman" w:hAnsi="Times New Roman" w:cs="Times New Roman"/>
      <w:b/>
      <w:w w:val="110"/>
      <w:sz w:val="28"/>
      <w:szCs w:val="28"/>
    </w:rPr>
  </w:style>
  <w:style w:type="paragraph" w:styleId="Heading4">
    <w:name w:val="heading 4"/>
    <w:basedOn w:val="Normal"/>
    <w:next w:val="Normal"/>
    <w:link w:val="Heading4Char"/>
    <w:autoRedefine/>
    <w:uiPriority w:val="9"/>
    <w:unhideWhenUsed/>
    <w:qFormat/>
    <w:rsid w:val="00EC74E8"/>
    <w:pPr>
      <w:keepNext/>
      <w:keepLines/>
      <w:spacing w:before="120" w:after="240" w:line="560" w:lineRule="atLeast"/>
      <w:outlineLvl w:val="3"/>
    </w:pPr>
    <w:rPr>
      <w:rFonts w:ascii="Times New Roman" w:eastAsia="Times New Roman" w:hAnsi="Times New Roman" w:cs="Times New Roman"/>
      <w:b/>
      <w:color w:val="494949"/>
      <w:w w:val="110"/>
      <w:sz w:val="28"/>
      <w:szCs w:val="28"/>
      <w:shd w:val="clear" w:color="auto" w:fill="FFFFFF"/>
    </w:rPr>
  </w:style>
  <w:style w:type="paragraph" w:styleId="Heading5">
    <w:name w:val="heading 5"/>
    <w:basedOn w:val="Normal"/>
    <w:next w:val="Normal"/>
    <w:link w:val="Heading5Char"/>
    <w:uiPriority w:val="9"/>
    <w:unhideWhenUsed/>
    <w:qFormat/>
    <w:rsid w:val="00EC74E8"/>
    <w:p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unhideWhenUsed/>
    <w:qFormat/>
    <w:rsid w:val="00EC74E8"/>
    <w:pPr>
      <w:keepNext/>
      <w:keepLines/>
      <w:spacing w:before="40" w:after="0" w:line="360" w:lineRule="auto"/>
      <w:ind w:left="1152" w:hanging="1152"/>
      <w:outlineLvl w:val="5"/>
    </w:pPr>
    <w:rPr>
      <w:rFonts w:asciiTheme="majorBidi" w:eastAsiaTheme="majorEastAsia" w:hAnsiTheme="majorBidi" w:cstheme="majorBidi"/>
      <w:b/>
      <w:i/>
    </w:rPr>
  </w:style>
  <w:style w:type="paragraph" w:styleId="Heading7">
    <w:name w:val="heading 7"/>
    <w:basedOn w:val="Normal"/>
    <w:next w:val="Normal"/>
    <w:link w:val="Heading7Char"/>
    <w:uiPriority w:val="9"/>
    <w:unhideWhenUsed/>
    <w:qFormat/>
    <w:rsid w:val="00EC74E8"/>
    <w:pPr>
      <w:keepNext/>
      <w:keepLines/>
      <w:spacing w:before="40" w:after="0" w:line="360" w:lineRule="auto"/>
      <w:ind w:left="1296" w:hanging="1296"/>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EC74E8"/>
    <w:pPr>
      <w:keepNext/>
      <w:keepLines/>
      <w:spacing w:before="40" w:after="0" w:line="360"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EC74E8"/>
    <w:pPr>
      <w:keepNext/>
      <w:keepLines/>
      <w:spacing w:before="40" w:after="0" w:line="360" w:lineRule="auto"/>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4E8"/>
    <w:rPr>
      <w:rFonts w:ascii="Times New Roman" w:eastAsia="Times New Roman" w:hAnsi="Times New Roman" w:cs="Times New Roman"/>
      <w:b/>
      <w:bCs/>
      <w:color w:val="000000"/>
      <w:w w:val="110"/>
      <w:kern w:val="0"/>
      <w:sz w:val="36"/>
      <w:szCs w:val="62"/>
      <w:lang w:bidi="ar-SA"/>
      <w14:ligatures w14:val="none"/>
    </w:rPr>
  </w:style>
  <w:style w:type="character" w:customStyle="1" w:styleId="Heading2Char">
    <w:name w:val="Heading 2 Char"/>
    <w:basedOn w:val="DefaultParagraphFont"/>
    <w:link w:val="Heading2"/>
    <w:uiPriority w:val="9"/>
    <w:rsid w:val="00EC74E8"/>
    <w:rPr>
      <w:rFonts w:ascii="Times New Roman" w:eastAsia="Times New Roman" w:hAnsi="Times New Roman" w:cs="Times New Roman"/>
      <w:b/>
      <w:bCs/>
      <w:w w:val="110"/>
      <w:kern w:val="0"/>
      <w:sz w:val="24"/>
      <w:szCs w:val="24"/>
      <w:lang w:bidi="ar-SA"/>
      <w14:ligatures w14:val="none"/>
    </w:rPr>
  </w:style>
  <w:style w:type="character" w:customStyle="1" w:styleId="Heading3Char">
    <w:name w:val="Heading 3 Char"/>
    <w:basedOn w:val="DefaultParagraphFont"/>
    <w:link w:val="Heading3"/>
    <w:uiPriority w:val="9"/>
    <w:rsid w:val="00EC74E8"/>
    <w:rPr>
      <w:rFonts w:ascii="Times New Roman" w:eastAsia="Times New Roman" w:hAnsi="Times New Roman" w:cs="Times New Roman"/>
      <w:b/>
      <w:w w:val="110"/>
      <w:kern w:val="0"/>
      <w:sz w:val="28"/>
      <w:szCs w:val="28"/>
      <w:lang w:bidi="ar-SA"/>
      <w14:ligatures w14:val="none"/>
    </w:rPr>
  </w:style>
  <w:style w:type="character" w:customStyle="1" w:styleId="Heading4Char">
    <w:name w:val="Heading 4 Char"/>
    <w:basedOn w:val="DefaultParagraphFont"/>
    <w:link w:val="Heading4"/>
    <w:uiPriority w:val="9"/>
    <w:rsid w:val="00EC74E8"/>
    <w:rPr>
      <w:rFonts w:ascii="Times New Roman" w:eastAsia="Times New Roman" w:hAnsi="Times New Roman" w:cs="Times New Roman"/>
      <w:b/>
      <w:color w:val="494949"/>
      <w:w w:val="110"/>
      <w:kern w:val="0"/>
      <w:sz w:val="28"/>
      <w:szCs w:val="28"/>
      <w:lang w:bidi="ar-SA"/>
      <w14:ligatures w14:val="none"/>
    </w:rPr>
  </w:style>
  <w:style w:type="character" w:customStyle="1" w:styleId="Heading5Char">
    <w:name w:val="Heading 5 Char"/>
    <w:basedOn w:val="DefaultParagraphFont"/>
    <w:link w:val="Heading5"/>
    <w:uiPriority w:val="9"/>
    <w:rsid w:val="00EC74E8"/>
    <w:rPr>
      <w:rFonts w:ascii="Calibri" w:eastAsia="Times New Roman" w:hAnsi="Calibri" w:cs="Arial"/>
      <w:b/>
      <w:bCs/>
      <w:i/>
      <w:iCs/>
      <w:kern w:val="0"/>
      <w:sz w:val="26"/>
      <w:szCs w:val="26"/>
      <w:lang w:bidi="ar-SA"/>
      <w14:ligatures w14:val="none"/>
    </w:rPr>
  </w:style>
  <w:style w:type="character" w:customStyle="1" w:styleId="Heading6Char">
    <w:name w:val="Heading 6 Char"/>
    <w:basedOn w:val="DefaultParagraphFont"/>
    <w:link w:val="Heading6"/>
    <w:uiPriority w:val="9"/>
    <w:rsid w:val="00EC74E8"/>
    <w:rPr>
      <w:rFonts w:asciiTheme="majorBidi" w:eastAsiaTheme="majorEastAsia" w:hAnsiTheme="majorBidi" w:cstheme="majorBidi"/>
      <w:b/>
      <w:i/>
      <w:kern w:val="0"/>
      <w:lang w:bidi="ar-SA"/>
      <w14:ligatures w14:val="none"/>
    </w:rPr>
  </w:style>
  <w:style w:type="character" w:customStyle="1" w:styleId="Heading7Char">
    <w:name w:val="Heading 7 Char"/>
    <w:basedOn w:val="DefaultParagraphFont"/>
    <w:link w:val="Heading7"/>
    <w:uiPriority w:val="9"/>
    <w:rsid w:val="00EC74E8"/>
    <w:rPr>
      <w:rFonts w:asciiTheme="majorHAnsi" w:eastAsiaTheme="majorEastAsia" w:hAnsiTheme="majorHAnsi" w:cstheme="majorBidi"/>
      <w:i/>
      <w:iCs/>
      <w:color w:val="1F3763" w:themeColor="accent1" w:themeShade="7F"/>
      <w:kern w:val="0"/>
      <w:lang w:bidi="ar-SA"/>
      <w14:ligatures w14:val="none"/>
    </w:rPr>
  </w:style>
  <w:style w:type="character" w:customStyle="1" w:styleId="Heading8Char">
    <w:name w:val="Heading 8 Char"/>
    <w:basedOn w:val="DefaultParagraphFont"/>
    <w:link w:val="Heading8"/>
    <w:uiPriority w:val="9"/>
    <w:rsid w:val="00EC74E8"/>
    <w:rPr>
      <w:rFonts w:asciiTheme="majorHAnsi" w:eastAsiaTheme="majorEastAsia" w:hAnsiTheme="majorHAnsi" w:cstheme="majorBidi"/>
      <w:color w:val="272727" w:themeColor="text1" w:themeTint="D8"/>
      <w:kern w:val="0"/>
      <w:sz w:val="21"/>
      <w:szCs w:val="21"/>
      <w:lang w:bidi="ar-SA"/>
      <w14:ligatures w14:val="none"/>
    </w:rPr>
  </w:style>
  <w:style w:type="character" w:customStyle="1" w:styleId="Heading9Char">
    <w:name w:val="Heading 9 Char"/>
    <w:basedOn w:val="DefaultParagraphFont"/>
    <w:link w:val="Heading9"/>
    <w:uiPriority w:val="9"/>
    <w:rsid w:val="00EC74E8"/>
    <w:rPr>
      <w:rFonts w:asciiTheme="majorHAnsi" w:eastAsiaTheme="majorEastAsia" w:hAnsiTheme="majorHAnsi" w:cstheme="majorBidi"/>
      <w:i/>
      <w:iCs/>
      <w:color w:val="272727" w:themeColor="text1" w:themeTint="D8"/>
      <w:kern w:val="0"/>
      <w:sz w:val="21"/>
      <w:szCs w:val="21"/>
      <w:lang w:bidi="ar-SA"/>
      <w14:ligatures w14:val="none"/>
    </w:rPr>
  </w:style>
  <w:style w:type="table" w:styleId="TableGrid">
    <w:name w:val="Table Grid"/>
    <w:basedOn w:val="TableNormal"/>
    <w:uiPriority w:val="59"/>
    <w:rsid w:val="00EC74E8"/>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4E8"/>
    <w:pPr>
      <w:ind w:left="720"/>
      <w:contextualSpacing/>
    </w:pPr>
  </w:style>
  <w:style w:type="paragraph" w:styleId="Header">
    <w:name w:val="header"/>
    <w:basedOn w:val="Normal"/>
    <w:link w:val="HeaderChar"/>
    <w:uiPriority w:val="99"/>
    <w:unhideWhenUsed/>
    <w:rsid w:val="00EC7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4E8"/>
    <w:rPr>
      <w:rFonts w:ascii="Calibri" w:eastAsia="Calibri" w:hAnsi="Calibri" w:cs="Arial"/>
      <w:kern w:val="0"/>
      <w:lang w:bidi="ar-SA"/>
      <w14:ligatures w14:val="none"/>
    </w:rPr>
  </w:style>
  <w:style w:type="paragraph" w:styleId="Footer">
    <w:name w:val="footer"/>
    <w:basedOn w:val="Normal"/>
    <w:link w:val="FooterChar"/>
    <w:uiPriority w:val="99"/>
    <w:unhideWhenUsed/>
    <w:rsid w:val="00EC74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4E8"/>
    <w:rPr>
      <w:rFonts w:ascii="Calibri" w:eastAsia="Calibri" w:hAnsi="Calibri" w:cs="Arial"/>
      <w:kern w:val="0"/>
      <w:lang w:bidi="ar-SA"/>
      <w14:ligatures w14:val="none"/>
    </w:rPr>
  </w:style>
  <w:style w:type="paragraph" w:styleId="FootnoteText">
    <w:name w:val="footnote text"/>
    <w:basedOn w:val="Normal"/>
    <w:link w:val="FootnoteTextChar"/>
    <w:uiPriority w:val="99"/>
    <w:semiHidden/>
    <w:unhideWhenUsed/>
    <w:rsid w:val="00EC74E8"/>
    <w:pPr>
      <w:spacing w:after="0" w:line="240" w:lineRule="auto"/>
    </w:pPr>
    <w:rPr>
      <w:rFonts w:cs="Times New Roman"/>
      <w:sz w:val="20"/>
      <w:szCs w:val="20"/>
    </w:rPr>
  </w:style>
  <w:style w:type="character" w:customStyle="1" w:styleId="FootnoteTextChar">
    <w:name w:val="Footnote Text Char"/>
    <w:basedOn w:val="DefaultParagraphFont"/>
    <w:link w:val="FootnoteText"/>
    <w:uiPriority w:val="99"/>
    <w:semiHidden/>
    <w:rsid w:val="00EC74E8"/>
    <w:rPr>
      <w:rFonts w:ascii="Calibri" w:eastAsia="Calibri" w:hAnsi="Calibri" w:cs="Times New Roman"/>
      <w:kern w:val="0"/>
      <w:sz w:val="20"/>
      <w:szCs w:val="20"/>
      <w:lang w:bidi="ar-SA"/>
      <w14:ligatures w14:val="none"/>
    </w:rPr>
  </w:style>
  <w:style w:type="character" w:styleId="FootnoteReference">
    <w:name w:val="footnote reference"/>
    <w:uiPriority w:val="99"/>
    <w:semiHidden/>
    <w:unhideWhenUsed/>
    <w:rsid w:val="00EC74E8"/>
    <w:rPr>
      <w:vertAlign w:val="superscript"/>
    </w:rPr>
  </w:style>
  <w:style w:type="paragraph" w:styleId="EndnoteText">
    <w:name w:val="endnote text"/>
    <w:basedOn w:val="Normal"/>
    <w:link w:val="EndnoteTextChar"/>
    <w:uiPriority w:val="99"/>
    <w:semiHidden/>
    <w:unhideWhenUsed/>
    <w:rsid w:val="00EC74E8"/>
    <w:pPr>
      <w:spacing w:after="0" w:line="240" w:lineRule="auto"/>
    </w:pPr>
    <w:rPr>
      <w:rFonts w:cs="Times New Roman"/>
      <w:sz w:val="20"/>
      <w:szCs w:val="20"/>
    </w:rPr>
  </w:style>
  <w:style w:type="character" w:customStyle="1" w:styleId="EndnoteTextChar">
    <w:name w:val="Endnote Text Char"/>
    <w:basedOn w:val="DefaultParagraphFont"/>
    <w:link w:val="EndnoteText"/>
    <w:uiPriority w:val="99"/>
    <w:semiHidden/>
    <w:rsid w:val="00EC74E8"/>
    <w:rPr>
      <w:rFonts w:ascii="Calibri" w:eastAsia="Calibri" w:hAnsi="Calibri" w:cs="Times New Roman"/>
      <w:kern w:val="0"/>
      <w:sz w:val="20"/>
      <w:szCs w:val="20"/>
      <w:lang w:bidi="ar-SA"/>
      <w14:ligatures w14:val="none"/>
    </w:rPr>
  </w:style>
  <w:style w:type="character" w:styleId="EndnoteReference">
    <w:name w:val="endnote reference"/>
    <w:uiPriority w:val="99"/>
    <w:semiHidden/>
    <w:unhideWhenUsed/>
    <w:rsid w:val="00EC74E8"/>
    <w:rPr>
      <w:vertAlign w:val="superscript"/>
    </w:rPr>
  </w:style>
  <w:style w:type="table" w:customStyle="1" w:styleId="GridTable2-Accent11">
    <w:name w:val="Grid Table 2 - Accent 11"/>
    <w:basedOn w:val="TableNormal"/>
    <w:uiPriority w:val="47"/>
    <w:rsid w:val="00EC74E8"/>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styleId="PlaceholderText">
    <w:name w:val="Placeholder Text"/>
    <w:uiPriority w:val="99"/>
    <w:semiHidden/>
    <w:rsid w:val="00EC74E8"/>
    <w:rPr>
      <w:color w:val="808080"/>
    </w:rPr>
  </w:style>
  <w:style w:type="character" w:styleId="Hyperlink">
    <w:name w:val="Hyperlink"/>
    <w:uiPriority w:val="99"/>
    <w:unhideWhenUsed/>
    <w:rsid w:val="00EC74E8"/>
    <w:rPr>
      <w:color w:val="0563C1"/>
      <w:u w:val="single"/>
    </w:rPr>
  </w:style>
  <w:style w:type="paragraph" w:styleId="NoSpacing">
    <w:name w:val="No Spacing"/>
    <w:link w:val="NoSpacingChar"/>
    <w:uiPriority w:val="1"/>
    <w:qFormat/>
    <w:rsid w:val="00EC74E8"/>
    <w:pPr>
      <w:spacing w:after="0" w:line="240" w:lineRule="auto"/>
    </w:pPr>
    <w:rPr>
      <w:rFonts w:ascii="Calibri" w:eastAsia="Times New Roman" w:hAnsi="Calibri" w:cs="Arial"/>
      <w:kern w:val="0"/>
      <w:sz w:val="20"/>
      <w:szCs w:val="20"/>
      <w14:ligatures w14:val="none"/>
    </w:rPr>
  </w:style>
  <w:style w:type="character" w:customStyle="1" w:styleId="NoSpacingChar">
    <w:name w:val="No Spacing Char"/>
    <w:link w:val="NoSpacing"/>
    <w:uiPriority w:val="1"/>
    <w:rsid w:val="00EC74E8"/>
    <w:rPr>
      <w:rFonts w:ascii="Calibri" w:eastAsia="Times New Roman" w:hAnsi="Calibri" w:cs="Arial"/>
      <w:kern w:val="0"/>
      <w:sz w:val="20"/>
      <w:szCs w:val="20"/>
      <w:lang w:bidi="ar-SA"/>
      <w14:ligatures w14:val="none"/>
    </w:rPr>
  </w:style>
  <w:style w:type="paragraph" w:styleId="TOCHeading">
    <w:name w:val="TOC Heading"/>
    <w:basedOn w:val="Heading1"/>
    <w:next w:val="Normal"/>
    <w:uiPriority w:val="39"/>
    <w:unhideWhenUsed/>
    <w:qFormat/>
    <w:rsid w:val="00EC74E8"/>
    <w:pPr>
      <w:outlineLvl w:val="9"/>
    </w:pPr>
  </w:style>
  <w:style w:type="paragraph" w:styleId="TOC1">
    <w:name w:val="toc 1"/>
    <w:basedOn w:val="Normal"/>
    <w:next w:val="Normal"/>
    <w:autoRedefine/>
    <w:uiPriority w:val="39"/>
    <w:unhideWhenUsed/>
    <w:rsid w:val="00EC74E8"/>
    <w:pPr>
      <w:tabs>
        <w:tab w:val="left" w:pos="660"/>
        <w:tab w:val="right" w:leader="dot" w:pos="8505"/>
      </w:tabs>
      <w:spacing w:after="100" w:line="360" w:lineRule="auto"/>
      <w:jc w:val="both"/>
    </w:pPr>
    <w:rPr>
      <w:rFonts w:asciiTheme="majorBidi" w:hAnsiTheme="majorBidi" w:cstheme="majorBidi"/>
      <w:noProof/>
      <w:w w:val="110"/>
      <w:sz w:val="24"/>
      <w:szCs w:val="24"/>
    </w:rPr>
  </w:style>
  <w:style w:type="paragraph" w:styleId="TOC2">
    <w:name w:val="toc 2"/>
    <w:basedOn w:val="Normal"/>
    <w:next w:val="Normal"/>
    <w:autoRedefine/>
    <w:uiPriority w:val="39"/>
    <w:unhideWhenUsed/>
    <w:rsid w:val="00EC74E8"/>
    <w:pPr>
      <w:spacing w:after="100"/>
      <w:ind w:left="220"/>
    </w:pPr>
  </w:style>
  <w:style w:type="paragraph" w:styleId="TOC3">
    <w:name w:val="toc 3"/>
    <w:basedOn w:val="Normal"/>
    <w:next w:val="Normal"/>
    <w:autoRedefine/>
    <w:uiPriority w:val="39"/>
    <w:unhideWhenUsed/>
    <w:rsid w:val="00EC74E8"/>
    <w:pPr>
      <w:spacing w:after="100"/>
      <w:ind w:left="440"/>
    </w:pPr>
  </w:style>
  <w:style w:type="paragraph" w:styleId="TOC4">
    <w:name w:val="toc 4"/>
    <w:basedOn w:val="Normal"/>
    <w:next w:val="Normal"/>
    <w:autoRedefine/>
    <w:uiPriority w:val="39"/>
    <w:unhideWhenUsed/>
    <w:rsid w:val="00EC74E8"/>
    <w:pPr>
      <w:spacing w:after="100"/>
      <w:ind w:left="660"/>
    </w:pPr>
  </w:style>
  <w:style w:type="character" w:customStyle="1" w:styleId="hps">
    <w:name w:val="hps"/>
    <w:basedOn w:val="DefaultParagraphFont"/>
    <w:rsid w:val="00EC74E8"/>
  </w:style>
  <w:style w:type="paragraph" w:styleId="NormalWeb">
    <w:name w:val="Normal (Web)"/>
    <w:basedOn w:val="Normal"/>
    <w:uiPriority w:val="99"/>
    <w:unhideWhenUsed/>
    <w:rsid w:val="00EC74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t-baf-back1">
    <w:name w:val="gt-baf-back1"/>
    <w:basedOn w:val="DefaultParagraphFont"/>
    <w:rsid w:val="00EC74E8"/>
  </w:style>
  <w:style w:type="character" w:customStyle="1" w:styleId="gt-card-ttl-txt1">
    <w:name w:val="gt-card-ttl-txt1"/>
    <w:rsid w:val="00EC74E8"/>
    <w:rPr>
      <w:color w:val="222222"/>
    </w:rPr>
  </w:style>
  <w:style w:type="character" w:customStyle="1" w:styleId="shorttext">
    <w:name w:val="short_text"/>
    <w:basedOn w:val="DefaultParagraphFont"/>
    <w:rsid w:val="00EC74E8"/>
  </w:style>
  <w:style w:type="paragraph" w:styleId="BalloonText">
    <w:name w:val="Balloon Text"/>
    <w:basedOn w:val="Normal"/>
    <w:link w:val="BalloonTextChar"/>
    <w:uiPriority w:val="99"/>
    <w:semiHidden/>
    <w:unhideWhenUsed/>
    <w:rsid w:val="00EC74E8"/>
    <w:pPr>
      <w:spacing w:after="0" w:line="240" w:lineRule="auto"/>
    </w:pPr>
    <w:rPr>
      <w:rFonts w:ascii="Tahoma" w:hAnsi="Tahoma" w:cs="Times New Roman"/>
      <w:sz w:val="16"/>
      <w:szCs w:val="16"/>
    </w:rPr>
  </w:style>
  <w:style w:type="character" w:customStyle="1" w:styleId="BalloonTextChar">
    <w:name w:val="Balloon Text Char"/>
    <w:basedOn w:val="DefaultParagraphFont"/>
    <w:link w:val="BalloonText"/>
    <w:uiPriority w:val="99"/>
    <w:semiHidden/>
    <w:rsid w:val="00EC74E8"/>
    <w:rPr>
      <w:rFonts w:ascii="Tahoma" w:eastAsia="Calibri" w:hAnsi="Tahoma" w:cs="Times New Roman"/>
      <w:kern w:val="0"/>
      <w:sz w:val="16"/>
      <w:szCs w:val="16"/>
      <w:lang w:bidi="ar-SA"/>
      <w14:ligatures w14:val="none"/>
    </w:rPr>
  </w:style>
  <w:style w:type="character" w:customStyle="1" w:styleId="alt-edited1">
    <w:name w:val="alt-edited1"/>
    <w:rsid w:val="00EC74E8"/>
    <w:rPr>
      <w:color w:val="4D90F0"/>
    </w:rPr>
  </w:style>
  <w:style w:type="character" w:styleId="Emphasis">
    <w:name w:val="Emphasis"/>
    <w:uiPriority w:val="20"/>
    <w:qFormat/>
    <w:rsid w:val="00EC74E8"/>
    <w:rPr>
      <w:i/>
      <w:iCs/>
    </w:rPr>
  </w:style>
  <w:style w:type="character" w:styleId="HTMLCite">
    <w:name w:val="HTML Cite"/>
    <w:uiPriority w:val="99"/>
    <w:semiHidden/>
    <w:unhideWhenUsed/>
    <w:rsid w:val="00EC74E8"/>
    <w:rPr>
      <w:i/>
      <w:iCs/>
    </w:rPr>
  </w:style>
  <w:style w:type="character" w:customStyle="1" w:styleId="fontstyle01">
    <w:name w:val="fontstyle01"/>
    <w:rsid w:val="00EC74E8"/>
    <w:rPr>
      <w:rFonts w:ascii="TimesNewRomanPSMT" w:hAnsi="TimesNewRomanPSMT" w:hint="default"/>
      <w:b w:val="0"/>
      <w:bCs w:val="0"/>
      <w:i w:val="0"/>
      <w:iCs w:val="0"/>
      <w:color w:val="000000"/>
      <w:sz w:val="24"/>
      <w:szCs w:val="24"/>
    </w:rPr>
  </w:style>
  <w:style w:type="character" w:customStyle="1" w:styleId="fontstyle21">
    <w:name w:val="fontstyle21"/>
    <w:rsid w:val="00EC74E8"/>
    <w:rPr>
      <w:rFonts w:ascii="TimesNewRomanPS-ItalicMT" w:hAnsi="TimesNewRomanPS-ItalicMT" w:hint="default"/>
      <w:b w:val="0"/>
      <w:bCs w:val="0"/>
      <w:i/>
      <w:iCs/>
      <w:color w:val="000000"/>
      <w:sz w:val="24"/>
      <w:szCs w:val="24"/>
    </w:rPr>
  </w:style>
  <w:style w:type="character" w:customStyle="1" w:styleId="italics">
    <w:name w:val="italics"/>
    <w:rsid w:val="00EC74E8"/>
  </w:style>
  <w:style w:type="paragraph" w:customStyle="1" w:styleId="first">
    <w:name w:val="first"/>
    <w:basedOn w:val="Normal"/>
    <w:rsid w:val="00EC74E8"/>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EC74E8"/>
    <w:pPr>
      <w:spacing w:after="200" w:line="240" w:lineRule="auto"/>
      <w:jc w:val="center"/>
    </w:pPr>
    <w:rPr>
      <w:b/>
      <w:bCs/>
      <w:szCs w:val="18"/>
    </w:rPr>
  </w:style>
  <w:style w:type="paragraph" w:styleId="TableofFigures">
    <w:name w:val="table of figures"/>
    <w:basedOn w:val="Title"/>
    <w:next w:val="Caption"/>
    <w:uiPriority w:val="99"/>
    <w:unhideWhenUsed/>
    <w:rsid w:val="00EC74E8"/>
    <w:pPr>
      <w:spacing w:line="259" w:lineRule="auto"/>
      <w:ind w:left="440" w:hanging="440"/>
      <w:contextualSpacing w:val="0"/>
    </w:pPr>
    <w:rPr>
      <w:rFonts w:asciiTheme="minorHAnsi" w:eastAsia="Calibri" w:hAnsiTheme="minorHAnsi" w:cstheme="minorHAnsi"/>
      <w:b/>
      <w:bCs/>
      <w:spacing w:val="0"/>
      <w:kern w:val="0"/>
      <w:sz w:val="20"/>
      <w:szCs w:val="24"/>
    </w:rPr>
  </w:style>
  <w:style w:type="character" w:customStyle="1" w:styleId="ListParagraphChar">
    <w:name w:val="List Paragraph Char"/>
    <w:link w:val="ListParagraph"/>
    <w:uiPriority w:val="34"/>
    <w:rsid w:val="00EC74E8"/>
    <w:rPr>
      <w:rFonts w:ascii="Calibri" w:eastAsia="Calibri" w:hAnsi="Calibri" w:cs="Arial"/>
      <w:kern w:val="0"/>
      <w:lang w:bidi="ar-SA"/>
      <w14:ligatures w14:val="none"/>
    </w:rPr>
  </w:style>
  <w:style w:type="table" w:customStyle="1" w:styleId="TableGrid1">
    <w:name w:val="Table Grid1"/>
    <w:basedOn w:val="TableNormal"/>
    <w:next w:val="TableGrid"/>
    <w:uiPriority w:val="39"/>
    <w:rsid w:val="00EC74E8"/>
    <w:pPr>
      <w:spacing w:after="0" w:line="240" w:lineRule="auto"/>
    </w:pPr>
    <w:rPr>
      <w:rFonts w:ascii="Calibri" w:eastAsia="Calibri" w:hAnsi="Calibri" w:cs="Arial"/>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EC74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C74E8"/>
    <w:rPr>
      <w:rFonts w:ascii="Courier New" w:eastAsia="Times New Roman" w:hAnsi="Courier New" w:cs="Courier New"/>
      <w:kern w:val="0"/>
      <w:sz w:val="20"/>
      <w:szCs w:val="20"/>
      <w:lang w:bidi="ar-SA"/>
      <w14:ligatures w14:val="none"/>
    </w:rPr>
  </w:style>
  <w:style w:type="character" w:customStyle="1" w:styleId="y2iqfc">
    <w:name w:val="y2iqfc"/>
    <w:basedOn w:val="DefaultParagraphFont"/>
    <w:rsid w:val="00EC74E8"/>
  </w:style>
  <w:style w:type="table" w:customStyle="1" w:styleId="TableGrid2">
    <w:name w:val="Table Grid2"/>
    <w:basedOn w:val="TableNormal"/>
    <w:next w:val="TableGrid"/>
    <w:uiPriority w:val="39"/>
    <w:rsid w:val="00EC74E8"/>
    <w:pPr>
      <w:spacing w:after="0" w:line="240" w:lineRule="auto"/>
    </w:pPr>
    <w:rPr>
      <w:rFonts w:ascii="Calibri" w:eastAsia="Calibri" w:hAnsi="Calibri" w:cs="Arial"/>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style">
    <w:name w:val="tstyle"/>
    <w:basedOn w:val="Normal"/>
    <w:link w:val="tstyleChar"/>
    <w:qFormat/>
    <w:rsid w:val="00EC74E8"/>
    <w:pPr>
      <w:spacing w:after="240" w:line="240" w:lineRule="auto"/>
    </w:pPr>
    <w:rPr>
      <w:rFonts w:ascii="Times New Roman" w:hAnsi="Times New Roman" w:cs="Times New Roman"/>
      <w:b/>
      <w:bCs/>
    </w:rPr>
  </w:style>
  <w:style w:type="paragraph" w:styleId="Title">
    <w:name w:val="Title"/>
    <w:basedOn w:val="Normal"/>
    <w:next w:val="Normal"/>
    <w:link w:val="TitleChar"/>
    <w:uiPriority w:val="10"/>
    <w:qFormat/>
    <w:rsid w:val="00EC74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74E8"/>
    <w:rPr>
      <w:rFonts w:asciiTheme="majorHAnsi" w:eastAsiaTheme="majorEastAsia" w:hAnsiTheme="majorHAnsi" w:cstheme="majorBidi"/>
      <w:spacing w:val="-10"/>
      <w:kern w:val="28"/>
      <w:sz w:val="56"/>
      <w:szCs w:val="56"/>
      <w:lang w:bidi="ar-SA"/>
      <w14:ligatures w14:val="none"/>
    </w:rPr>
  </w:style>
  <w:style w:type="paragraph" w:customStyle="1" w:styleId="a">
    <w:name w:val="انجليزي عنوان رئيسي"/>
    <w:basedOn w:val="Heading1"/>
    <w:link w:val="Char"/>
    <w:autoRedefine/>
    <w:qFormat/>
    <w:rsid w:val="00A11B6B"/>
    <w:pPr>
      <w:spacing w:before="0" w:after="240" w:line="480" w:lineRule="auto"/>
      <w:contextualSpacing/>
      <w:jc w:val="left"/>
    </w:pPr>
    <w:rPr>
      <w:rFonts w:asciiTheme="majorBidi" w:hAnsiTheme="majorBidi" w:cstheme="majorBidi"/>
      <w:color w:val="auto"/>
      <w:sz w:val="24"/>
      <w:szCs w:val="24"/>
    </w:rPr>
  </w:style>
  <w:style w:type="character" w:customStyle="1" w:styleId="tstyleChar">
    <w:name w:val="tstyle Char"/>
    <w:basedOn w:val="DefaultParagraphFont"/>
    <w:link w:val="tstyle"/>
    <w:rsid w:val="00EC74E8"/>
    <w:rPr>
      <w:rFonts w:ascii="Times New Roman" w:eastAsia="Calibri" w:hAnsi="Times New Roman" w:cs="Times New Roman"/>
      <w:b/>
      <w:bCs/>
      <w:kern w:val="0"/>
      <w:lang w:bidi="ar-SA"/>
      <w14:ligatures w14:val="none"/>
    </w:rPr>
  </w:style>
  <w:style w:type="paragraph" w:customStyle="1" w:styleId="a0">
    <w:name w:val="عربي عنوان رئيس"/>
    <w:basedOn w:val="Heading1"/>
    <w:link w:val="Char0"/>
    <w:autoRedefine/>
    <w:qFormat/>
    <w:rsid w:val="00EC74E8"/>
    <w:pPr>
      <w:bidi/>
      <w:spacing w:after="240" w:line="360" w:lineRule="auto"/>
    </w:pPr>
    <w:rPr>
      <w:rFonts w:ascii="Simplified Arabic" w:hAnsi="Simplified Arabic" w:cs="Simplified Arabic"/>
      <w:sz w:val="32"/>
      <w:szCs w:val="32"/>
    </w:rPr>
  </w:style>
  <w:style w:type="character" w:customStyle="1" w:styleId="Char">
    <w:name w:val="انجليزي عنوان رئيسي Char"/>
    <w:basedOn w:val="Heading1Char"/>
    <w:link w:val="a"/>
    <w:rsid w:val="00A11B6B"/>
    <w:rPr>
      <w:rFonts w:asciiTheme="majorBidi" w:eastAsia="Times New Roman" w:hAnsiTheme="majorBidi" w:cstheme="majorBidi"/>
      <w:b/>
      <w:bCs/>
      <w:color w:val="000000"/>
      <w:w w:val="110"/>
      <w:kern w:val="0"/>
      <w:sz w:val="24"/>
      <w:szCs w:val="24"/>
      <w:lang w:val="en-GB" w:bidi="ar-SA"/>
      <w14:ligatures w14:val="none"/>
    </w:rPr>
  </w:style>
  <w:style w:type="character" w:customStyle="1" w:styleId="Char0">
    <w:name w:val="عربي عنوان رئيس Char"/>
    <w:basedOn w:val="Char"/>
    <w:link w:val="a0"/>
    <w:rsid w:val="00EC74E8"/>
    <w:rPr>
      <w:rFonts w:ascii="Simplified Arabic" w:eastAsia="Times New Roman" w:hAnsi="Simplified Arabic" w:cs="Simplified Arabic"/>
      <w:b/>
      <w:bCs/>
      <w:color w:val="000000"/>
      <w:w w:val="110"/>
      <w:kern w:val="0"/>
      <w:sz w:val="32"/>
      <w:szCs w:val="32"/>
      <w:lang w:val="en-GB" w:bidi="ar-SA"/>
      <w14:ligatures w14:val="none"/>
    </w:rPr>
  </w:style>
  <w:style w:type="paragraph" w:customStyle="1" w:styleId="fig">
    <w:name w:val="fig"/>
    <w:basedOn w:val="Normal"/>
    <w:link w:val="figChar"/>
    <w:qFormat/>
    <w:rsid w:val="00EC74E8"/>
    <w:pPr>
      <w:spacing w:after="0" w:line="360" w:lineRule="auto"/>
      <w:jc w:val="both"/>
    </w:pPr>
    <w:rPr>
      <w:rFonts w:asciiTheme="majorBidi" w:hAnsiTheme="majorBidi" w:cstheme="majorBidi"/>
      <w:b/>
      <w:bCs/>
    </w:rPr>
  </w:style>
  <w:style w:type="paragraph" w:customStyle="1" w:styleId="table">
    <w:name w:val="table"/>
    <w:basedOn w:val="tstyle"/>
    <w:link w:val="tableChar"/>
    <w:qFormat/>
    <w:rsid w:val="00EC74E8"/>
    <w:pPr>
      <w:spacing w:line="360" w:lineRule="auto"/>
    </w:pPr>
  </w:style>
  <w:style w:type="character" w:customStyle="1" w:styleId="figChar">
    <w:name w:val="fig Char"/>
    <w:basedOn w:val="DefaultParagraphFont"/>
    <w:link w:val="fig"/>
    <w:rsid w:val="00EC74E8"/>
    <w:rPr>
      <w:rFonts w:asciiTheme="majorBidi" w:eastAsia="Calibri" w:hAnsiTheme="majorBidi" w:cstheme="majorBidi"/>
      <w:b/>
      <w:bCs/>
      <w:kern w:val="0"/>
      <w:lang w:bidi="ar-SA"/>
      <w14:ligatures w14:val="none"/>
    </w:rPr>
  </w:style>
  <w:style w:type="paragraph" w:customStyle="1" w:styleId="Appendices">
    <w:name w:val="Appendices"/>
    <w:basedOn w:val="a"/>
    <w:link w:val="AppendicesChar"/>
    <w:qFormat/>
    <w:rsid w:val="00EC74E8"/>
  </w:style>
  <w:style w:type="character" w:customStyle="1" w:styleId="tableChar">
    <w:name w:val="table Char"/>
    <w:basedOn w:val="tstyleChar"/>
    <w:link w:val="table"/>
    <w:rsid w:val="00EC74E8"/>
    <w:rPr>
      <w:rFonts w:ascii="Times New Roman" w:eastAsia="Calibri" w:hAnsi="Times New Roman" w:cs="Times New Roman"/>
      <w:b/>
      <w:bCs/>
      <w:kern w:val="0"/>
      <w:lang w:bidi="ar-SA"/>
      <w14:ligatures w14:val="none"/>
    </w:rPr>
  </w:style>
  <w:style w:type="character" w:customStyle="1" w:styleId="AppendicesChar">
    <w:name w:val="Appendices Char"/>
    <w:basedOn w:val="Char"/>
    <w:link w:val="Appendices"/>
    <w:rsid w:val="00EC74E8"/>
    <w:rPr>
      <w:rFonts w:ascii="Times New Roman" w:eastAsia="Times New Roman" w:hAnsi="Times New Roman" w:cs="Times New Roman"/>
      <w:b/>
      <w:bCs/>
      <w:color w:val="000000"/>
      <w:w w:val="110"/>
      <w:kern w:val="0"/>
      <w:sz w:val="24"/>
      <w:szCs w:val="24"/>
      <w:lang w:val="en-GB" w:bidi="ar-SA"/>
      <w14:ligatures w14:val="none"/>
    </w:rPr>
  </w:style>
  <w:style w:type="paragraph" w:customStyle="1" w:styleId="a1">
    <w:name w:val="انجليزي نص"/>
    <w:basedOn w:val="Normal"/>
    <w:link w:val="Char1"/>
    <w:qFormat/>
    <w:rsid w:val="00EC74E8"/>
    <w:pPr>
      <w:spacing w:after="240" w:line="480" w:lineRule="auto"/>
    </w:pPr>
    <w:rPr>
      <w:rFonts w:asciiTheme="majorBidi" w:eastAsia="Times New Roman" w:hAnsiTheme="majorBidi" w:cstheme="majorBidi"/>
      <w:color w:val="000000" w:themeColor="text1"/>
      <w:sz w:val="24"/>
      <w:szCs w:val="24"/>
    </w:rPr>
  </w:style>
  <w:style w:type="character" w:customStyle="1" w:styleId="Char1">
    <w:name w:val="انجليزي نص Char"/>
    <w:basedOn w:val="DefaultParagraphFont"/>
    <w:link w:val="a1"/>
    <w:rsid w:val="00EC74E8"/>
    <w:rPr>
      <w:rFonts w:asciiTheme="majorBidi" w:eastAsia="Times New Roman" w:hAnsiTheme="majorBidi" w:cstheme="majorBidi"/>
      <w:color w:val="000000" w:themeColor="text1"/>
      <w:kern w:val="0"/>
      <w:sz w:val="24"/>
      <w:szCs w:val="24"/>
      <w:lang w:bidi="ar-SA"/>
      <w14:ligatures w14:val="none"/>
    </w:rPr>
  </w:style>
  <w:style w:type="character" w:styleId="LineNumber">
    <w:name w:val="line number"/>
    <w:basedOn w:val="DefaultParagraphFont"/>
    <w:uiPriority w:val="99"/>
    <w:semiHidden/>
    <w:unhideWhenUsed/>
    <w:rsid w:val="00EC74E8"/>
  </w:style>
  <w:style w:type="table" w:customStyle="1" w:styleId="3-11">
    <w:name w:val="جدول قائمة 3 - تمييز 11"/>
    <w:basedOn w:val="TableNormal"/>
    <w:uiPriority w:val="48"/>
    <w:rsid w:val="00EC74E8"/>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customStyle="1" w:styleId="Default">
    <w:name w:val="Default"/>
    <w:rsid w:val="00EC74E8"/>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Bibliography">
    <w:name w:val="Bibliography"/>
    <w:basedOn w:val="Normal"/>
    <w:next w:val="Normal"/>
    <w:uiPriority w:val="37"/>
    <w:unhideWhenUsed/>
    <w:rsid w:val="00EC74E8"/>
    <w:pPr>
      <w:spacing w:after="200" w:line="276" w:lineRule="auto"/>
    </w:pPr>
    <w:rPr>
      <w:rFonts w:eastAsia="Times New Roman"/>
    </w:rPr>
  </w:style>
  <w:style w:type="table" w:customStyle="1" w:styleId="TableGridLight1">
    <w:name w:val="Table Grid Light1"/>
    <w:basedOn w:val="TableNormal"/>
    <w:uiPriority w:val="40"/>
    <w:rsid w:val="00EC74E8"/>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EC74E8"/>
    <w:rPr>
      <w:color w:val="954F72" w:themeColor="followedHyperlink"/>
      <w:u w:val="single"/>
    </w:rPr>
  </w:style>
  <w:style w:type="character" w:customStyle="1" w:styleId="UnresolvedMention1">
    <w:name w:val="Unresolved Mention1"/>
    <w:basedOn w:val="DefaultParagraphFont"/>
    <w:uiPriority w:val="99"/>
    <w:semiHidden/>
    <w:unhideWhenUsed/>
    <w:rsid w:val="00EC74E8"/>
    <w:rPr>
      <w:color w:val="605E5C"/>
      <w:shd w:val="clear" w:color="auto" w:fill="E1DFDD"/>
    </w:rPr>
  </w:style>
  <w:style w:type="character" w:styleId="CommentReference">
    <w:name w:val="annotation reference"/>
    <w:basedOn w:val="DefaultParagraphFont"/>
    <w:uiPriority w:val="99"/>
    <w:semiHidden/>
    <w:unhideWhenUsed/>
    <w:rsid w:val="00EC74E8"/>
    <w:rPr>
      <w:sz w:val="16"/>
      <w:szCs w:val="16"/>
    </w:rPr>
  </w:style>
  <w:style w:type="paragraph" w:styleId="CommentText">
    <w:name w:val="annotation text"/>
    <w:basedOn w:val="Normal"/>
    <w:link w:val="CommentTextChar"/>
    <w:uiPriority w:val="99"/>
    <w:unhideWhenUsed/>
    <w:rsid w:val="00EC74E8"/>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EC74E8"/>
    <w:rPr>
      <w:kern w:val="0"/>
      <w:sz w:val="20"/>
      <w:szCs w:val="20"/>
      <w:lang w:bidi="ar-SA"/>
      <w14:ligatures w14:val="none"/>
    </w:rPr>
  </w:style>
  <w:style w:type="paragraph" w:styleId="CommentSubject">
    <w:name w:val="annotation subject"/>
    <w:basedOn w:val="CommentText"/>
    <w:next w:val="CommentText"/>
    <w:link w:val="CommentSubjectChar"/>
    <w:uiPriority w:val="99"/>
    <w:semiHidden/>
    <w:unhideWhenUsed/>
    <w:rsid w:val="00EC74E8"/>
    <w:rPr>
      <w:b/>
      <w:bCs/>
    </w:rPr>
  </w:style>
  <w:style w:type="character" w:customStyle="1" w:styleId="CommentSubjectChar">
    <w:name w:val="Comment Subject Char"/>
    <w:basedOn w:val="CommentTextChar"/>
    <w:link w:val="CommentSubject"/>
    <w:uiPriority w:val="99"/>
    <w:semiHidden/>
    <w:rsid w:val="00EC74E8"/>
    <w:rPr>
      <w:b/>
      <w:bCs/>
      <w:kern w:val="0"/>
      <w:sz w:val="20"/>
      <w:szCs w:val="20"/>
      <w:lang w:bidi="ar-SA"/>
      <w14:ligatures w14:val="none"/>
    </w:rPr>
  </w:style>
  <w:style w:type="character" w:customStyle="1" w:styleId="inline">
    <w:name w:val="inline"/>
    <w:basedOn w:val="DefaultParagraphFont"/>
    <w:rsid w:val="00EC74E8"/>
  </w:style>
  <w:style w:type="paragraph" w:customStyle="1" w:styleId="Style1">
    <w:name w:val="Style1"/>
    <w:basedOn w:val="Normal"/>
    <w:link w:val="Style1Char"/>
    <w:qFormat/>
    <w:rsid w:val="00EC74E8"/>
    <w:rPr>
      <w:rFonts w:ascii="Arial" w:eastAsiaTheme="minorHAnsi" w:hAnsi="Arial" w:cstheme="minorBidi"/>
      <w:sz w:val="24"/>
    </w:rPr>
  </w:style>
  <w:style w:type="character" w:customStyle="1" w:styleId="Style1Char">
    <w:name w:val="Style1 Char"/>
    <w:basedOn w:val="DefaultParagraphFont"/>
    <w:link w:val="Style1"/>
    <w:rsid w:val="00EC74E8"/>
    <w:rPr>
      <w:rFonts w:ascii="Arial" w:hAnsi="Arial"/>
      <w:kern w:val="0"/>
      <w:sz w:val="24"/>
      <w:lang w:val="en-GB" w:bidi="ar-SA"/>
      <w14:ligatures w14:val="none"/>
    </w:rPr>
  </w:style>
  <w:style w:type="character" w:customStyle="1" w:styleId="fontstyle31">
    <w:name w:val="fontstyle31"/>
    <w:basedOn w:val="DefaultParagraphFont"/>
    <w:rsid w:val="00EC74E8"/>
    <w:rPr>
      <w:rFonts w:ascii="MinionPro-Semibold" w:hAnsi="MinionPro-Semibold" w:hint="default"/>
      <w:b w:val="0"/>
      <w:bCs w:val="0"/>
      <w:i w:val="0"/>
      <w:iCs w:val="0"/>
      <w:color w:val="242021"/>
      <w:sz w:val="14"/>
      <w:szCs w:val="14"/>
    </w:rPr>
  </w:style>
  <w:style w:type="table" w:customStyle="1" w:styleId="3-61">
    <w:name w:val="جدول قائمة 3 - تمييز 61"/>
    <w:basedOn w:val="TableNormal"/>
    <w:uiPriority w:val="48"/>
    <w:rsid w:val="00EC74E8"/>
    <w:pPr>
      <w:spacing w:after="0" w:line="240" w:lineRule="auto"/>
    </w:pPr>
    <w:rPr>
      <w:kern w:val="0"/>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paragraph" w:styleId="BodyText">
    <w:name w:val="Body Text"/>
    <w:basedOn w:val="Normal"/>
    <w:link w:val="BodyTextChar"/>
    <w:uiPriority w:val="1"/>
    <w:unhideWhenUsed/>
    <w:qFormat/>
    <w:rsid w:val="00EC74E8"/>
    <w:pPr>
      <w:widowControl w:val="0"/>
      <w:autoSpaceDE w:val="0"/>
      <w:autoSpaceDN w:val="0"/>
      <w:spacing w:after="0" w:line="240" w:lineRule="auto"/>
      <w:ind w:left="1560"/>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EC74E8"/>
    <w:rPr>
      <w:rFonts w:ascii="Times New Roman" w:eastAsia="Times New Roman" w:hAnsi="Times New Roman" w:cs="Times New Roman"/>
      <w:kern w:val="0"/>
      <w:sz w:val="24"/>
      <w:szCs w:val="24"/>
      <w:lang w:bidi="en-US"/>
      <w14:ligatures w14:val="none"/>
    </w:rPr>
  </w:style>
  <w:style w:type="character" w:customStyle="1" w:styleId="bkciteavail">
    <w:name w:val="bk_cite_avail"/>
    <w:basedOn w:val="DefaultParagraphFont"/>
    <w:rsid w:val="00EC74E8"/>
  </w:style>
  <w:style w:type="paragraph" w:styleId="Revision">
    <w:name w:val="Revision"/>
    <w:hidden/>
    <w:uiPriority w:val="99"/>
    <w:semiHidden/>
    <w:rsid w:val="00EC74E8"/>
    <w:pPr>
      <w:spacing w:after="0" w:line="240" w:lineRule="auto"/>
    </w:pPr>
    <w:rPr>
      <w:rFonts w:ascii="Calibri" w:eastAsia="Calibri" w:hAnsi="Calibri" w:cs="Arial"/>
      <w:kern w:val="0"/>
      <w14:ligatures w14:val="none"/>
    </w:rPr>
  </w:style>
  <w:style w:type="character" w:customStyle="1" w:styleId="CommentTextChar1">
    <w:name w:val="Comment Text Char1"/>
    <w:basedOn w:val="DefaultParagraphFont"/>
    <w:uiPriority w:val="99"/>
    <w:rsid w:val="00EC74E8"/>
    <w:rPr>
      <w:sz w:val="20"/>
      <w:szCs w:val="20"/>
    </w:rPr>
  </w:style>
  <w:style w:type="character" w:styleId="Strong">
    <w:name w:val="Strong"/>
    <w:basedOn w:val="DefaultParagraphFont"/>
    <w:uiPriority w:val="22"/>
    <w:qFormat/>
    <w:rsid w:val="00EC74E8"/>
    <w:rPr>
      <w:b/>
      <w:bCs/>
    </w:rPr>
  </w:style>
  <w:style w:type="paragraph" w:customStyle="1" w:styleId="first-child">
    <w:name w:val="first-child"/>
    <w:basedOn w:val="Normal"/>
    <w:rsid w:val="00EC74E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nchor-text">
    <w:name w:val="anchor-text"/>
    <w:basedOn w:val="DefaultParagraphFont"/>
    <w:rsid w:val="00EC74E8"/>
  </w:style>
  <w:style w:type="character" w:customStyle="1" w:styleId="tlid-translation">
    <w:name w:val="tlid-translation"/>
    <w:basedOn w:val="DefaultParagraphFont"/>
    <w:rsid w:val="00EC74E8"/>
  </w:style>
  <w:style w:type="character" w:customStyle="1" w:styleId="UnresolvedMention2">
    <w:name w:val="Unresolved Mention2"/>
    <w:basedOn w:val="DefaultParagraphFont"/>
    <w:uiPriority w:val="99"/>
    <w:semiHidden/>
    <w:unhideWhenUsed/>
    <w:rsid w:val="00EC74E8"/>
    <w:rPr>
      <w:color w:val="605E5C"/>
      <w:shd w:val="clear" w:color="auto" w:fill="E1DFDD"/>
    </w:rPr>
  </w:style>
  <w:style w:type="paragraph" w:customStyle="1" w:styleId="Heading61">
    <w:name w:val="Heading 61"/>
    <w:basedOn w:val="Normal"/>
    <w:next w:val="Normal"/>
    <w:uiPriority w:val="9"/>
    <w:unhideWhenUsed/>
    <w:qFormat/>
    <w:rsid w:val="00EC74E8"/>
    <w:pPr>
      <w:keepNext/>
      <w:keepLines/>
      <w:spacing w:before="40" w:after="0" w:line="360" w:lineRule="auto"/>
      <w:ind w:left="1152" w:hanging="1152"/>
      <w:outlineLvl w:val="5"/>
    </w:pPr>
    <w:rPr>
      <w:rFonts w:ascii="Times New Roman" w:eastAsia="Times New Roman" w:hAnsi="Times New Roman" w:cs="Times New Roman"/>
      <w:b/>
      <w:i/>
    </w:rPr>
  </w:style>
  <w:style w:type="paragraph" w:customStyle="1" w:styleId="Heading71">
    <w:name w:val="Heading 71"/>
    <w:basedOn w:val="Normal"/>
    <w:next w:val="Normal"/>
    <w:uiPriority w:val="9"/>
    <w:unhideWhenUsed/>
    <w:qFormat/>
    <w:rsid w:val="00EC74E8"/>
    <w:pPr>
      <w:keepNext/>
      <w:keepLines/>
      <w:spacing w:before="40" w:after="0" w:line="360" w:lineRule="auto"/>
      <w:ind w:left="1296" w:hanging="1296"/>
      <w:outlineLvl w:val="6"/>
    </w:pPr>
    <w:rPr>
      <w:rFonts w:ascii="Cambria" w:eastAsia="Times New Roman" w:hAnsi="Cambria" w:cs="Times New Roman"/>
      <w:i/>
      <w:iCs/>
      <w:color w:val="243F60"/>
    </w:rPr>
  </w:style>
  <w:style w:type="paragraph" w:customStyle="1" w:styleId="Heading81">
    <w:name w:val="Heading 81"/>
    <w:basedOn w:val="Normal"/>
    <w:next w:val="Normal"/>
    <w:uiPriority w:val="9"/>
    <w:unhideWhenUsed/>
    <w:qFormat/>
    <w:rsid w:val="00EC74E8"/>
    <w:pPr>
      <w:keepNext/>
      <w:keepLines/>
      <w:spacing w:before="40" w:after="0" w:line="360" w:lineRule="auto"/>
      <w:ind w:left="1440" w:hanging="144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qFormat/>
    <w:rsid w:val="00EC74E8"/>
    <w:pPr>
      <w:keepNext/>
      <w:keepLines/>
      <w:spacing w:before="40" w:after="0" w:line="360" w:lineRule="auto"/>
      <w:ind w:left="1584" w:hanging="1584"/>
      <w:outlineLvl w:val="8"/>
    </w:pPr>
    <w:rPr>
      <w:rFonts w:ascii="Cambria" w:eastAsia="Times New Roman" w:hAnsi="Cambria" w:cs="Times New Roman"/>
      <w:i/>
      <w:iCs/>
      <w:color w:val="272727"/>
      <w:sz w:val="21"/>
      <w:szCs w:val="21"/>
    </w:rPr>
  </w:style>
  <w:style w:type="numbering" w:customStyle="1" w:styleId="NoList1">
    <w:name w:val="No List1"/>
    <w:next w:val="NoList"/>
    <w:uiPriority w:val="99"/>
    <w:semiHidden/>
    <w:unhideWhenUsed/>
    <w:rsid w:val="00EC74E8"/>
  </w:style>
  <w:style w:type="paragraph" w:customStyle="1" w:styleId="TOC11">
    <w:name w:val="TOC 11"/>
    <w:basedOn w:val="Normal"/>
    <w:next w:val="Normal"/>
    <w:autoRedefine/>
    <w:uiPriority w:val="39"/>
    <w:unhideWhenUsed/>
    <w:rsid w:val="00EC74E8"/>
    <w:pPr>
      <w:tabs>
        <w:tab w:val="left" w:pos="660"/>
        <w:tab w:val="right" w:leader="dot" w:pos="8505"/>
      </w:tabs>
      <w:spacing w:after="100"/>
      <w:jc w:val="both"/>
    </w:pPr>
    <w:rPr>
      <w:rFonts w:ascii="Times New Roman" w:hAnsi="Times New Roman" w:cs="Times New Roman"/>
      <w:noProof/>
      <w:w w:val="110"/>
      <w:sz w:val="24"/>
      <w:szCs w:val="24"/>
    </w:rPr>
  </w:style>
  <w:style w:type="paragraph" w:customStyle="1" w:styleId="TableofFigures1">
    <w:name w:val="Table of Figures1"/>
    <w:basedOn w:val="Title"/>
    <w:next w:val="Caption"/>
    <w:uiPriority w:val="99"/>
    <w:unhideWhenUsed/>
    <w:rsid w:val="00EC74E8"/>
    <w:pPr>
      <w:spacing w:line="259" w:lineRule="auto"/>
      <w:ind w:left="440" w:hanging="440"/>
      <w:contextualSpacing w:val="0"/>
    </w:pPr>
    <w:rPr>
      <w:rFonts w:ascii="Calibri" w:eastAsia="Calibri" w:hAnsi="Calibri" w:cs="Calibri"/>
      <w:b/>
      <w:bCs/>
      <w:spacing w:val="0"/>
      <w:kern w:val="0"/>
      <w:sz w:val="20"/>
      <w:szCs w:val="24"/>
    </w:rPr>
  </w:style>
  <w:style w:type="table" w:customStyle="1" w:styleId="TableGrid11">
    <w:name w:val="Table Grid11"/>
    <w:basedOn w:val="TableNormal"/>
    <w:next w:val="TableGrid"/>
    <w:uiPriority w:val="39"/>
    <w:rsid w:val="00EC74E8"/>
    <w:pPr>
      <w:spacing w:after="0" w:line="240" w:lineRule="auto"/>
    </w:pPr>
    <w:rPr>
      <w:rFonts w:ascii="Calibri" w:eastAsia="Calibri" w:hAnsi="Calibri" w:cs="Arial"/>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EC74E8"/>
    <w:pPr>
      <w:spacing w:after="0" w:line="240" w:lineRule="auto"/>
      <w:contextualSpacing/>
    </w:pPr>
    <w:rPr>
      <w:rFonts w:ascii="Cambria" w:eastAsia="Times New Roman" w:hAnsi="Cambria" w:cs="Times New Roman"/>
      <w:spacing w:val="-10"/>
      <w:kern w:val="28"/>
      <w:sz w:val="56"/>
      <w:szCs w:val="56"/>
    </w:rPr>
  </w:style>
  <w:style w:type="character" w:customStyle="1" w:styleId="FollowedHyperlink1">
    <w:name w:val="FollowedHyperlink1"/>
    <w:basedOn w:val="DefaultParagraphFont"/>
    <w:uiPriority w:val="99"/>
    <w:semiHidden/>
    <w:unhideWhenUsed/>
    <w:rsid w:val="00EC74E8"/>
    <w:rPr>
      <w:color w:val="800080"/>
      <w:u w:val="single"/>
    </w:rPr>
  </w:style>
  <w:style w:type="paragraph" w:customStyle="1" w:styleId="CommentText1">
    <w:name w:val="Comment Text1"/>
    <w:basedOn w:val="Normal"/>
    <w:next w:val="CommentText"/>
    <w:uiPriority w:val="99"/>
    <w:unhideWhenUsed/>
    <w:rsid w:val="00EC74E8"/>
    <w:pPr>
      <w:spacing w:line="240" w:lineRule="auto"/>
    </w:pPr>
    <w:rPr>
      <w:rFonts w:asciiTheme="minorHAnsi" w:eastAsiaTheme="minorHAnsi" w:hAnsiTheme="minorHAnsi" w:cstheme="minorBidi"/>
      <w:sz w:val="20"/>
      <w:szCs w:val="20"/>
    </w:rPr>
  </w:style>
  <w:style w:type="paragraph" w:customStyle="1" w:styleId="CommentSubject1">
    <w:name w:val="Comment Subject1"/>
    <w:basedOn w:val="CommentText"/>
    <w:next w:val="CommentText"/>
    <w:uiPriority w:val="99"/>
    <w:semiHidden/>
    <w:unhideWhenUsed/>
    <w:rsid w:val="00EC74E8"/>
    <w:rPr>
      <w:b/>
      <w:bCs/>
    </w:rPr>
  </w:style>
  <w:style w:type="character" w:customStyle="1" w:styleId="Heading6Char1">
    <w:name w:val="Heading 6 Char1"/>
    <w:basedOn w:val="DefaultParagraphFont"/>
    <w:uiPriority w:val="9"/>
    <w:semiHidden/>
    <w:rsid w:val="00EC74E8"/>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EC74E8"/>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EC74E8"/>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EC74E8"/>
    <w:rPr>
      <w:rFonts w:asciiTheme="majorHAnsi" w:eastAsiaTheme="majorEastAsia" w:hAnsiTheme="majorHAnsi" w:cstheme="majorBidi"/>
      <w:i/>
      <w:iCs/>
      <w:color w:val="272727" w:themeColor="text1" w:themeTint="D8"/>
      <w:sz w:val="21"/>
      <w:szCs w:val="21"/>
    </w:rPr>
  </w:style>
  <w:style w:type="character" w:customStyle="1" w:styleId="TitleChar1">
    <w:name w:val="Title Char1"/>
    <w:basedOn w:val="DefaultParagraphFont"/>
    <w:uiPriority w:val="10"/>
    <w:rsid w:val="00EC74E8"/>
    <w:rPr>
      <w:rFonts w:asciiTheme="majorHAnsi" w:eastAsiaTheme="majorEastAsia" w:hAnsiTheme="majorHAnsi" w:cstheme="majorBidi"/>
      <w:spacing w:val="-10"/>
      <w:kern w:val="28"/>
      <w:sz w:val="56"/>
      <w:szCs w:val="56"/>
    </w:rPr>
  </w:style>
  <w:style w:type="character" w:customStyle="1" w:styleId="CommentSubjectChar1">
    <w:name w:val="Comment Subject Char1"/>
    <w:basedOn w:val="CommentTextChar1"/>
    <w:uiPriority w:val="99"/>
    <w:semiHidden/>
    <w:rsid w:val="00EC74E8"/>
    <w:rPr>
      <w:b/>
      <w:bCs/>
      <w:sz w:val="20"/>
      <w:szCs w:val="20"/>
    </w:rPr>
  </w:style>
  <w:style w:type="table" w:customStyle="1" w:styleId="TableGrid3">
    <w:name w:val="Table Grid3"/>
    <w:basedOn w:val="TableNormal"/>
    <w:next w:val="TableGrid"/>
    <w:uiPriority w:val="59"/>
    <w:rsid w:val="00EC74E8"/>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EC74E8"/>
    <w:rPr>
      <w:color w:val="605E5C"/>
      <w:shd w:val="clear" w:color="auto" w:fill="E1DFDD"/>
    </w:rPr>
  </w:style>
  <w:style w:type="table" w:styleId="LightShading-Accent4">
    <w:name w:val="Light Shading Accent 4"/>
    <w:basedOn w:val="TableNormal"/>
    <w:uiPriority w:val="60"/>
    <w:rsid w:val="00EC74E8"/>
    <w:pPr>
      <w:spacing w:after="0" w:line="240" w:lineRule="auto"/>
    </w:pPr>
    <w:rPr>
      <w:color w:val="BF8F00" w:themeColor="accent4" w:themeShade="BF"/>
      <w:kern w:val="0"/>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paragraph" w:customStyle="1" w:styleId="EndNoteBibliography">
    <w:name w:val="EndNote Bibliography"/>
    <w:basedOn w:val="Normal"/>
    <w:link w:val="EndNoteBibliographyChar"/>
    <w:rsid w:val="00EC74E8"/>
    <w:pPr>
      <w:spacing w:line="240" w:lineRule="auto"/>
      <w:jc w:val="center"/>
    </w:pPr>
    <w:rPr>
      <w:rFonts w:ascii="Times New Roman" w:hAnsi="Times New Roman" w:cs="Times New Roman"/>
      <w:noProof/>
      <w:sz w:val="24"/>
    </w:rPr>
  </w:style>
  <w:style w:type="character" w:customStyle="1" w:styleId="EndNoteBibliographyChar">
    <w:name w:val="EndNote Bibliography Char"/>
    <w:link w:val="EndNoteBibliography"/>
    <w:rsid w:val="00EC74E8"/>
    <w:rPr>
      <w:rFonts w:ascii="Times New Roman" w:eastAsia="Calibri" w:hAnsi="Times New Roman" w:cs="Times New Roman"/>
      <w:noProof/>
      <w:kern w:val="0"/>
      <w:sz w:val="24"/>
      <w:lang w:bidi="ar-SA"/>
      <w14:ligatures w14:val="none"/>
    </w:rPr>
  </w:style>
  <w:style w:type="character" w:customStyle="1" w:styleId="line-clamp-1">
    <w:name w:val="line-clamp-1"/>
    <w:basedOn w:val="DefaultParagraphFont"/>
    <w:rsid w:val="00EC74E8"/>
  </w:style>
  <w:style w:type="table" w:customStyle="1" w:styleId="GridTable1Light-Accent51">
    <w:name w:val="Grid Table 1 Light - Accent 51"/>
    <w:basedOn w:val="TableNormal"/>
    <w:uiPriority w:val="46"/>
    <w:rsid w:val="00EC74E8"/>
    <w:pPr>
      <w:spacing w:after="0" w:line="240" w:lineRule="auto"/>
    </w:pPr>
    <w:rPr>
      <w:kern w:val="0"/>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react-xocs-alternative-link">
    <w:name w:val="react-xocs-alternative-link"/>
    <w:basedOn w:val="DefaultParagraphFont"/>
    <w:rsid w:val="00EC74E8"/>
  </w:style>
  <w:style w:type="character" w:customStyle="1" w:styleId="given-name">
    <w:name w:val="given-name"/>
    <w:basedOn w:val="DefaultParagraphFont"/>
    <w:rsid w:val="00EC74E8"/>
  </w:style>
  <w:style w:type="character" w:customStyle="1" w:styleId="text">
    <w:name w:val="text"/>
    <w:basedOn w:val="DefaultParagraphFont"/>
    <w:rsid w:val="00EC74E8"/>
  </w:style>
  <w:style w:type="character" w:customStyle="1" w:styleId="1">
    <w:name w:val="إشارة لم يتم حلها1"/>
    <w:basedOn w:val="DefaultParagraphFont"/>
    <w:uiPriority w:val="99"/>
    <w:semiHidden/>
    <w:unhideWhenUsed/>
    <w:rsid w:val="00EC74E8"/>
    <w:rPr>
      <w:color w:val="605E5C"/>
      <w:shd w:val="clear" w:color="auto" w:fill="E1DFDD"/>
    </w:rPr>
  </w:style>
  <w:style w:type="paragraph" w:styleId="PlainText">
    <w:name w:val="Plain Text"/>
    <w:basedOn w:val="Normal"/>
    <w:link w:val="PlainTextChar"/>
    <w:uiPriority w:val="99"/>
    <w:unhideWhenUsed/>
    <w:rsid w:val="00A66B7F"/>
    <w:pPr>
      <w:spacing w:after="0" w:line="240" w:lineRule="auto"/>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A66B7F"/>
    <w:rPr>
      <w:rFonts w:ascii="Consolas" w:hAnsi="Consolas"/>
      <w:kern w:val="0"/>
      <w:sz w:val="21"/>
      <w:szCs w:val="21"/>
      <w:lang w:val="en-GB"/>
      <w14:ligatures w14:val="none"/>
    </w:rPr>
  </w:style>
  <w:style w:type="character" w:customStyle="1" w:styleId="UnresolvedMention4">
    <w:name w:val="Unresolved Mention4"/>
    <w:basedOn w:val="DefaultParagraphFont"/>
    <w:uiPriority w:val="99"/>
    <w:semiHidden/>
    <w:unhideWhenUsed/>
    <w:rsid w:val="00BC0094"/>
    <w:rPr>
      <w:color w:val="605E5C"/>
      <w:shd w:val="clear" w:color="auto" w:fill="E1DFDD"/>
    </w:rPr>
  </w:style>
  <w:style w:type="character" w:styleId="UnresolvedMention">
    <w:name w:val="Unresolved Mention"/>
    <w:basedOn w:val="DefaultParagraphFont"/>
    <w:uiPriority w:val="99"/>
    <w:semiHidden/>
    <w:unhideWhenUsed/>
    <w:rsid w:val="00F024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93295">
      <w:bodyDiv w:val="1"/>
      <w:marLeft w:val="0"/>
      <w:marRight w:val="0"/>
      <w:marTop w:val="0"/>
      <w:marBottom w:val="0"/>
      <w:divBdr>
        <w:top w:val="none" w:sz="0" w:space="0" w:color="auto"/>
        <w:left w:val="none" w:sz="0" w:space="0" w:color="auto"/>
        <w:bottom w:val="none" w:sz="0" w:space="0" w:color="auto"/>
        <w:right w:val="none" w:sz="0" w:space="0" w:color="auto"/>
      </w:divBdr>
      <w:divsChild>
        <w:div w:id="1386635623">
          <w:marLeft w:val="360"/>
          <w:marRight w:val="0"/>
          <w:marTop w:val="200"/>
          <w:marBottom w:val="0"/>
          <w:divBdr>
            <w:top w:val="none" w:sz="0" w:space="0" w:color="auto"/>
            <w:left w:val="none" w:sz="0" w:space="0" w:color="auto"/>
            <w:bottom w:val="none" w:sz="0" w:space="0" w:color="auto"/>
            <w:right w:val="none" w:sz="0" w:space="0" w:color="auto"/>
          </w:divBdr>
        </w:div>
        <w:div w:id="2087415129">
          <w:marLeft w:val="360"/>
          <w:marRight w:val="0"/>
          <w:marTop w:val="200"/>
          <w:marBottom w:val="0"/>
          <w:divBdr>
            <w:top w:val="none" w:sz="0" w:space="0" w:color="auto"/>
            <w:left w:val="none" w:sz="0" w:space="0" w:color="auto"/>
            <w:bottom w:val="none" w:sz="0" w:space="0" w:color="auto"/>
            <w:right w:val="none" w:sz="0" w:space="0" w:color="auto"/>
          </w:divBdr>
        </w:div>
      </w:divsChild>
    </w:div>
    <w:div w:id="117644796">
      <w:bodyDiv w:val="1"/>
      <w:marLeft w:val="0"/>
      <w:marRight w:val="0"/>
      <w:marTop w:val="0"/>
      <w:marBottom w:val="0"/>
      <w:divBdr>
        <w:top w:val="none" w:sz="0" w:space="0" w:color="auto"/>
        <w:left w:val="none" w:sz="0" w:space="0" w:color="auto"/>
        <w:bottom w:val="none" w:sz="0" w:space="0" w:color="auto"/>
        <w:right w:val="none" w:sz="0" w:space="0" w:color="auto"/>
      </w:divBdr>
    </w:div>
    <w:div w:id="156115899">
      <w:bodyDiv w:val="1"/>
      <w:marLeft w:val="0"/>
      <w:marRight w:val="0"/>
      <w:marTop w:val="0"/>
      <w:marBottom w:val="0"/>
      <w:divBdr>
        <w:top w:val="none" w:sz="0" w:space="0" w:color="auto"/>
        <w:left w:val="none" w:sz="0" w:space="0" w:color="auto"/>
        <w:bottom w:val="none" w:sz="0" w:space="0" w:color="auto"/>
        <w:right w:val="none" w:sz="0" w:space="0" w:color="auto"/>
      </w:divBdr>
    </w:div>
    <w:div w:id="256527915">
      <w:bodyDiv w:val="1"/>
      <w:marLeft w:val="0"/>
      <w:marRight w:val="0"/>
      <w:marTop w:val="0"/>
      <w:marBottom w:val="0"/>
      <w:divBdr>
        <w:top w:val="none" w:sz="0" w:space="0" w:color="auto"/>
        <w:left w:val="none" w:sz="0" w:space="0" w:color="auto"/>
        <w:bottom w:val="none" w:sz="0" w:space="0" w:color="auto"/>
        <w:right w:val="none" w:sz="0" w:space="0" w:color="auto"/>
      </w:divBdr>
    </w:div>
    <w:div w:id="273102387">
      <w:bodyDiv w:val="1"/>
      <w:marLeft w:val="0"/>
      <w:marRight w:val="0"/>
      <w:marTop w:val="0"/>
      <w:marBottom w:val="0"/>
      <w:divBdr>
        <w:top w:val="none" w:sz="0" w:space="0" w:color="auto"/>
        <w:left w:val="none" w:sz="0" w:space="0" w:color="auto"/>
        <w:bottom w:val="none" w:sz="0" w:space="0" w:color="auto"/>
        <w:right w:val="none" w:sz="0" w:space="0" w:color="auto"/>
      </w:divBdr>
    </w:div>
    <w:div w:id="316961034">
      <w:bodyDiv w:val="1"/>
      <w:marLeft w:val="0"/>
      <w:marRight w:val="0"/>
      <w:marTop w:val="0"/>
      <w:marBottom w:val="0"/>
      <w:divBdr>
        <w:top w:val="none" w:sz="0" w:space="0" w:color="auto"/>
        <w:left w:val="none" w:sz="0" w:space="0" w:color="auto"/>
        <w:bottom w:val="none" w:sz="0" w:space="0" w:color="auto"/>
        <w:right w:val="none" w:sz="0" w:space="0" w:color="auto"/>
      </w:divBdr>
    </w:div>
    <w:div w:id="322665916">
      <w:bodyDiv w:val="1"/>
      <w:marLeft w:val="0"/>
      <w:marRight w:val="0"/>
      <w:marTop w:val="0"/>
      <w:marBottom w:val="0"/>
      <w:divBdr>
        <w:top w:val="none" w:sz="0" w:space="0" w:color="auto"/>
        <w:left w:val="none" w:sz="0" w:space="0" w:color="auto"/>
        <w:bottom w:val="none" w:sz="0" w:space="0" w:color="auto"/>
        <w:right w:val="none" w:sz="0" w:space="0" w:color="auto"/>
      </w:divBdr>
    </w:div>
    <w:div w:id="379591615">
      <w:bodyDiv w:val="1"/>
      <w:marLeft w:val="0"/>
      <w:marRight w:val="0"/>
      <w:marTop w:val="0"/>
      <w:marBottom w:val="0"/>
      <w:divBdr>
        <w:top w:val="none" w:sz="0" w:space="0" w:color="auto"/>
        <w:left w:val="none" w:sz="0" w:space="0" w:color="auto"/>
        <w:bottom w:val="none" w:sz="0" w:space="0" w:color="auto"/>
        <w:right w:val="none" w:sz="0" w:space="0" w:color="auto"/>
      </w:divBdr>
    </w:div>
    <w:div w:id="414478633">
      <w:bodyDiv w:val="1"/>
      <w:marLeft w:val="0"/>
      <w:marRight w:val="0"/>
      <w:marTop w:val="0"/>
      <w:marBottom w:val="0"/>
      <w:divBdr>
        <w:top w:val="none" w:sz="0" w:space="0" w:color="auto"/>
        <w:left w:val="none" w:sz="0" w:space="0" w:color="auto"/>
        <w:bottom w:val="none" w:sz="0" w:space="0" w:color="auto"/>
        <w:right w:val="none" w:sz="0" w:space="0" w:color="auto"/>
      </w:divBdr>
    </w:div>
    <w:div w:id="523833892">
      <w:bodyDiv w:val="1"/>
      <w:marLeft w:val="0"/>
      <w:marRight w:val="0"/>
      <w:marTop w:val="0"/>
      <w:marBottom w:val="0"/>
      <w:divBdr>
        <w:top w:val="none" w:sz="0" w:space="0" w:color="auto"/>
        <w:left w:val="none" w:sz="0" w:space="0" w:color="auto"/>
        <w:bottom w:val="none" w:sz="0" w:space="0" w:color="auto"/>
        <w:right w:val="none" w:sz="0" w:space="0" w:color="auto"/>
      </w:divBdr>
    </w:div>
    <w:div w:id="541014958">
      <w:bodyDiv w:val="1"/>
      <w:marLeft w:val="0"/>
      <w:marRight w:val="0"/>
      <w:marTop w:val="0"/>
      <w:marBottom w:val="0"/>
      <w:divBdr>
        <w:top w:val="none" w:sz="0" w:space="0" w:color="auto"/>
        <w:left w:val="none" w:sz="0" w:space="0" w:color="auto"/>
        <w:bottom w:val="none" w:sz="0" w:space="0" w:color="auto"/>
        <w:right w:val="none" w:sz="0" w:space="0" w:color="auto"/>
      </w:divBdr>
    </w:div>
    <w:div w:id="569968899">
      <w:bodyDiv w:val="1"/>
      <w:marLeft w:val="0"/>
      <w:marRight w:val="0"/>
      <w:marTop w:val="0"/>
      <w:marBottom w:val="0"/>
      <w:divBdr>
        <w:top w:val="none" w:sz="0" w:space="0" w:color="auto"/>
        <w:left w:val="none" w:sz="0" w:space="0" w:color="auto"/>
        <w:bottom w:val="none" w:sz="0" w:space="0" w:color="auto"/>
        <w:right w:val="none" w:sz="0" w:space="0" w:color="auto"/>
      </w:divBdr>
    </w:div>
    <w:div w:id="607658800">
      <w:bodyDiv w:val="1"/>
      <w:marLeft w:val="0"/>
      <w:marRight w:val="0"/>
      <w:marTop w:val="0"/>
      <w:marBottom w:val="0"/>
      <w:divBdr>
        <w:top w:val="none" w:sz="0" w:space="0" w:color="auto"/>
        <w:left w:val="none" w:sz="0" w:space="0" w:color="auto"/>
        <w:bottom w:val="none" w:sz="0" w:space="0" w:color="auto"/>
        <w:right w:val="none" w:sz="0" w:space="0" w:color="auto"/>
      </w:divBdr>
    </w:div>
    <w:div w:id="615865429">
      <w:bodyDiv w:val="1"/>
      <w:marLeft w:val="0"/>
      <w:marRight w:val="0"/>
      <w:marTop w:val="0"/>
      <w:marBottom w:val="0"/>
      <w:divBdr>
        <w:top w:val="none" w:sz="0" w:space="0" w:color="auto"/>
        <w:left w:val="none" w:sz="0" w:space="0" w:color="auto"/>
        <w:bottom w:val="none" w:sz="0" w:space="0" w:color="auto"/>
        <w:right w:val="none" w:sz="0" w:space="0" w:color="auto"/>
      </w:divBdr>
    </w:div>
    <w:div w:id="629894245">
      <w:bodyDiv w:val="1"/>
      <w:marLeft w:val="0"/>
      <w:marRight w:val="0"/>
      <w:marTop w:val="0"/>
      <w:marBottom w:val="0"/>
      <w:divBdr>
        <w:top w:val="none" w:sz="0" w:space="0" w:color="auto"/>
        <w:left w:val="none" w:sz="0" w:space="0" w:color="auto"/>
        <w:bottom w:val="none" w:sz="0" w:space="0" w:color="auto"/>
        <w:right w:val="none" w:sz="0" w:space="0" w:color="auto"/>
      </w:divBdr>
    </w:div>
    <w:div w:id="698356849">
      <w:bodyDiv w:val="1"/>
      <w:marLeft w:val="0"/>
      <w:marRight w:val="0"/>
      <w:marTop w:val="0"/>
      <w:marBottom w:val="0"/>
      <w:divBdr>
        <w:top w:val="none" w:sz="0" w:space="0" w:color="auto"/>
        <w:left w:val="none" w:sz="0" w:space="0" w:color="auto"/>
        <w:bottom w:val="none" w:sz="0" w:space="0" w:color="auto"/>
        <w:right w:val="none" w:sz="0" w:space="0" w:color="auto"/>
      </w:divBdr>
    </w:div>
    <w:div w:id="822282800">
      <w:bodyDiv w:val="1"/>
      <w:marLeft w:val="0"/>
      <w:marRight w:val="0"/>
      <w:marTop w:val="0"/>
      <w:marBottom w:val="0"/>
      <w:divBdr>
        <w:top w:val="none" w:sz="0" w:space="0" w:color="auto"/>
        <w:left w:val="none" w:sz="0" w:space="0" w:color="auto"/>
        <w:bottom w:val="none" w:sz="0" w:space="0" w:color="auto"/>
        <w:right w:val="none" w:sz="0" w:space="0" w:color="auto"/>
      </w:divBdr>
    </w:div>
    <w:div w:id="842356985">
      <w:bodyDiv w:val="1"/>
      <w:marLeft w:val="0"/>
      <w:marRight w:val="0"/>
      <w:marTop w:val="0"/>
      <w:marBottom w:val="0"/>
      <w:divBdr>
        <w:top w:val="none" w:sz="0" w:space="0" w:color="auto"/>
        <w:left w:val="none" w:sz="0" w:space="0" w:color="auto"/>
        <w:bottom w:val="none" w:sz="0" w:space="0" w:color="auto"/>
        <w:right w:val="none" w:sz="0" w:space="0" w:color="auto"/>
      </w:divBdr>
    </w:div>
    <w:div w:id="862281654">
      <w:bodyDiv w:val="1"/>
      <w:marLeft w:val="0"/>
      <w:marRight w:val="0"/>
      <w:marTop w:val="0"/>
      <w:marBottom w:val="0"/>
      <w:divBdr>
        <w:top w:val="none" w:sz="0" w:space="0" w:color="auto"/>
        <w:left w:val="none" w:sz="0" w:space="0" w:color="auto"/>
        <w:bottom w:val="none" w:sz="0" w:space="0" w:color="auto"/>
        <w:right w:val="none" w:sz="0" w:space="0" w:color="auto"/>
      </w:divBdr>
    </w:div>
    <w:div w:id="889146830">
      <w:bodyDiv w:val="1"/>
      <w:marLeft w:val="0"/>
      <w:marRight w:val="0"/>
      <w:marTop w:val="0"/>
      <w:marBottom w:val="0"/>
      <w:divBdr>
        <w:top w:val="none" w:sz="0" w:space="0" w:color="auto"/>
        <w:left w:val="none" w:sz="0" w:space="0" w:color="auto"/>
        <w:bottom w:val="none" w:sz="0" w:space="0" w:color="auto"/>
        <w:right w:val="none" w:sz="0" w:space="0" w:color="auto"/>
      </w:divBdr>
    </w:div>
    <w:div w:id="910427235">
      <w:bodyDiv w:val="1"/>
      <w:marLeft w:val="0"/>
      <w:marRight w:val="0"/>
      <w:marTop w:val="0"/>
      <w:marBottom w:val="0"/>
      <w:divBdr>
        <w:top w:val="none" w:sz="0" w:space="0" w:color="auto"/>
        <w:left w:val="none" w:sz="0" w:space="0" w:color="auto"/>
        <w:bottom w:val="none" w:sz="0" w:space="0" w:color="auto"/>
        <w:right w:val="none" w:sz="0" w:space="0" w:color="auto"/>
      </w:divBdr>
    </w:div>
    <w:div w:id="952127939">
      <w:bodyDiv w:val="1"/>
      <w:marLeft w:val="0"/>
      <w:marRight w:val="0"/>
      <w:marTop w:val="0"/>
      <w:marBottom w:val="0"/>
      <w:divBdr>
        <w:top w:val="none" w:sz="0" w:space="0" w:color="auto"/>
        <w:left w:val="none" w:sz="0" w:space="0" w:color="auto"/>
        <w:bottom w:val="none" w:sz="0" w:space="0" w:color="auto"/>
        <w:right w:val="none" w:sz="0" w:space="0" w:color="auto"/>
      </w:divBdr>
    </w:div>
    <w:div w:id="970087973">
      <w:bodyDiv w:val="1"/>
      <w:marLeft w:val="0"/>
      <w:marRight w:val="0"/>
      <w:marTop w:val="0"/>
      <w:marBottom w:val="0"/>
      <w:divBdr>
        <w:top w:val="none" w:sz="0" w:space="0" w:color="auto"/>
        <w:left w:val="none" w:sz="0" w:space="0" w:color="auto"/>
        <w:bottom w:val="none" w:sz="0" w:space="0" w:color="auto"/>
        <w:right w:val="none" w:sz="0" w:space="0" w:color="auto"/>
      </w:divBdr>
    </w:div>
    <w:div w:id="1001276334">
      <w:bodyDiv w:val="1"/>
      <w:marLeft w:val="0"/>
      <w:marRight w:val="0"/>
      <w:marTop w:val="0"/>
      <w:marBottom w:val="0"/>
      <w:divBdr>
        <w:top w:val="none" w:sz="0" w:space="0" w:color="auto"/>
        <w:left w:val="none" w:sz="0" w:space="0" w:color="auto"/>
        <w:bottom w:val="none" w:sz="0" w:space="0" w:color="auto"/>
        <w:right w:val="none" w:sz="0" w:space="0" w:color="auto"/>
      </w:divBdr>
    </w:div>
    <w:div w:id="1048266080">
      <w:bodyDiv w:val="1"/>
      <w:marLeft w:val="0"/>
      <w:marRight w:val="0"/>
      <w:marTop w:val="0"/>
      <w:marBottom w:val="0"/>
      <w:divBdr>
        <w:top w:val="none" w:sz="0" w:space="0" w:color="auto"/>
        <w:left w:val="none" w:sz="0" w:space="0" w:color="auto"/>
        <w:bottom w:val="none" w:sz="0" w:space="0" w:color="auto"/>
        <w:right w:val="none" w:sz="0" w:space="0" w:color="auto"/>
      </w:divBdr>
    </w:div>
    <w:div w:id="1066756278">
      <w:bodyDiv w:val="1"/>
      <w:marLeft w:val="0"/>
      <w:marRight w:val="0"/>
      <w:marTop w:val="0"/>
      <w:marBottom w:val="0"/>
      <w:divBdr>
        <w:top w:val="none" w:sz="0" w:space="0" w:color="auto"/>
        <w:left w:val="none" w:sz="0" w:space="0" w:color="auto"/>
        <w:bottom w:val="none" w:sz="0" w:space="0" w:color="auto"/>
        <w:right w:val="none" w:sz="0" w:space="0" w:color="auto"/>
      </w:divBdr>
    </w:div>
    <w:div w:id="1079253829">
      <w:bodyDiv w:val="1"/>
      <w:marLeft w:val="0"/>
      <w:marRight w:val="0"/>
      <w:marTop w:val="0"/>
      <w:marBottom w:val="0"/>
      <w:divBdr>
        <w:top w:val="none" w:sz="0" w:space="0" w:color="auto"/>
        <w:left w:val="none" w:sz="0" w:space="0" w:color="auto"/>
        <w:bottom w:val="none" w:sz="0" w:space="0" w:color="auto"/>
        <w:right w:val="none" w:sz="0" w:space="0" w:color="auto"/>
      </w:divBdr>
    </w:div>
    <w:div w:id="1122961966">
      <w:bodyDiv w:val="1"/>
      <w:marLeft w:val="0"/>
      <w:marRight w:val="0"/>
      <w:marTop w:val="0"/>
      <w:marBottom w:val="0"/>
      <w:divBdr>
        <w:top w:val="none" w:sz="0" w:space="0" w:color="auto"/>
        <w:left w:val="none" w:sz="0" w:space="0" w:color="auto"/>
        <w:bottom w:val="none" w:sz="0" w:space="0" w:color="auto"/>
        <w:right w:val="none" w:sz="0" w:space="0" w:color="auto"/>
      </w:divBdr>
    </w:div>
    <w:div w:id="1138912948">
      <w:bodyDiv w:val="1"/>
      <w:marLeft w:val="0"/>
      <w:marRight w:val="0"/>
      <w:marTop w:val="0"/>
      <w:marBottom w:val="0"/>
      <w:divBdr>
        <w:top w:val="none" w:sz="0" w:space="0" w:color="auto"/>
        <w:left w:val="none" w:sz="0" w:space="0" w:color="auto"/>
        <w:bottom w:val="none" w:sz="0" w:space="0" w:color="auto"/>
        <w:right w:val="none" w:sz="0" w:space="0" w:color="auto"/>
      </w:divBdr>
    </w:div>
    <w:div w:id="1140540148">
      <w:bodyDiv w:val="1"/>
      <w:marLeft w:val="0"/>
      <w:marRight w:val="0"/>
      <w:marTop w:val="0"/>
      <w:marBottom w:val="0"/>
      <w:divBdr>
        <w:top w:val="none" w:sz="0" w:space="0" w:color="auto"/>
        <w:left w:val="none" w:sz="0" w:space="0" w:color="auto"/>
        <w:bottom w:val="none" w:sz="0" w:space="0" w:color="auto"/>
        <w:right w:val="none" w:sz="0" w:space="0" w:color="auto"/>
      </w:divBdr>
    </w:div>
    <w:div w:id="1142964979">
      <w:bodyDiv w:val="1"/>
      <w:marLeft w:val="0"/>
      <w:marRight w:val="0"/>
      <w:marTop w:val="0"/>
      <w:marBottom w:val="0"/>
      <w:divBdr>
        <w:top w:val="none" w:sz="0" w:space="0" w:color="auto"/>
        <w:left w:val="none" w:sz="0" w:space="0" w:color="auto"/>
        <w:bottom w:val="none" w:sz="0" w:space="0" w:color="auto"/>
        <w:right w:val="none" w:sz="0" w:space="0" w:color="auto"/>
      </w:divBdr>
    </w:div>
    <w:div w:id="1158114297">
      <w:bodyDiv w:val="1"/>
      <w:marLeft w:val="0"/>
      <w:marRight w:val="0"/>
      <w:marTop w:val="0"/>
      <w:marBottom w:val="0"/>
      <w:divBdr>
        <w:top w:val="none" w:sz="0" w:space="0" w:color="auto"/>
        <w:left w:val="none" w:sz="0" w:space="0" w:color="auto"/>
        <w:bottom w:val="none" w:sz="0" w:space="0" w:color="auto"/>
        <w:right w:val="none" w:sz="0" w:space="0" w:color="auto"/>
      </w:divBdr>
    </w:div>
    <w:div w:id="1200245766">
      <w:bodyDiv w:val="1"/>
      <w:marLeft w:val="0"/>
      <w:marRight w:val="0"/>
      <w:marTop w:val="0"/>
      <w:marBottom w:val="0"/>
      <w:divBdr>
        <w:top w:val="none" w:sz="0" w:space="0" w:color="auto"/>
        <w:left w:val="none" w:sz="0" w:space="0" w:color="auto"/>
        <w:bottom w:val="none" w:sz="0" w:space="0" w:color="auto"/>
        <w:right w:val="none" w:sz="0" w:space="0" w:color="auto"/>
      </w:divBdr>
    </w:div>
    <w:div w:id="1237790004">
      <w:bodyDiv w:val="1"/>
      <w:marLeft w:val="0"/>
      <w:marRight w:val="0"/>
      <w:marTop w:val="0"/>
      <w:marBottom w:val="0"/>
      <w:divBdr>
        <w:top w:val="none" w:sz="0" w:space="0" w:color="auto"/>
        <w:left w:val="none" w:sz="0" w:space="0" w:color="auto"/>
        <w:bottom w:val="none" w:sz="0" w:space="0" w:color="auto"/>
        <w:right w:val="none" w:sz="0" w:space="0" w:color="auto"/>
      </w:divBdr>
    </w:div>
    <w:div w:id="1249657290">
      <w:bodyDiv w:val="1"/>
      <w:marLeft w:val="0"/>
      <w:marRight w:val="0"/>
      <w:marTop w:val="0"/>
      <w:marBottom w:val="0"/>
      <w:divBdr>
        <w:top w:val="none" w:sz="0" w:space="0" w:color="auto"/>
        <w:left w:val="none" w:sz="0" w:space="0" w:color="auto"/>
        <w:bottom w:val="none" w:sz="0" w:space="0" w:color="auto"/>
        <w:right w:val="none" w:sz="0" w:space="0" w:color="auto"/>
      </w:divBdr>
    </w:div>
    <w:div w:id="1278567634">
      <w:bodyDiv w:val="1"/>
      <w:marLeft w:val="0"/>
      <w:marRight w:val="0"/>
      <w:marTop w:val="0"/>
      <w:marBottom w:val="0"/>
      <w:divBdr>
        <w:top w:val="none" w:sz="0" w:space="0" w:color="auto"/>
        <w:left w:val="none" w:sz="0" w:space="0" w:color="auto"/>
        <w:bottom w:val="none" w:sz="0" w:space="0" w:color="auto"/>
        <w:right w:val="none" w:sz="0" w:space="0" w:color="auto"/>
      </w:divBdr>
    </w:div>
    <w:div w:id="1299217028">
      <w:bodyDiv w:val="1"/>
      <w:marLeft w:val="0"/>
      <w:marRight w:val="0"/>
      <w:marTop w:val="0"/>
      <w:marBottom w:val="0"/>
      <w:divBdr>
        <w:top w:val="none" w:sz="0" w:space="0" w:color="auto"/>
        <w:left w:val="none" w:sz="0" w:space="0" w:color="auto"/>
        <w:bottom w:val="none" w:sz="0" w:space="0" w:color="auto"/>
        <w:right w:val="none" w:sz="0" w:space="0" w:color="auto"/>
      </w:divBdr>
    </w:div>
    <w:div w:id="1321929298">
      <w:bodyDiv w:val="1"/>
      <w:marLeft w:val="0"/>
      <w:marRight w:val="0"/>
      <w:marTop w:val="0"/>
      <w:marBottom w:val="0"/>
      <w:divBdr>
        <w:top w:val="none" w:sz="0" w:space="0" w:color="auto"/>
        <w:left w:val="none" w:sz="0" w:space="0" w:color="auto"/>
        <w:bottom w:val="none" w:sz="0" w:space="0" w:color="auto"/>
        <w:right w:val="none" w:sz="0" w:space="0" w:color="auto"/>
      </w:divBdr>
    </w:div>
    <w:div w:id="1334869007">
      <w:bodyDiv w:val="1"/>
      <w:marLeft w:val="0"/>
      <w:marRight w:val="0"/>
      <w:marTop w:val="0"/>
      <w:marBottom w:val="0"/>
      <w:divBdr>
        <w:top w:val="none" w:sz="0" w:space="0" w:color="auto"/>
        <w:left w:val="none" w:sz="0" w:space="0" w:color="auto"/>
        <w:bottom w:val="none" w:sz="0" w:space="0" w:color="auto"/>
        <w:right w:val="none" w:sz="0" w:space="0" w:color="auto"/>
      </w:divBdr>
    </w:div>
    <w:div w:id="1337879978">
      <w:bodyDiv w:val="1"/>
      <w:marLeft w:val="0"/>
      <w:marRight w:val="0"/>
      <w:marTop w:val="0"/>
      <w:marBottom w:val="0"/>
      <w:divBdr>
        <w:top w:val="none" w:sz="0" w:space="0" w:color="auto"/>
        <w:left w:val="none" w:sz="0" w:space="0" w:color="auto"/>
        <w:bottom w:val="none" w:sz="0" w:space="0" w:color="auto"/>
        <w:right w:val="none" w:sz="0" w:space="0" w:color="auto"/>
      </w:divBdr>
    </w:div>
    <w:div w:id="1384603398">
      <w:bodyDiv w:val="1"/>
      <w:marLeft w:val="0"/>
      <w:marRight w:val="0"/>
      <w:marTop w:val="0"/>
      <w:marBottom w:val="0"/>
      <w:divBdr>
        <w:top w:val="none" w:sz="0" w:space="0" w:color="auto"/>
        <w:left w:val="none" w:sz="0" w:space="0" w:color="auto"/>
        <w:bottom w:val="none" w:sz="0" w:space="0" w:color="auto"/>
        <w:right w:val="none" w:sz="0" w:space="0" w:color="auto"/>
      </w:divBdr>
    </w:div>
    <w:div w:id="1403332842">
      <w:bodyDiv w:val="1"/>
      <w:marLeft w:val="0"/>
      <w:marRight w:val="0"/>
      <w:marTop w:val="0"/>
      <w:marBottom w:val="0"/>
      <w:divBdr>
        <w:top w:val="none" w:sz="0" w:space="0" w:color="auto"/>
        <w:left w:val="none" w:sz="0" w:space="0" w:color="auto"/>
        <w:bottom w:val="none" w:sz="0" w:space="0" w:color="auto"/>
        <w:right w:val="none" w:sz="0" w:space="0" w:color="auto"/>
      </w:divBdr>
    </w:div>
    <w:div w:id="1428306992">
      <w:bodyDiv w:val="1"/>
      <w:marLeft w:val="0"/>
      <w:marRight w:val="0"/>
      <w:marTop w:val="0"/>
      <w:marBottom w:val="0"/>
      <w:divBdr>
        <w:top w:val="none" w:sz="0" w:space="0" w:color="auto"/>
        <w:left w:val="none" w:sz="0" w:space="0" w:color="auto"/>
        <w:bottom w:val="none" w:sz="0" w:space="0" w:color="auto"/>
        <w:right w:val="none" w:sz="0" w:space="0" w:color="auto"/>
      </w:divBdr>
    </w:div>
    <w:div w:id="1520050636">
      <w:bodyDiv w:val="1"/>
      <w:marLeft w:val="0"/>
      <w:marRight w:val="0"/>
      <w:marTop w:val="0"/>
      <w:marBottom w:val="0"/>
      <w:divBdr>
        <w:top w:val="none" w:sz="0" w:space="0" w:color="auto"/>
        <w:left w:val="none" w:sz="0" w:space="0" w:color="auto"/>
        <w:bottom w:val="none" w:sz="0" w:space="0" w:color="auto"/>
        <w:right w:val="none" w:sz="0" w:space="0" w:color="auto"/>
      </w:divBdr>
    </w:div>
    <w:div w:id="1532112302">
      <w:bodyDiv w:val="1"/>
      <w:marLeft w:val="0"/>
      <w:marRight w:val="0"/>
      <w:marTop w:val="0"/>
      <w:marBottom w:val="0"/>
      <w:divBdr>
        <w:top w:val="none" w:sz="0" w:space="0" w:color="auto"/>
        <w:left w:val="none" w:sz="0" w:space="0" w:color="auto"/>
        <w:bottom w:val="none" w:sz="0" w:space="0" w:color="auto"/>
        <w:right w:val="none" w:sz="0" w:space="0" w:color="auto"/>
      </w:divBdr>
    </w:div>
    <w:div w:id="1548687102">
      <w:bodyDiv w:val="1"/>
      <w:marLeft w:val="0"/>
      <w:marRight w:val="0"/>
      <w:marTop w:val="0"/>
      <w:marBottom w:val="0"/>
      <w:divBdr>
        <w:top w:val="none" w:sz="0" w:space="0" w:color="auto"/>
        <w:left w:val="none" w:sz="0" w:space="0" w:color="auto"/>
        <w:bottom w:val="none" w:sz="0" w:space="0" w:color="auto"/>
        <w:right w:val="none" w:sz="0" w:space="0" w:color="auto"/>
      </w:divBdr>
    </w:div>
    <w:div w:id="1570381324">
      <w:bodyDiv w:val="1"/>
      <w:marLeft w:val="0"/>
      <w:marRight w:val="0"/>
      <w:marTop w:val="0"/>
      <w:marBottom w:val="0"/>
      <w:divBdr>
        <w:top w:val="none" w:sz="0" w:space="0" w:color="auto"/>
        <w:left w:val="none" w:sz="0" w:space="0" w:color="auto"/>
        <w:bottom w:val="none" w:sz="0" w:space="0" w:color="auto"/>
        <w:right w:val="none" w:sz="0" w:space="0" w:color="auto"/>
      </w:divBdr>
    </w:div>
    <w:div w:id="1574119155">
      <w:bodyDiv w:val="1"/>
      <w:marLeft w:val="0"/>
      <w:marRight w:val="0"/>
      <w:marTop w:val="0"/>
      <w:marBottom w:val="0"/>
      <w:divBdr>
        <w:top w:val="none" w:sz="0" w:space="0" w:color="auto"/>
        <w:left w:val="none" w:sz="0" w:space="0" w:color="auto"/>
        <w:bottom w:val="none" w:sz="0" w:space="0" w:color="auto"/>
        <w:right w:val="none" w:sz="0" w:space="0" w:color="auto"/>
      </w:divBdr>
    </w:div>
    <w:div w:id="1592930185">
      <w:bodyDiv w:val="1"/>
      <w:marLeft w:val="0"/>
      <w:marRight w:val="0"/>
      <w:marTop w:val="0"/>
      <w:marBottom w:val="0"/>
      <w:divBdr>
        <w:top w:val="none" w:sz="0" w:space="0" w:color="auto"/>
        <w:left w:val="none" w:sz="0" w:space="0" w:color="auto"/>
        <w:bottom w:val="none" w:sz="0" w:space="0" w:color="auto"/>
        <w:right w:val="none" w:sz="0" w:space="0" w:color="auto"/>
      </w:divBdr>
    </w:div>
    <w:div w:id="1597054043">
      <w:bodyDiv w:val="1"/>
      <w:marLeft w:val="0"/>
      <w:marRight w:val="0"/>
      <w:marTop w:val="0"/>
      <w:marBottom w:val="0"/>
      <w:divBdr>
        <w:top w:val="none" w:sz="0" w:space="0" w:color="auto"/>
        <w:left w:val="none" w:sz="0" w:space="0" w:color="auto"/>
        <w:bottom w:val="none" w:sz="0" w:space="0" w:color="auto"/>
        <w:right w:val="none" w:sz="0" w:space="0" w:color="auto"/>
      </w:divBdr>
    </w:div>
    <w:div w:id="1608467464">
      <w:bodyDiv w:val="1"/>
      <w:marLeft w:val="0"/>
      <w:marRight w:val="0"/>
      <w:marTop w:val="0"/>
      <w:marBottom w:val="0"/>
      <w:divBdr>
        <w:top w:val="none" w:sz="0" w:space="0" w:color="auto"/>
        <w:left w:val="none" w:sz="0" w:space="0" w:color="auto"/>
        <w:bottom w:val="none" w:sz="0" w:space="0" w:color="auto"/>
        <w:right w:val="none" w:sz="0" w:space="0" w:color="auto"/>
      </w:divBdr>
    </w:div>
    <w:div w:id="1611472511">
      <w:bodyDiv w:val="1"/>
      <w:marLeft w:val="0"/>
      <w:marRight w:val="0"/>
      <w:marTop w:val="0"/>
      <w:marBottom w:val="0"/>
      <w:divBdr>
        <w:top w:val="none" w:sz="0" w:space="0" w:color="auto"/>
        <w:left w:val="none" w:sz="0" w:space="0" w:color="auto"/>
        <w:bottom w:val="none" w:sz="0" w:space="0" w:color="auto"/>
        <w:right w:val="none" w:sz="0" w:space="0" w:color="auto"/>
      </w:divBdr>
    </w:div>
    <w:div w:id="1619945381">
      <w:bodyDiv w:val="1"/>
      <w:marLeft w:val="0"/>
      <w:marRight w:val="0"/>
      <w:marTop w:val="0"/>
      <w:marBottom w:val="0"/>
      <w:divBdr>
        <w:top w:val="none" w:sz="0" w:space="0" w:color="auto"/>
        <w:left w:val="none" w:sz="0" w:space="0" w:color="auto"/>
        <w:bottom w:val="none" w:sz="0" w:space="0" w:color="auto"/>
        <w:right w:val="none" w:sz="0" w:space="0" w:color="auto"/>
      </w:divBdr>
    </w:div>
    <w:div w:id="1679694410">
      <w:bodyDiv w:val="1"/>
      <w:marLeft w:val="0"/>
      <w:marRight w:val="0"/>
      <w:marTop w:val="0"/>
      <w:marBottom w:val="0"/>
      <w:divBdr>
        <w:top w:val="none" w:sz="0" w:space="0" w:color="auto"/>
        <w:left w:val="none" w:sz="0" w:space="0" w:color="auto"/>
        <w:bottom w:val="none" w:sz="0" w:space="0" w:color="auto"/>
        <w:right w:val="none" w:sz="0" w:space="0" w:color="auto"/>
      </w:divBdr>
    </w:div>
    <w:div w:id="1726177442">
      <w:bodyDiv w:val="1"/>
      <w:marLeft w:val="0"/>
      <w:marRight w:val="0"/>
      <w:marTop w:val="0"/>
      <w:marBottom w:val="0"/>
      <w:divBdr>
        <w:top w:val="none" w:sz="0" w:space="0" w:color="auto"/>
        <w:left w:val="none" w:sz="0" w:space="0" w:color="auto"/>
        <w:bottom w:val="none" w:sz="0" w:space="0" w:color="auto"/>
        <w:right w:val="none" w:sz="0" w:space="0" w:color="auto"/>
      </w:divBdr>
    </w:div>
    <w:div w:id="1749769515">
      <w:bodyDiv w:val="1"/>
      <w:marLeft w:val="0"/>
      <w:marRight w:val="0"/>
      <w:marTop w:val="0"/>
      <w:marBottom w:val="0"/>
      <w:divBdr>
        <w:top w:val="none" w:sz="0" w:space="0" w:color="auto"/>
        <w:left w:val="none" w:sz="0" w:space="0" w:color="auto"/>
        <w:bottom w:val="none" w:sz="0" w:space="0" w:color="auto"/>
        <w:right w:val="none" w:sz="0" w:space="0" w:color="auto"/>
      </w:divBdr>
    </w:div>
    <w:div w:id="1751271824">
      <w:bodyDiv w:val="1"/>
      <w:marLeft w:val="0"/>
      <w:marRight w:val="0"/>
      <w:marTop w:val="0"/>
      <w:marBottom w:val="0"/>
      <w:divBdr>
        <w:top w:val="none" w:sz="0" w:space="0" w:color="auto"/>
        <w:left w:val="none" w:sz="0" w:space="0" w:color="auto"/>
        <w:bottom w:val="none" w:sz="0" w:space="0" w:color="auto"/>
        <w:right w:val="none" w:sz="0" w:space="0" w:color="auto"/>
      </w:divBdr>
    </w:div>
    <w:div w:id="1808666603">
      <w:bodyDiv w:val="1"/>
      <w:marLeft w:val="0"/>
      <w:marRight w:val="0"/>
      <w:marTop w:val="0"/>
      <w:marBottom w:val="0"/>
      <w:divBdr>
        <w:top w:val="none" w:sz="0" w:space="0" w:color="auto"/>
        <w:left w:val="none" w:sz="0" w:space="0" w:color="auto"/>
        <w:bottom w:val="none" w:sz="0" w:space="0" w:color="auto"/>
        <w:right w:val="none" w:sz="0" w:space="0" w:color="auto"/>
      </w:divBdr>
    </w:div>
    <w:div w:id="1858107553">
      <w:bodyDiv w:val="1"/>
      <w:marLeft w:val="0"/>
      <w:marRight w:val="0"/>
      <w:marTop w:val="0"/>
      <w:marBottom w:val="0"/>
      <w:divBdr>
        <w:top w:val="none" w:sz="0" w:space="0" w:color="auto"/>
        <w:left w:val="none" w:sz="0" w:space="0" w:color="auto"/>
        <w:bottom w:val="none" w:sz="0" w:space="0" w:color="auto"/>
        <w:right w:val="none" w:sz="0" w:space="0" w:color="auto"/>
      </w:divBdr>
    </w:div>
    <w:div w:id="1859813371">
      <w:bodyDiv w:val="1"/>
      <w:marLeft w:val="0"/>
      <w:marRight w:val="0"/>
      <w:marTop w:val="0"/>
      <w:marBottom w:val="0"/>
      <w:divBdr>
        <w:top w:val="none" w:sz="0" w:space="0" w:color="auto"/>
        <w:left w:val="none" w:sz="0" w:space="0" w:color="auto"/>
        <w:bottom w:val="none" w:sz="0" w:space="0" w:color="auto"/>
        <w:right w:val="none" w:sz="0" w:space="0" w:color="auto"/>
      </w:divBdr>
    </w:div>
    <w:div w:id="1863326204">
      <w:bodyDiv w:val="1"/>
      <w:marLeft w:val="0"/>
      <w:marRight w:val="0"/>
      <w:marTop w:val="0"/>
      <w:marBottom w:val="0"/>
      <w:divBdr>
        <w:top w:val="none" w:sz="0" w:space="0" w:color="auto"/>
        <w:left w:val="none" w:sz="0" w:space="0" w:color="auto"/>
        <w:bottom w:val="none" w:sz="0" w:space="0" w:color="auto"/>
        <w:right w:val="none" w:sz="0" w:space="0" w:color="auto"/>
      </w:divBdr>
    </w:div>
    <w:div w:id="1880121836">
      <w:bodyDiv w:val="1"/>
      <w:marLeft w:val="0"/>
      <w:marRight w:val="0"/>
      <w:marTop w:val="0"/>
      <w:marBottom w:val="0"/>
      <w:divBdr>
        <w:top w:val="none" w:sz="0" w:space="0" w:color="auto"/>
        <w:left w:val="none" w:sz="0" w:space="0" w:color="auto"/>
        <w:bottom w:val="none" w:sz="0" w:space="0" w:color="auto"/>
        <w:right w:val="none" w:sz="0" w:space="0" w:color="auto"/>
      </w:divBdr>
    </w:div>
    <w:div w:id="1898324488">
      <w:bodyDiv w:val="1"/>
      <w:marLeft w:val="0"/>
      <w:marRight w:val="0"/>
      <w:marTop w:val="0"/>
      <w:marBottom w:val="0"/>
      <w:divBdr>
        <w:top w:val="none" w:sz="0" w:space="0" w:color="auto"/>
        <w:left w:val="none" w:sz="0" w:space="0" w:color="auto"/>
        <w:bottom w:val="none" w:sz="0" w:space="0" w:color="auto"/>
        <w:right w:val="none" w:sz="0" w:space="0" w:color="auto"/>
      </w:divBdr>
    </w:div>
    <w:div w:id="1912884499">
      <w:bodyDiv w:val="1"/>
      <w:marLeft w:val="0"/>
      <w:marRight w:val="0"/>
      <w:marTop w:val="0"/>
      <w:marBottom w:val="0"/>
      <w:divBdr>
        <w:top w:val="none" w:sz="0" w:space="0" w:color="auto"/>
        <w:left w:val="none" w:sz="0" w:space="0" w:color="auto"/>
        <w:bottom w:val="none" w:sz="0" w:space="0" w:color="auto"/>
        <w:right w:val="none" w:sz="0" w:space="0" w:color="auto"/>
      </w:divBdr>
    </w:div>
    <w:div w:id="1918130539">
      <w:bodyDiv w:val="1"/>
      <w:marLeft w:val="0"/>
      <w:marRight w:val="0"/>
      <w:marTop w:val="0"/>
      <w:marBottom w:val="0"/>
      <w:divBdr>
        <w:top w:val="none" w:sz="0" w:space="0" w:color="auto"/>
        <w:left w:val="none" w:sz="0" w:space="0" w:color="auto"/>
        <w:bottom w:val="none" w:sz="0" w:space="0" w:color="auto"/>
        <w:right w:val="none" w:sz="0" w:space="0" w:color="auto"/>
      </w:divBdr>
      <w:divsChild>
        <w:div w:id="1273323746">
          <w:marLeft w:val="547"/>
          <w:marRight w:val="0"/>
          <w:marTop w:val="0"/>
          <w:marBottom w:val="0"/>
          <w:divBdr>
            <w:top w:val="none" w:sz="0" w:space="0" w:color="auto"/>
            <w:left w:val="none" w:sz="0" w:space="0" w:color="auto"/>
            <w:bottom w:val="none" w:sz="0" w:space="0" w:color="auto"/>
            <w:right w:val="none" w:sz="0" w:space="0" w:color="auto"/>
          </w:divBdr>
        </w:div>
      </w:divsChild>
    </w:div>
    <w:div w:id="1921284641">
      <w:bodyDiv w:val="1"/>
      <w:marLeft w:val="0"/>
      <w:marRight w:val="0"/>
      <w:marTop w:val="0"/>
      <w:marBottom w:val="0"/>
      <w:divBdr>
        <w:top w:val="none" w:sz="0" w:space="0" w:color="auto"/>
        <w:left w:val="none" w:sz="0" w:space="0" w:color="auto"/>
        <w:bottom w:val="none" w:sz="0" w:space="0" w:color="auto"/>
        <w:right w:val="none" w:sz="0" w:space="0" w:color="auto"/>
      </w:divBdr>
    </w:div>
    <w:div w:id="1987737397">
      <w:bodyDiv w:val="1"/>
      <w:marLeft w:val="0"/>
      <w:marRight w:val="0"/>
      <w:marTop w:val="0"/>
      <w:marBottom w:val="0"/>
      <w:divBdr>
        <w:top w:val="none" w:sz="0" w:space="0" w:color="auto"/>
        <w:left w:val="none" w:sz="0" w:space="0" w:color="auto"/>
        <w:bottom w:val="none" w:sz="0" w:space="0" w:color="auto"/>
        <w:right w:val="none" w:sz="0" w:space="0" w:color="auto"/>
      </w:divBdr>
    </w:div>
    <w:div w:id="2038657730">
      <w:bodyDiv w:val="1"/>
      <w:marLeft w:val="0"/>
      <w:marRight w:val="0"/>
      <w:marTop w:val="0"/>
      <w:marBottom w:val="0"/>
      <w:divBdr>
        <w:top w:val="none" w:sz="0" w:space="0" w:color="auto"/>
        <w:left w:val="none" w:sz="0" w:space="0" w:color="auto"/>
        <w:bottom w:val="none" w:sz="0" w:space="0" w:color="auto"/>
        <w:right w:val="none" w:sz="0" w:space="0" w:color="auto"/>
      </w:divBdr>
    </w:div>
    <w:div w:id="2074231817">
      <w:bodyDiv w:val="1"/>
      <w:marLeft w:val="0"/>
      <w:marRight w:val="0"/>
      <w:marTop w:val="0"/>
      <w:marBottom w:val="0"/>
      <w:divBdr>
        <w:top w:val="none" w:sz="0" w:space="0" w:color="auto"/>
        <w:left w:val="none" w:sz="0" w:space="0" w:color="auto"/>
        <w:bottom w:val="none" w:sz="0" w:space="0" w:color="auto"/>
        <w:right w:val="none" w:sz="0" w:space="0" w:color="auto"/>
      </w:divBdr>
    </w:div>
    <w:div w:id="2081559348">
      <w:bodyDiv w:val="1"/>
      <w:marLeft w:val="0"/>
      <w:marRight w:val="0"/>
      <w:marTop w:val="0"/>
      <w:marBottom w:val="0"/>
      <w:divBdr>
        <w:top w:val="none" w:sz="0" w:space="0" w:color="auto"/>
        <w:left w:val="none" w:sz="0" w:space="0" w:color="auto"/>
        <w:bottom w:val="none" w:sz="0" w:space="0" w:color="auto"/>
        <w:right w:val="none" w:sz="0" w:space="0" w:color="auto"/>
      </w:divBdr>
      <w:divsChild>
        <w:div w:id="1365666710">
          <w:marLeft w:val="-720"/>
          <w:marRight w:val="0"/>
          <w:marTop w:val="0"/>
          <w:marBottom w:val="0"/>
          <w:divBdr>
            <w:top w:val="none" w:sz="0" w:space="0" w:color="auto"/>
            <w:left w:val="none" w:sz="0" w:space="0" w:color="auto"/>
            <w:bottom w:val="none" w:sz="0" w:space="0" w:color="auto"/>
            <w:right w:val="none" w:sz="0" w:space="0" w:color="auto"/>
          </w:divBdr>
        </w:div>
      </w:divsChild>
    </w:div>
    <w:div w:id="2129932435">
      <w:bodyDiv w:val="1"/>
      <w:marLeft w:val="0"/>
      <w:marRight w:val="0"/>
      <w:marTop w:val="0"/>
      <w:marBottom w:val="0"/>
      <w:divBdr>
        <w:top w:val="none" w:sz="0" w:space="0" w:color="auto"/>
        <w:left w:val="none" w:sz="0" w:space="0" w:color="auto"/>
        <w:bottom w:val="none" w:sz="0" w:space="0" w:color="auto"/>
        <w:right w:val="none" w:sz="0" w:space="0" w:color="auto"/>
      </w:divBdr>
    </w:div>
    <w:div w:id="2140026102">
      <w:bodyDiv w:val="1"/>
      <w:marLeft w:val="0"/>
      <w:marRight w:val="0"/>
      <w:marTop w:val="0"/>
      <w:marBottom w:val="0"/>
      <w:divBdr>
        <w:top w:val="none" w:sz="0" w:space="0" w:color="auto"/>
        <w:left w:val="none" w:sz="0" w:space="0" w:color="auto"/>
        <w:bottom w:val="none" w:sz="0" w:space="0" w:color="auto"/>
        <w:right w:val="none" w:sz="0" w:space="0" w:color="auto"/>
      </w:divBdr>
      <w:divsChild>
        <w:div w:id="633801705">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61/jaha.121.02125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1016/j.jacc.2013.08.70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google.com/search?cs=0&amp;sca_esv=1efb9e05a65efdd6&amp;q=hemostasis&amp;sa=X&amp;ved=2ahUKEwi60LjZm6OPAxUETaQEHVUrFGMQxccNegQIBBAB&amp;mstk=AUtExfAsGbvP_OzyKhMsVVexkz64BltpxwuIh8udUeyqVkgrEZVFOVOxevyWiuJAGahHplaFnwJjWfq32QaSo9P86Ut69qCSIJKfxVN8J3Ze5R9G4Y5YNhGEQxlrJJm1-wKFsDBwSHME_9DpI8ytytl_bsCBVBlyTCSPPYjtAOOs7lYMTiw&amp;csui=3" TargetMode="External"/><Relationship Id="rId14"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D04563BA-AD21-4D61-B057-3FD9BA7B9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74</Pages>
  <Words>59165</Words>
  <Characters>341980</Characters>
  <Application>Microsoft Office Word</Application>
  <DocSecurity>0</DocSecurity>
  <Lines>8999</Lines>
  <Paragraphs>4457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396688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 yasen</dc:creator>
  <cp:keywords/>
  <dc:description/>
  <cp:lastModifiedBy>ESLEEM FADI F A</cp:lastModifiedBy>
  <cp:revision>57</cp:revision>
  <dcterms:created xsi:type="dcterms:W3CDTF">2025-10-06T08:04:00Z</dcterms:created>
  <dcterms:modified xsi:type="dcterms:W3CDTF">2025-11-01T04:39:00Z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0f90902d-0078-3b28-b1a5-09d1499067a5</vt:lpwstr>
  </property>
  <property fmtid="{D5CDD505-2E9C-101B-9397-08002B2CF9AE}" pid="24" name="Mendeley Citation Style_1">
    <vt:lpwstr>http://www.zotero.org/styles/vancouver</vt:lpwstr>
  </property>
  <property fmtid="{D5CDD505-2E9C-101B-9397-08002B2CF9AE}" pid="25" name="GrammarlyDocumentId">
    <vt:lpwstr>a0eae269-f11e-4898-b1c6-eb1703bc854c</vt:lpwstr>
  </property>
</Properties>
</file>